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Breaking the Scale Bottleneck: How We Scaled an Ultra-High-Ticket Recovery Brand to 170% Revenue Growth</w:t>
      </w:r>
    </w:p>
    <w:p>
      <w:pPr>
        <w:pStyle w:val="Heading2"/>
      </w:pPr>
      <w:r>
        <w:rPr>
          <w:b/>
          <w:bCs/>
        </w:rPr>
        <w:t xml:space="preserve">Highlight</w:t>
      </w:r>
    </w:p>
    <w:p>
      <w:pPr>
        <w:pStyle w:val="ListParagraph"/>
        <w:numPr>
          <w:ilvl w:val="0"/>
          <w:numId w:val="2"/>
        </w:numPr>
      </w:pPr>
      <w:r>
        <w:t xml:space="preserve">Pioneer of the product category</w:t>
      </w:r>
    </w:p>
    <w:p>
      <w:pPr>
        <w:pStyle w:val="ListParagraph"/>
        <w:numPr>
          <w:ilvl w:val="0"/>
          <w:numId w:val="2"/>
        </w:numPr>
      </w:pPr>
      <w:r>
        <w:t xml:space="preserve">Endorsed by multiple Hollywood stars, athletes and influencers</w:t>
      </w:r>
    </w:p>
    <w:p>
      <w:pPr>
        <w:pStyle w:val="ListParagraph"/>
        <w:numPr>
          <w:ilvl w:val="0"/>
          <w:numId w:val="2"/>
        </w:numPr>
      </w:pPr>
      <w:r>
        <w:t xml:space="preserve">In every gym of a worldwide membership gym chain</w:t>
      </w:r>
    </w:p>
    <w:p>
      <w:pPr>
        <w:pStyle w:val="Heading2"/>
      </w:pPr>
      <w:r>
        <w:rPr>
          <w:b/>
          <w:bCs/>
        </w:rPr>
        <w:t xml:space="preserve">Intro</w:t>
      </w:r>
    </w:p>
    <w:p>
      <w:pPr>
        <w:spacing w:after="200"/>
      </w:pPr>
      <w:r>
        <w:t xml:space="preserve">In the world of ultra-high-ticket physical therapy equipment, every click is expensive and every conversion is hard-won. For this leading fitness recovery brand, the problem wasn’t a lack of demand—it was a lack of control.</w:t>
      </w:r>
    </w:p>
    <w:p>
      <w:pPr>
        <w:spacing w:after="200"/>
      </w:pPr>
      <w:r>
        <w:t xml:space="preserve">When we took over, the account was hitting a hard ceiling. Campaigns were overspending without clear segmentation, and the brand was leaning too heavily on Performance Max. Instead of showing products to new buyers on Shopping, the PMax algorithm was lazily defaulting to Search, essentially “cannibalizing” people who were already looking for the brand.</w:t>
      </w:r>
    </w:p>
    <w:p>
      <w:pPr>
        <w:pStyle w:val="Heading2"/>
      </w:pPr>
      <w:r>
        <w:rPr>
          <w:b/>
          <w:bCs/>
        </w:rPr>
        <w:t xml:space="preserve">The Problem</w:t>
      </w:r>
    </w:p>
    <w:p>
      <w:pPr>
        <w:pStyle w:val="Heading3"/>
      </w:pPr>
      <w:r>
        <w:rPr>
          <w:b/>
          <w:bCs/>
        </w:rPr>
        <w:t xml:space="preserve">The “Black Box” Scaling Limit</w:t>
      </w:r>
    </w:p>
    <w:p>
      <w:pPr>
        <w:spacing w:after="200"/>
      </w:pPr>
      <w:r>
        <w:t xml:space="preserve">The account had become over-complicated and under-managed. By allowing Google’s automation to make all the decisions, the brand was losing the granular control needed to sell an expensive, technical product.</w:t>
      </w:r>
    </w:p>
    <w:p>
      <w:pPr>
        <w:pStyle w:val="ListParagraph"/>
        <w:numPr>
          <w:ilvl w:val="0"/>
          <w:numId w:val="2"/>
        </w:numPr>
      </w:pPr>
      <w:r>
        <w:t xml:space="preserve">PMax Misallocation: Performance Max was failing to utilize the Shopping network effectively. Instead of visual product placement, it was funneling the majority of the budget into Search, where costs-per-click were higher and competition was fiercer.</w:t>
      </w:r>
    </w:p>
    <w:p>
      <w:pPr>
        <w:pStyle w:val="ListParagraph"/>
        <w:numPr>
          <w:ilvl w:val="0"/>
          <w:numId w:val="2"/>
        </w:numPr>
      </w:pPr>
      <w:r>
        <w:t xml:space="preserve">Redundant Structures: The account was cluttered with duplicated and non-performing campaigns. This “bloat” was splitting the data and causing different campaigns to bid against one another, driving up the cost of acquisition.</w:t>
      </w:r>
    </w:p>
    <w:p>
      <w:pPr>
        <w:pStyle w:val="ListParagraph"/>
        <w:numPr>
          <w:ilvl w:val="0"/>
          <w:numId w:val="2"/>
        </w:numPr>
      </w:pPr>
      <w:r>
        <w:t xml:space="preserve">Scaling Bottleneck: Without clear segmentation between networks (Search vs. Shopping vs. Video), the brand couldn’t identify which lever to pull to increase volume without tanking efficiency.</w:t>
      </w:r>
    </w:p>
    <w:p>
      <w:pPr>
        <w:pStyle w:val="Heading2"/>
      </w:pPr>
      <w:r>
        <w:rPr>
          <w:b/>
          <w:bCs/>
        </w:rPr>
        <w:t xml:space="preserve">The Strategy</w:t>
      </w:r>
    </w:p>
    <w:p>
      <w:pPr>
        <w:pStyle w:val="Heading3"/>
      </w:pPr>
      <w:r>
        <w:rPr>
          <w:b/>
          <w:bCs/>
        </w:rPr>
        <w:t xml:space="preserve">Deconstructing the Machine for Precision Scale</w:t>
      </w:r>
    </w:p>
    <w:p>
      <w:pPr>
        <w:spacing w:after="200"/>
      </w:pPr>
      <w:r>
        <w:t xml:space="preserve">We moved away from a “set it and forget it” automated approach and returned to a manual, high-control architecture designed for high-ticket sales.</w:t>
      </w:r>
    </w:p>
    <w:p>
      <w:pPr>
        <w:pStyle w:val="ListParagraph"/>
        <w:numPr>
          <w:ilvl w:val="0"/>
          <w:numId w:val="2"/>
        </w:numPr>
      </w:pPr>
      <w:r>
        <w:t xml:space="preserve">“Cutting the Fat”: We conducted a radical audit, pausing redundant campaigns and eliminating wasted spend on non-performing assets. This immediately consolidated the data and cleaned up the account’s “signal.”</w:t>
      </w:r>
    </w:p>
    <w:p>
      <w:pPr>
        <w:pStyle w:val="ListParagraph"/>
        <w:numPr>
          <w:ilvl w:val="0"/>
          <w:numId w:val="2"/>
        </w:numPr>
      </w:pPr>
      <w:r>
        <w:t xml:space="preserve">Manual Network Control: We moved beyond the PMax black box. We rebuilt dedicated, manual campaigns for Search and Shopping. This allowed us to optimize the product feed for high-intent shoppers and craft specific messaging for high-ticket buyers.</w:t>
      </w:r>
    </w:p>
    <w:p>
      <w:pPr>
        <w:pStyle w:val="ListParagraph"/>
        <w:numPr>
          <w:ilvl w:val="0"/>
          <w:numId w:val="2"/>
        </w:numPr>
      </w:pPr>
      <w:r>
        <w:t xml:space="preserve">YouTube for Top-of-Funnel: High-ticket items require education and social proof. We scaled YouTube Top-of-Funnel (TOF) campaigns to introduce the machine to new audiences, building the “desire” before they even reached the Search bar.</w:t>
      </w:r>
    </w:p>
    <w:p>
      <w:pPr>
        <w:pStyle w:val="ListParagraph"/>
        <w:numPr>
          <w:ilvl w:val="0"/>
          <w:numId w:val="2"/>
        </w:numPr>
      </w:pPr>
      <w:r>
        <w:t xml:space="preserve">Feed Optimization: We overhauled the product feed to ensure the machine appeared for the most relevant, high-value technical queries, ensuring we weren’t wasting money on “cheap” or irrelevant searches.</w:t>
      </w:r>
    </w:p>
    <w:p>
      <w:pPr>
        <w:pStyle w:val="Heading2"/>
      </w:pPr>
      <w:r>
        <w:rPr>
          <w:b/>
          <w:bCs/>
        </w:rPr>
        <w:t xml:space="preserve">The Results</w:t>
      </w:r>
    </w:p>
    <w:p>
      <w:pPr>
        <w:pStyle w:val="Heading3"/>
      </w:pPr>
      <w:r>
        <w:rPr>
          <w:b/>
          <w:bCs/>
        </w:rPr>
        <w:t xml:space="preserve">Consistent 5x Efficiency at Scale</w:t>
      </w:r>
    </w:p>
    <w:p>
      <w:pPr>
        <w:spacing w:after="200"/>
      </w:pPr>
      <w:r>
        <w:t xml:space="preserve">By moving to a more intentional, segmented structure, we didn’t just grow the account—we transformed its role in the client’s business.</w:t>
      </w:r>
    </w:p>
    <w:p>
      <w:pPr>
        <w:pStyle w:val="ListParagraph"/>
        <w:numPr>
          <w:ilvl w:val="0"/>
          <w:numId w:val="2"/>
        </w:numPr>
      </w:pPr>
      <w:r>
        <w:t xml:space="preserve">300% Account Scale: Over a two-year period, we successfully tripled the account’s capacity for spend while maintaining performance.</w:t>
      </w:r>
    </w:p>
    <w:p>
      <w:pPr>
        <w:pStyle w:val="ListParagraph"/>
        <w:numPr>
          <w:ilvl w:val="0"/>
          <w:numId w:val="2"/>
        </w:numPr>
      </w:pPr>
      <w:r>
        <w:t xml:space="preserve">170% Revenue Growth: Google Ads became a primary driver of the brand’s expansion, delivering massive year-over-year revenue increases.</w:t>
      </w:r>
    </w:p>
    <w:p>
      <w:pPr>
        <w:pStyle w:val="ListParagraph"/>
        <w:numPr>
          <w:ilvl w:val="0"/>
          <w:numId w:val="2"/>
        </w:numPr>
      </w:pPr>
      <w:r>
        <w:t xml:space="preserve">Consistent 5x+ Efficiency: Even while scaling aggressively into cold traffic and YouTube, we maintained a consistent 5x ROI, proving that high-ticket items can be sold efficiently at high volumes.</w:t>
      </w:r>
    </w:p>
    <w:p>
      <w:pPr>
        <w:pStyle w:val="Heading2"/>
      </w:pPr>
      <w:r>
        <w:rPr>
          <w:b/>
          <w:bCs/>
        </w:rPr>
        <w:t xml:space="preserve">Summary</w:t>
      </w:r>
    </w:p>
    <w:p>
      <w:pPr>
        <w:spacing w:after="200"/>
      </w:pPr>
      <w:r>
        <w:t xml:space="preserve">The Lesson: High-ticket items require high-touch management.</w:t>
      </w:r>
    </w:p>
    <w:p>
      <w:pPr>
        <w:spacing w:after="200"/>
      </w:pPr>
      <w:r>
        <w:t xml:space="preserve">Automation is a tool, not a strategy. By pulling the “Search” and “Shopping” levers manually and feeding the top of the funnel with YouTube, we broke through a scale bottleneck that had frustrated the brand for years.</w:t>
      </w:r>
    </w:p>
    <w:p>
      <w:pPr>
        <w:spacing w:after="200"/>
      </w:pPr>
      <w:r>
        <w:t xml:space="preserve">Selling a complex, high-ticket product? Let’s build an account that can actually handle the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2026-04-06T22:08:32.396Z</dcterms:created>
  <dcterms:modified xsi:type="dcterms:W3CDTF">2026-04-06T22:08:32.396Z</dcterms:modified>
</cp:coreProperties>
</file>

<file path=docProps/custom.xml><?xml version="1.0" encoding="utf-8"?>
<Properties xmlns="http://schemas.openxmlformats.org/officeDocument/2006/custom-properties" xmlns:vt="http://schemas.openxmlformats.org/officeDocument/2006/docPropsVTypes"/>
</file>