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From Chaos to 3x Growth: How We Scaled a Jewelry Brand by Cleaning Up the Data</w:t>
      </w:r>
    </w:p>
    <w:p>
      <w:pPr>
        <w:pStyle w:val="Heading2"/>
      </w:pPr>
      <w:r>
        <w:rPr>
          <w:b/>
          <w:bCs/>
        </w:rPr>
        <w:t xml:space="preserve">Highlight</w:t>
      </w:r>
    </w:p>
    <w:p>
      <w:pPr>
        <w:pStyle w:val="ListParagraph"/>
        <w:numPr>
          <w:ilvl w:val="0"/>
          <w:numId w:val="2"/>
        </w:numPr>
      </w:pPr>
      <w:r>
        <w:t xml:space="preserve">Jewelry is one of the most competitive niche in the market and this brand was able to be unique and stay on theme with the ocean to be unique to scale.</w:t>
      </w:r>
    </w:p>
    <w:p>
      <w:pPr>
        <w:pStyle w:val="Heading2"/>
      </w:pPr>
      <w:r>
        <w:rPr>
          <w:b/>
          <w:bCs/>
        </w:rPr>
        <w:t xml:space="preserve">Intro</w:t>
      </w:r>
    </w:p>
    <w:p>
      <w:pPr>
        <w:spacing w:after="200"/>
      </w:pPr>
      <w:r>
        <w:t xml:space="preserve">For a brand selling handmade, sea-inspired jewelry, the product naturally evokes emotion. But the ad account was doing the opposite—it was a mess of logic errors and disorganized campaigns.</w:t>
      </w:r>
    </w:p>
    <w:p>
      <w:pPr>
        <w:spacing w:after="200"/>
      </w:pPr>
      <w:r>
        <w:t xml:space="preserve">When we took over, the brand was stuck in a low-growth cycle. They were relying almost entirely on Branded traffic (people searching for their name), meaning they weren’t actually acquiring new customers. Worse, the account was impossible to optimize because it was tracking “multiple primary conversions,” essentially confusing the algorithm about what success actually looked like.</w:t>
      </w:r>
    </w:p>
    <w:p>
      <w:pPr>
        <w:pStyle w:val="Heading2"/>
      </w:pPr>
      <w:r>
        <w:rPr>
          <w:b/>
          <w:bCs/>
        </w:rPr>
        <w:t xml:space="preserve">The Problem</w:t>
      </w:r>
    </w:p>
    <w:p>
      <w:pPr>
        <w:pStyle w:val="Heading3"/>
      </w:pPr>
      <w:r>
        <w:rPr>
          <w:b/>
          <w:bCs/>
        </w:rPr>
        <w:t xml:space="preserve">You Can’t Scale Chaos</w:t>
      </w:r>
    </w:p>
    <w:p>
      <w:pPr>
        <w:spacing w:after="200"/>
      </w:pPr>
      <w:r>
        <w:t xml:space="preserve">The major roadblock wasn’t the creative or the product; it was the infrastructure. The account was built on a shaky foundation that prevented the machine learning from finding new buyers.</w:t>
      </w:r>
    </w:p>
    <w:p>
      <w:pPr>
        <w:pStyle w:val="ListParagraph"/>
        <w:numPr>
          <w:ilvl w:val="0"/>
          <w:numId w:val="2"/>
        </w:numPr>
      </w:pPr>
      <w:r>
        <w:t xml:space="preserve">Confusing the Algorithm: The account was tracking multiple “primary” conversion actions simultaneously. This meant Google couldn’t distinguish between a high-value purchase and a low-value action, making optimization impossible.</w:t>
      </w:r>
    </w:p>
    <w:p>
      <w:pPr>
        <w:pStyle w:val="ListParagraph"/>
        <w:numPr>
          <w:ilvl w:val="0"/>
          <w:numId w:val="2"/>
        </w:numPr>
      </w:pPr>
      <w:r>
        <w:t xml:space="preserve">The “Brand Crutch”: The structure was disorganized and heavily skewed toward branded keywords. They were capturing demand that already existed but failed to generate any new demand from cold traffic.</w:t>
      </w:r>
    </w:p>
    <w:p>
      <w:pPr>
        <w:pStyle w:val="ListParagraph"/>
        <w:numPr>
          <w:ilvl w:val="0"/>
          <w:numId w:val="2"/>
        </w:numPr>
      </w:pPr>
      <w:r>
        <w:t xml:space="preserve">Unoptimized Shopping Feed: Without a clear hierarchy, best-selling pieces were getting lost in the mix, receiving the same budget priority as low-interest items.</w:t>
      </w:r>
    </w:p>
    <w:p>
      <w:pPr>
        <w:pStyle w:val="Heading2"/>
      </w:pPr>
      <w:r>
        <w:rPr>
          <w:b/>
          <w:bCs/>
        </w:rPr>
        <w:t xml:space="preserve">The Strategy</w:t>
      </w:r>
    </w:p>
    <w:p>
      <w:pPr>
        <w:pStyle w:val="Heading3"/>
      </w:pPr>
      <w:r>
        <w:rPr>
          <w:b/>
          <w:bCs/>
        </w:rPr>
        <w:t xml:space="preserve">A “Bottom-Up” Rebuild</w:t>
      </w:r>
    </w:p>
    <w:p>
      <w:pPr>
        <w:spacing w:after="200"/>
      </w:pPr>
      <w:r>
        <w:t xml:space="preserve">We didn’t just tweak the campaigns; we tore the house down and rebuilt the foundation. Our focus was on creating a “single source of truth” for the data and a clear hierarchy for the products.</w:t>
      </w:r>
    </w:p>
    <w:p>
      <w:pPr>
        <w:pStyle w:val="ListParagraph"/>
        <w:numPr>
          <w:ilvl w:val="0"/>
          <w:numId w:val="2"/>
        </w:numPr>
      </w:pPr>
      <w:r>
        <w:t xml:space="preserve">One Source of Truth: We reconfigured the tracking to focus on 1 primary conversion action (Purchase). We also implemented Customer List Imports to feed offline data back into Google, giving the algorithm a clearer picture of high-value customers.</w:t>
      </w:r>
    </w:p>
    <w:p>
      <w:pPr>
        <w:pStyle w:val="ListParagraph"/>
        <w:numPr>
          <w:ilvl w:val="0"/>
          <w:numId w:val="2"/>
        </w:numPr>
      </w:pPr>
      <w:r>
        <w:t xml:space="preserve">Feed &amp; Segmentation: We optimized the entire Shopping feed, rewriting titles and attributes for better search relevance. We then segmented the campaigns by product category, prioritizing the budget toward the “bestsellers” to ensure the most popular items got the most visibility.</w:t>
      </w:r>
    </w:p>
    <w:p>
      <w:pPr>
        <w:pStyle w:val="ListParagraph"/>
        <w:numPr>
          <w:ilvl w:val="0"/>
          <w:numId w:val="2"/>
        </w:numPr>
      </w:pPr>
      <w:r>
        <w:t xml:space="preserve">Creative Overhaul: We launched fresh ad copy designed to hook cold traffic, moving away from generic brand messaging to story-driven copy that highlighted the unique, handmade nature of the sea-inspired pieces.</w:t>
      </w:r>
    </w:p>
    <w:p>
      <w:pPr>
        <w:pStyle w:val="Heading2"/>
      </w:pPr>
      <w:r>
        <w:rPr>
          <w:b/>
          <w:bCs/>
        </w:rPr>
        <w:t xml:space="preserve">The Results</w:t>
      </w:r>
    </w:p>
    <w:p>
      <w:pPr>
        <w:pStyle w:val="Heading3"/>
      </w:pPr>
      <w:r>
        <w:rPr>
          <w:b/>
          <w:bCs/>
        </w:rPr>
        <w:t xml:space="preserve">Sustainable Scaling Over 24 Months</w:t>
      </w:r>
    </w:p>
    <w:p>
      <w:pPr>
        <w:spacing w:after="200"/>
      </w:pPr>
      <w:r>
        <w:t xml:space="preserve">The impact of this rebuild wasn’t just a quick spike; it created a consistent trajectory of growth. By aligning the data and the product feed, we were able to aggressively scale spend without sacrificing profitability.</w:t>
      </w:r>
    </w:p>
    <w:p>
      <w:pPr>
        <w:pStyle w:val="ListParagraph"/>
        <w:numPr>
          <w:ilvl w:val="0"/>
          <w:numId w:val="2"/>
        </w:numPr>
      </w:pPr>
      <w:r>
        <w:t xml:space="preserve">3x Revenue Growth: Over a two-year period, we successfully scaled the account, tripling the Google Ads revenue.</w:t>
      </w:r>
    </w:p>
    <w:p>
      <w:pPr>
        <w:pStyle w:val="ListParagraph"/>
        <w:numPr>
          <w:ilvl w:val="0"/>
          <w:numId w:val="2"/>
        </w:numPr>
      </w:pPr>
      <w:r>
        <w:t xml:space="preserve">Sustainable Efficiency (20% nCAC/AOV): Despite the massive scale, we maintained strict profitability. We kept the New Customer Acquisition Cost (nCAC) at a steady 20% of the Average Order Value.</w:t>
      </w:r>
    </w:p>
    <w:p>
      <w:pPr>
        <w:pStyle w:val="ListParagraph"/>
        <w:numPr>
          <w:ilvl w:val="0"/>
          <w:numId w:val="2"/>
        </w:numPr>
      </w:pPr>
      <w:r>
        <w:t xml:space="preserve">From “Branded” to “Prospecting”: The account is no longer dependent on people already knowing the name. It is now a reliable engine for bringing in strangers and turning them into customers.</w:t>
      </w:r>
    </w:p>
    <w:p>
      <w:pPr>
        <w:pStyle w:val="Heading2"/>
      </w:pPr>
      <w:r>
        <w:rPr>
          <w:b/>
          <w:bCs/>
        </w:rPr>
        <w:t xml:space="preserve">Summary</w:t>
      </w:r>
    </w:p>
    <w:p>
      <w:pPr>
        <w:spacing w:after="200"/>
      </w:pPr>
      <w:r>
        <w:t xml:space="preserve">The Lesson: Clean data precedes scale.</w:t>
      </w:r>
    </w:p>
    <w:p>
      <w:pPr>
        <w:spacing w:after="200"/>
      </w:pPr>
      <w:r>
        <w:t xml:space="preserve">You cannot force budget into a broken structure and expect it to grow. By simplifying the conversion goals and organizing the product feed by priority, we turned a confused ad account into a long-term growth machine.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2026-04-06T22:08:32.482Z</dcterms:created>
  <dcterms:modified xsi:type="dcterms:W3CDTF">2026-04-06T22:08:32.482Z</dcterms:modified>
</cp:coreProperties>
</file>

<file path=docProps/custom.xml><?xml version="1.0" encoding="utf-8"?>
<Properties xmlns="http://schemas.openxmlformats.org/officeDocument/2006/custom-properties" xmlns:vt="http://schemas.openxmlformats.org/officeDocument/2006/docPropsVTypes"/>
</file>