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From Cluttered to Dominant: How We Simplified a Smart Tech Account and Boosted ROI by 30%</w:t>
      </w:r>
    </w:p>
    <w:p>
      <w:pPr>
        <w:pStyle w:val="Heading2"/>
      </w:pPr>
      <w:r>
        <w:rPr>
          <w:b/>
          <w:bCs/>
        </w:rPr>
        <w:t xml:space="preserve">Highlight</w:t>
      </w:r>
    </w:p>
    <w:p>
      <w:pPr>
        <w:pStyle w:val="ListParagraph"/>
        <w:numPr>
          <w:ilvl w:val="0"/>
          <w:numId w:val="2"/>
        </w:numPr>
      </w:pPr>
      <w:r>
        <w:t xml:space="preserve">Extremely well known and sold in all big box retail electronic stores across North America, Europe and Australia.</w:t>
      </w:r>
    </w:p>
    <w:p>
      <w:pPr>
        <w:pStyle w:val="Heading2"/>
      </w:pPr>
      <w:r>
        <w:rPr>
          <w:b/>
          <w:bCs/>
        </w:rPr>
        <w:t xml:space="preserve">Intro</w:t>
      </w:r>
    </w:p>
    <w:p>
      <w:pPr>
        <w:spacing w:after="200"/>
      </w:pPr>
      <w:r>
        <w:t xml:space="preserve">Being the pioneer in the smart meditation headband space offers a first-mover advantage, but it also paints a target on your back for cheap knockoffs.</w:t>
      </w:r>
    </w:p>
    <w:p>
      <w:pPr>
        <w:spacing w:after="200"/>
      </w:pPr>
      <w:r>
        <w:t xml:space="preserve">When we audited this brand, we found an account that was fighting itself. Despite having a lean product line (only 2 SKUs), the ad account was bloated with duplicate campaigns and over-complicated structures. To make matters worse, the previous strategy was obsessed with high ROAS targets, which was effectively “choking” the campaigns, limiting their reach and leaving the door open for competitors to steal market share on Shopping.</w:t>
      </w:r>
    </w:p>
    <w:p>
      <w:pPr>
        <w:pStyle w:val="Heading2"/>
      </w:pPr>
      <w:r>
        <w:rPr>
          <w:b/>
          <w:bCs/>
        </w:rPr>
        <w:t xml:space="preserve">The Problem</w:t>
      </w:r>
    </w:p>
    <w:p>
      <w:pPr>
        <w:pStyle w:val="Heading3"/>
      </w:pPr>
      <w:r>
        <w:rPr>
          <w:b/>
          <w:bCs/>
        </w:rPr>
        <w:t xml:space="preserve">Over-Engineering a Simple Product</w:t>
      </w:r>
    </w:p>
    <w:p>
      <w:pPr>
        <w:spacing w:after="200"/>
      </w:pPr>
      <w:r>
        <w:t xml:space="preserve">The account was suffering from “complexity bias.” They previous had set up multiple campaigns with the exact same targeting and content, causing internal competition and inefficient spend.</w:t>
      </w:r>
    </w:p>
    <w:p>
      <w:pPr>
        <w:pStyle w:val="ListParagraph"/>
        <w:numPr>
          <w:ilvl w:val="0"/>
          <w:numId w:val="2"/>
        </w:numPr>
      </w:pPr>
      <w:r>
        <w:t xml:space="preserve">Duplicate Chaos: The account was riddled with duplicate campaigns targeting the same audiences with the same creative. This split the data, inflated the New Customer Acquisition Cost (nCAC), and prevented any single campaign from exiting the “learning phase.”</w:t>
      </w:r>
    </w:p>
    <w:p>
      <w:pPr>
        <w:pStyle w:val="ListParagraph"/>
        <w:numPr>
          <w:ilvl w:val="0"/>
          <w:numId w:val="2"/>
        </w:numPr>
      </w:pPr>
      <w:r>
        <w:t xml:space="preserve">The ROAS Stranglehold: The campaigns were set with aggressively high ROAS targets. While this sounds good on paper, in reality, it forced Google to bid too conservatively, restricting volume and preventing the brand from scaling.</w:t>
      </w:r>
    </w:p>
    <w:p>
      <w:pPr>
        <w:pStyle w:val="ListParagraph"/>
        <w:numPr>
          <w:ilvl w:val="0"/>
          <w:numId w:val="2"/>
        </w:numPr>
      </w:pPr>
      <w:r>
        <w:t xml:space="preserve">Bottom-of-Funnel Vision: The budget was heavily skewed toward “harvesting” existing demand (Bottom of Funnel), with almost no effort put into generating new interest (Top of Funnel).</w:t>
      </w:r>
    </w:p>
    <w:p>
      <w:pPr>
        <w:pStyle w:val="Heading2"/>
      </w:pPr>
      <w:r>
        <w:rPr>
          <w:b/>
          <w:bCs/>
        </w:rPr>
        <w:t xml:space="preserve">The Strategy</w:t>
      </w:r>
    </w:p>
    <w:p>
      <w:pPr>
        <w:pStyle w:val="Heading3"/>
      </w:pPr>
      <w:r>
        <w:rPr>
          <w:b/>
          <w:bCs/>
        </w:rPr>
        <w:t xml:space="preserve">Simplify, Dominate, and Defend</w:t>
      </w:r>
    </w:p>
    <w:p>
      <w:pPr>
        <w:spacing w:after="200"/>
      </w:pPr>
      <w:r>
        <w:t xml:space="preserve">With only two core products, we didn’t need a labyrinth of campaigns. We initiated a “radical simplification” to consolidate the data and free up the algorithm to bid aggressively against competitors.</w:t>
      </w:r>
    </w:p>
    <w:p>
      <w:pPr>
        <w:pStyle w:val="ListParagraph"/>
        <w:numPr>
          <w:ilvl w:val="0"/>
          <w:numId w:val="2"/>
        </w:numPr>
      </w:pPr>
      <w:r>
        <w:t xml:space="preserve">Consolidation: We immediately paused the duplicate campaigns. We concentrated the budget into the top-performing historical campaigns to give the algorithm a “single source of truth.”</w:t>
      </w:r>
    </w:p>
    <w:p>
      <w:pPr>
        <w:pStyle w:val="ListParagraph"/>
        <w:numPr>
          <w:ilvl w:val="0"/>
          <w:numId w:val="2"/>
        </w:numPr>
      </w:pPr>
      <w:r>
        <w:t xml:space="preserve">Aggressive Bidding on Shopping: We deliberately lowered the ROAS targets on key Shopping campaigns. This allowed us to bid more aggressively, dominating the impression share to drown out cheap knock-offs and competitors.</w:t>
      </w:r>
    </w:p>
    <w:p>
      <w:pPr>
        <w:pStyle w:val="ListParagraph"/>
        <w:numPr>
          <w:ilvl w:val="0"/>
          <w:numId w:val="2"/>
        </w:numPr>
      </w:pPr>
      <w:r>
        <w:t xml:space="preserve">Flipping to Top-of-Funnel (TOF): We shifted the focus from retargeting to prospecting. By feeding the top of the funnel, we ensured the brand wasn’t just recycling old leads but actively expanding its total addressable market.</w:t>
      </w:r>
    </w:p>
    <w:p>
      <w:pPr>
        <w:pStyle w:val="Heading2"/>
      </w:pPr>
      <w:r>
        <w:rPr>
          <w:b/>
          <w:bCs/>
        </w:rPr>
        <w:t xml:space="preserve">The Results</w:t>
      </w:r>
    </w:p>
    <w:p>
      <w:pPr>
        <w:pStyle w:val="Heading3"/>
      </w:pPr>
      <w:r>
        <w:rPr>
          <w:b/>
          <w:bCs/>
        </w:rPr>
        <w:t xml:space="preserve">More Traffic, Higher ROI</w:t>
      </w:r>
    </w:p>
    <w:p>
      <w:pPr>
        <w:spacing w:after="200"/>
      </w:pPr>
      <w:r>
        <w:t xml:space="preserve">The impact of simplifying the account was immediate. By removing the internal competition and loosening the ROAS restrictions, we allowed the account to breathe—and grow.</w:t>
      </w:r>
    </w:p>
    <w:p>
      <w:pPr>
        <w:pStyle w:val="ListParagraph"/>
        <w:numPr>
          <w:ilvl w:val="0"/>
          <w:numId w:val="2"/>
        </w:numPr>
      </w:pPr>
      <w:r>
        <w:t xml:space="preserve">+47% Top-of-Funnel Traffic: By shifting focus away from pure efficiency and toward growth, we flooded the site with fresh, potential buyers.</w:t>
      </w:r>
    </w:p>
    <w:p>
      <w:pPr>
        <w:pStyle w:val="ListParagraph"/>
        <w:numPr>
          <w:ilvl w:val="0"/>
          <w:numId w:val="2"/>
        </w:numPr>
      </w:pPr>
      <w:r>
        <w:t xml:space="preserve">+30% ROI Improvement: Counter-intuitively, by lowering the strict ROAS targets, we actually improved the overall ROI. Consolidating the data allowed the machine learning to work smarter, not harder.</w:t>
      </w:r>
    </w:p>
    <w:p>
      <w:pPr>
        <w:pStyle w:val="ListParagraph"/>
        <w:numPr>
          <w:ilvl w:val="0"/>
          <w:numId w:val="2"/>
        </w:numPr>
      </w:pPr>
      <w:r>
        <w:t xml:space="preserve">+20% Scale: The brand broke through its revenue ceiling, scaling up spend and revenue simultaneously without blowing out the acquisition costs.</w:t>
      </w:r>
    </w:p>
    <w:p>
      <w:pPr>
        <w:pStyle w:val="Heading2"/>
      </w:pPr>
      <w:r>
        <w:rPr>
          <w:b/>
          <w:bCs/>
        </w:rPr>
        <w:t xml:space="preserve">Summary</w:t>
      </w:r>
    </w:p>
    <w:p>
      <w:pPr>
        <w:spacing w:after="200"/>
      </w:pPr>
      <w:r>
        <w:t xml:space="preserve">The Lesson: Don’t over-complicate your best sellers.</w:t>
      </w:r>
    </w:p>
    <w:p>
      <w:pPr>
        <w:spacing w:after="200"/>
      </w:pPr>
      <w:r>
        <w:t xml:space="preserve">When you have a focused product line, a complex ad account isn’t an asset, it’s a liability. By eliminating duplicate campaigns and focusing on Top-of-Funnel traffic, we proved that a simple, aggressive structure beats a complicated one every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180" w:before="180"/>
    </w:pPr>
    <w:rPr>
      <w:rFonts w:ascii="Arial" w:cs="Arial" w:eastAsia="Arial" w:hAnsi="Arial"/>
      <w:b/>
      <w:bCs/>
      <w:sz w:val="28"/>
      <w:szCs w:val="28"/>
    </w:rPr>
  </w:style>
  <w:style w:type="paragraph" w:styleId="Heading3">
    <w:name w:val="Heading 3"/>
    <w:basedOn w:val="Normal"/>
    <w:next w:val="Normal"/>
    <w:qFormat/>
    <w:pPr>
      <w:spacing w:after="120" w:before="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2026-04-06T22:08:32.413Z</dcterms:created>
  <dcterms:modified xsi:type="dcterms:W3CDTF">2026-04-06T22:08:32.413Z</dcterms:modified>
</cp:coreProperties>
</file>

<file path=docProps/custom.xml><?xml version="1.0" encoding="utf-8"?>
<Properties xmlns="http://schemas.openxmlformats.org/officeDocument/2006/custom-properties" xmlns:vt="http://schemas.openxmlformats.org/officeDocument/2006/docPropsVTypes"/>
</file>