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How We Fixed “Fake” Data and Dropped New Customer Acquisition Costs from $40 to $15</w:t>
      </w:r>
    </w:p>
    <w:p>
      <w:pPr>
        <w:pStyle w:val="Heading2"/>
      </w:pPr>
      <w:r>
        <w:rPr>
          <w:b/>
          <w:bCs/>
        </w:rPr>
        <w:t xml:space="preserve">Highlight</w:t>
      </w:r>
    </w:p>
    <w:p>
      <w:pPr>
        <w:pStyle w:val="ListParagraph"/>
        <w:numPr>
          <w:ilvl w:val="0"/>
          <w:numId w:val="2"/>
        </w:numPr>
      </w:pPr>
      <w:r>
        <w:t xml:space="preserve">Has over 10,000 Skus, carrying over 10 different brands</w:t>
      </w:r>
    </w:p>
    <w:p>
      <w:pPr>
        <w:pStyle w:val="ListParagraph"/>
        <w:numPr>
          <w:ilvl w:val="0"/>
          <w:numId w:val="2"/>
        </w:numPr>
      </w:pPr>
      <w:r>
        <w:t xml:space="preserve">Well known supplier/retailer in the niche/hobby</w:t>
      </w:r>
    </w:p>
    <w:p>
      <w:pPr>
        <w:spacing w:after="200"/>
      </w:pPr>
      <w:r>
        <w:t xml:space="preserve">For a niche retailer selling brain teaser puzzles, relying on loyal hobbyists is great, but paying for them repeatedly on Google Ads is a waste of budget.</w:t>
      </w:r>
    </w:p>
    <w:p>
      <w:pPr>
        <w:spacing w:after="200"/>
      </w:pPr>
      <w:r>
        <w:t xml:space="preserve">This client came to us with an account that looked healthy on the surface, but something felt off. They had high repeat purchase rates, but their growth had plateaued. Our audit quickly revealed why: the account was flying blind due to misconfigured conversion tracking that inflated performance, and a “lazy” campaign structure that was burying their best products.</w:t>
      </w:r>
    </w:p>
    <w:p>
      <w:pPr>
        <w:pStyle w:val="Heading2"/>
      </w:pPr>
      <w:r>
        <w:rPr>
          <w:b/>
          <w:bCs/>
        </w:rPr>
        <w:t xml:space="preserve">The Problem</w:t>
      </w:r>
    </w:p>
    <w:p>
      <w:pPr>
        <w:pStyle w:val="Heading3"/>
      </w:pPr>
      <w:r>
        <w:rPr>
          <w:b/>
          <w:bCs/>
        </w:rPr>
        <w:t xml:space="preserve">A Black Box of Wasted Spend</w:t>
      </w:r>
    </w:p>
    <w:p>
      <w:pPr>
        <w:spacing w:after="200"/>
      </w:pPr>
      <w:r>
        <w:t xml:space="preserve">Our initial audit uncovered that the account was effectively hiding its own best performers. Between broken tracking and a lack of structure, the business was making decisions based on faulty numbers while best-selling products were starved of budget.</w:t>
      </w:r>
    </w:p>
    <w:p>
      <w:pPr>
        <w:pStyle w:val="ListParagraph"/>
        <w:numPr>
          <w:ilvl w:val="0"/>
          <w:numId w:val="2"/>
        </w:numPr>
      </w:pPr>
      <w:r>
        <w:t xml:space="preserve">The “Fake Data” Trap: The previous tracking setup was misfiring, double-counting, or improperly attributing conversions. This inflated the reported results, making the agency look good while the business struggled to see actual ROI.</w:t>
      </w:r>
    </w:p>
    <w:p>
      <w:pPr>
        <w:pStyle w:val="ListParagraph"/>
        <w:numPr>
          <w:ilvl w:val="0"/>
          <w:numId w:val="2"/>
        </w:numPr>
      </w:pPr>
      <w:r>
        <w:t xml:space="preserve">The “Catch-All” Bucket: The entire product catalog was dumped into a single “Catch-All” campaign. This meant low-margin, low-interest items were stealing budget from the store’s most profitable, high-demand puzzle brand.</w:t>
      </w:r>
    </w:p>
    <w:p>
      <w:pPr>
        <w:pStyle w:val="ListParagraph"/>
        <w:numPr>
          <w:ilvl w:val="0"/>
          <w:numId w:val="2"/>
        </w:numPr>
      </w:pPr>
      <w:r>
        <w:t xml:space="preserve">Invisible on Search: Despite having a strong brand presence in the hobby community, they were largely ignoring Search and Shopping for their specific top-tier brand, missing out on high-intent buyers.</w:t>
      </w:r>
    </w:p>
    <w:p>
      <w:pPr>
        <w:pStyle w:val="Heading2"/>
      </w:pPr>
      <w:r>
        <w:rPr>
          <w:b/>
          <w:bCs/>
        </w:rPr>
        <w:t xml:space="preserve">The Strategy</w:t>
      </w:r>
    </w:p>
    <w:p>
      <w:pPr>
        <w:pStyle w:val="Heading3"/>
      </w:pPr>
      <w:r>
        <w:rPr>
          <w:b/>
          <w:bCs/>
        </w:rPr>
        <w:t xml:space="preserve">Rebuilding with Intention and Control</w:t>
      </w:r>
    </w:p>
    <w:p>
      <w:pPr>
        <w:spacing w:after="200"/>
      </w:pPr>
      <w:r>
        <w:t xml:space="preserve">We stripped the account down to the studs to replace the “set it and forget it” setup with a manual, granular approach. Our goal was to stop paying for what the client already had (returning customers) and start paying for what they needed (new growth).</w:t>
      </w:r>
    </w:p>
    <w:p>
      <w:pPr>
        <w:pStyle w:val="ListParagraph"/>
        <w:numPr>
          <w:ilvl w:val="0"/>
          <w:numId w:val="2"/>
        </w:numPr>
      </w:pPr>
      <w:r>
        <w:t xml:space="preserve">Data Integrity First: We fixed the conversion tracking immediately. You can’t optimize what you can’t measure accurately.</w:t>
      </w:r>
    </w:p>
    <w:p>
      <w:pPr>
        <w:pStyle w:val="ListParagraph"/>
        <w:numPr>
          <w:ilvl w:val="0"/>
          <w:numId w:val="2"/>
        </w:numPr>
      </w:pPr>
      <w:r>
        <w:t xml:space="preserve">Manual Shopping &amp; Brand Segmentation: We moved away from the “Catch-All” chaos. We launched Manual Shopping campaigns, allowing us to force budget specifically toward the most sought-after items and ensure the top-selling brand got the visibility it deserved.</w:t>
      </w:r>
    </w:p>
    <w:p>
      <w:pPr>
        <w:pStyle w:val="ListParagraph"/>
        <w:numPr>
          <w:ilvl w:val="0"/>
          <w:numId w:val="2"/>
        </w:numPr>
      </w:pPr>
      <w:r>
        <w:t xml:space="preserve">New Customer Optimization: We identified that the store had a naturally high repeat rate (hobbyists come back!). To stop wasting ad spend on loyal fans who would buy anyway, we changed the account’s conversion optimization goal to New Customers Only. This forced Google to hunt for fresh growth, not just easy repeats.</w:t>
      </w:r>
    </w:p>
    <w:p>
      <w:pPr>
        <w:pStyle w:val="Heading2"/>
      </w:pPr>
      <w:r>
        <w:rPr>
          <w:b/>
          <w:bCs/>
        </w:rPr>
        <w:t xml:space="preserve">Summary</w:t>
      </w:r>
    </w:p>
    <w:p>
      <w:pPr>
        <w:spacing w:after="200"/>
      </w:pPr>
      <w:r>
        <w:t xml:space="preserve">The Lesson: Stop buying your own customers back.</w:t>
      </w:r>
    </w:p>
    <w:p>
      <w:pPr>
        <w:spacing w:after="200"/>
      </w:pPr>
      <w:r>
        <w:t xml:space="preserve">The biggest win here wasn’t just fixing the broken data — it was stopping the algorithm from burning budget on people who were already going to buy.</w:t>
      </w:r>
    </w:p>
    <w:p>
      <w:pPr>
        <w:spacing w:after="200"/>
      </w:pPr>
      <w:r>
        <w:t xml:space="preserve">By shifting the goal to New Customer Acquisition and taking manual control of the best-selling products, we proved that granular strategy still beats “set it and forget it” automation. The result is a business that isn’t just maintaining revenue, but actively expanding its customer base at a fraction of the cost.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180" w:before="180"/>
    </w:pPr>
    <w:rPr>
      <w:rFonts w:ascii="Arial" w:cs="Arial" w:eastAsia="Arial" w:hAnsi="Arial"/>
      <w:b/>
      <w:bCs/>
      <w:sz w:val="28"/>
      <w:szCs w:val="28"/>
    </w:rPr>
  </w:style>
  <w:style w:type="paragraph" w:styleId="Heading3">
    <w:name w:val="Heading 3"/>
    <w:basedOn w:val="Normal"/>
    <w:next w:val="Normal"/>
    <w:qFormat/>
    <w:pPr>
      <w:spacing w:after="120" w:before="120"/>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2026-04-06T22:08:32.584Z</dcterms:created>
  <dcterms:modified xsi:type="dcterms:W3CDTF">2026-04-06T22:08:32.584Z</dcterms:modified>
</cp:coreProperties>
</file>

<file path=docProps/custom.xml><?xml version="1.0" encoding="utf-8"?>
<Properties xmlns="http://schemas.openxmlformats.org/officeDocument/2006/custom-properties" xmlns:vt="http://schemas.openxmlformats.org/officeDocument/2006/docPropsVTypes"/>
</file>