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Unlocking 20% Revenue Growth by Lowering ROAS Targets and Segmenting Intent</w:t>
      </w:r>
    </w:p>
    <w:p>
      <w:pPr>
        <w:pStyle w:val="Heading2"/>
      </w:pPr>
      <w:r>
        <w:rPr>
          <w:b/>
          <w:bCs/>
        </w:rPr>
        <w:t xml:space="preserve">Intro</w:t>
      </w:r>
    </w:p>
    <w:p>
      <w:pPr>
        <w:spacing w:after="200"/>
      </w:pPr>
      <w:r>
        <w:t xml:space="preserve">For a Direct-to-Consumer (DTC) RV mattress brand, the path to purchase is highly specific—customers aren’t just looking for “a bed,” they are looking for exact dimensions and comfort levels.</w:t>
      </w:r>
    </w:p>
    <w:p>
      <w:pPr>
        <w:spacing w:after="200"/>
      </w:pPr>
      <w:r>
        <w:t xml:space="preserve">When this client approached us, they were in a delicate position. They were experiencing a decline in performance, but they were also hesitant to change strategies, fearing that any disruption would hurt them during their critical sales season. The account was trapped in a cycle of diminishing returns: aggressive ROAS targets were strangling their Ad Rank, causing them to lose impression share to competitors while the prospecting pipeline dried up.</w:t>
      </w:r>
    </w:p>
    <w:p>
      <w:pPr>
        <w:pStyle w:val="Heading2"/>
      </w:pPr>
      <w:r>
        <w:rPr>
          <w:b/>
          <w:bCs/>
        </w:rPr>
        <w:t xml:space="preserve">The Problem</w:t>
      </w:r>
    </w:p>
    <w:p>
      <w:pPr>
        <w:pStyle w:val="Heading3"/>
      </w:pPr>
      <w:r>
        <w:rPr>
          <w:b/>
          <w:bCs/>
        </w:rPr>
        <w:t xml:space="preserve">The “Efficiency Trap” and Fear of Change</w:t>
      </w:r>
    </w:p>
    <w:p>
      <w:pPr>
        <w:spacing w:after="200"/>
      </w:pPr>
      <w:r>
        <w:t xml:space="preserve">The account was being suffocated by its own safety rails. By prioritizing an aggressively high ROAS target, the strategy was effectively telling Google to “bid small,” which caused the brand to disappear from valuable auctions.</w:t>
      </w:r>
    </w:p>
    <w:p>
      <w:pPr>
        <w:pStyle w:val="ListParagraph"/>
        <w:numPr>
          <w:ilvl w:val="0"/>
          <w:numId w:val="2"/>
        </w:numPr>
      </w:pPr>
      <w:r>
        <w:t xml:space="preserve">The Ad Rank Slide: The strict ROAS targets forced the algorithm to bid too conservatively. This tanked the Ad Rank, meaning the brand was losing visibility on high-intent searches right when customers were ready to buy.</w:t>
      </w:r>
    </w:p>
    <w:p>
      <w:pPr>
        <w:pStyle w:val="ListParagraph"/>
        <w:numPr>
          <w:ilvl w:val="0"/>
          <w:numId w:val="2"/>
        </w:numPr>
      </w:pPr>
      <w:r>
        <w:t xml:space="preserve">Broad vs. Specific Intent: The account structure treated mattress shoppers too broadly. It failed to account for the specific nuances of the customer journey (e.g., searching specifically for a “Short Queen” vs. a standard “King”).</w:t>
      </w:r>
    </w:p>
    <w:p>
      <w:pPr>
        <w:pStyle w:val="ListParagraph"/>
        <w:numPr>
          <w:ilvl w:val="0"/>
          <w:numId w:val="2"/>
        </w:numPr>
      </w:pPr>
      <w:r>
        <w:t xml:space="preserve">Stagnant Creative: Without a fresh approach to ad copy, the Click-Through Rate (CTR) had plateaued, further hurting the quality score.</w:t>
      </w:r>
    </w:p>
    <w:p>
      <w:pPr>
        <w:pStyle w:val="Heading2"/>
      </w:pPr>
      <w:r>
        <w:rPr>
          <w:b/>
          <w:bCs/>
        </w:rPr>
        <w:t xml:space="preserve">The Strategy</w:t>
      </w:r>
    </w:p>
    <w:p>
      <w:pPr>
        <w:pStyle w:val="Heading3"/>
      </w:pPr>
      <w:r>
        <w:rPr>
          <w:b/>
          <w:bCs/>
        </w:rPr>
        <w:t xml:space="preserve">Structuring for Specificity and Aggression</w:t>
      </w:r>
    </w:p>
    <w:p>
      <w:pPr>
        <w:spacing w:after="200"/>
      </w:pPr>
      <w:r>
        <w:t xml:space="preserve">To reverse the decline, we had to move the client past their fear of volatility and implement a structure that mirrored how their customers actually shopped.</w:t>
      </w:r>
    </w:p>
    <w:p>
      <w:pPr>
        <w:pStyle w:val="ListParagraph"/>
        <w:numPr>
          <w:ilvl w:val="0"/>
          <w:numId w:val="2"/>
        </w:numPr>
      </w:pPr>
      <w:r>
        <w:t xml:space="preserve">Intent-Based Segmentation: We reorganized the account by specific attributes, creating dedicated campaigns for different mattress sizes and comfort levels. This allowed us to serve highly relevant ads that matched the user’s exact search query.</w:t>
      </w:r>
    </w:p>
    <w:p>
      <w:pPr>
        <w:pStyle w:val="ListParagraph"/>
        <w:numPr>
          <w:ilvl w:val="0"/>
          <w:numId w:val="2"/>
        </w:numPr>
      </w:pPr>
      <w:r>
        <w:t xml:space="preserve">Strategic ROAS Relaxation: We deliberately lowered the ROAS targets. This counter-intuitive move allowed us to enter more auctions, improve Ad Rank, and capture volume that the previous strategy was leaving on the table.</w:t>
      </w:r>
    </w:p>
    <w:p>
      <w:pPr>
        <w:pStyle w:val="ListParagraph"/>
        <w:numPr>
          <w:ilvl w:val="0"/>
          <w:numId w:val="2"/>
        </w:numPr>
      </w:pPr>
      <w:r>
        <w:t xml:space="preserve">Creative Refresh: We updated the search ad copy to prioritize the best-selling models, ensuring the messaging aligned perfectly with the new, granular campaign structure.</w:t>
      </w:r>
    </w:p>
    <w:p>
      <w:pPr>
        <w:pStyle w:val="Heading2"/>
      </w:pPr>
      <w:r>
        <w:rPr>
          <w:b/>
          <w:bCs/>
        </w:rPr>
        <w:t xml:space="preserve">The Results</w:t>
      </w:r>
    </w:p>
    <w:p>
      <w:pPr>
        <w:pStyle w:val="Heading3"/>
      </w:pPr>
      <w:r>
        <w:rPr>
          <w:b/>
          <w:bCs/>
        </w:rPr>
        <w:t xml:space="preserve">Dominating the Auction During Peak Season</w:t>
      </w:r>
    </w:p>
    <w:p>
      <w:pPr>
        <w:spacing w:after="200"/>
      </w:pPr>
      <w:r>
        <w:t xml:space="preserve">By loosening the “ROAS chokehold” and aligning the structure with user intent, we didn’t just stop the decline—we captured massive market share during the brand’s most important quarter.</w:t>
      </w:r>
    </w:p>
    <w:p>
      <w:pPr>
        <w:pStyle w:val="ListParagraph"/>
        <w:numPr>
          <w:ilvl w:val="0"/>
          <w:numId w:val="2"/>
        </w:numPr>
      </w:pPr>
      <w:r>
        <w:t xml:space="preserve">+20% Revenue (At Profit): We hit the client’s aggressive revenue goals during peak season, driving a 20% increase in sales from Google Ads.</w:t>
      </w:r>
    </w:p>
    <w:p>
      <w:pPr>
        <w:pStyle w:val="ListParagraph"/>
        <w:numPr>
          <w:ilvl w:val="0"/>
          <w:numId w:val="2"/>
        </w:numPr>
      </w:pPr>
      <w:r>
        <w:t xml:space="preserve">+37% Efficiency Improvement: Despite lowering the target ROAS to bid more aggressively, the overall efficiency of the account actually improved by 37% due to higher quality traffic and better conversion rates.</w:t>
      </w:r>
    </w:p>
    <w:p>
      <w:pPr>
        <w:pStyle w:val="ListParagraph"/>
        <w:numPr>
          <w:ilvl w:val="0"/>
          <w:numId w:val="2"/>
        </w:numPr>
      </w:pPr>
      <w:r>
        <w:t xml:space="preserve">Dominating the Search/Shopping network: +72% Impressions, +57% Clicks, +16.9% Search Impression Share.</w:t>
      </w:r>
    </w:p>
    <w:p>
      <w:pPr>
        <w:pStyle w:val="Heading2"/>
      </w:pPr>
      <w:r>
        <w:rPr>
          <w:b/>
          <w:bCs/>
        </w:rPr>
        <w:t xml:space="preserve">Summary</w:t>
      </w:r>
    </w:p>
    <w:p>
      <w:pPr>
        <w:spacing w:after="200"/>
      </w:pPr>
      <w:r>
        <w:t xml:space="preserve">The Lesson: Sometimes you have to “pay” to play.</w:t>
      </w:r>
    </w:p>
    <w:p>
      <w:pPr>
        <w:spacing w:after="200"/>
      </w:pPr>
      <w:r>
        <w:t xml:space="preserve">Chasing an arbitrarily high ROAS target can choke your growth. By aligning the account structure with the specific needs of the customer (mattress size) and bidding aggressively enough to win the auction, we turned a declining account into a market leader.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180" w:before="180"/>
    </w:pPr>
    <w:rPr>
      <w:rFonts w:ascii="Arial" w:cs="Arial" w:eastAsia="Arial" w:hAnsi="Arial"/>
      <w:b/>
      <w:bCs/>
      <w:sz w:val="28"/>
      <w:szCs w:val="28"/>
    </w:rPr>
  </w:style>
  <w:style w:type="paragraph" w:styleId="Heading3">
    <w:name w:val="Heading 3"/>
    <w:basedOn w:val="Normal"/>
    <w:next w:val="Normal"/>
    <w:qFormat/>
    <w:pPr>
      <w:spacing w:after="120" w:before="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2026-04-06T22:08:32.611Z</dcterms:created>
  <dcterms:modified xsi:type="dcterms:W3CDTF">2026-04-06T22:08:32.611Z</dcterms:modified>
</cp:coreProperties>
</file>

<file path=docProps/custom.xml><?xml version="1.0" encoding="utf-8"?>
<Properties xmlns="http://schemas.openxmlformats.org/officeDocument/2006/custom-properties" xmlns:vt="http://schemas.openxmlformats.org/officeDocument/2006/docPropsVTypes"/>
</file>