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Scaling a Organic Tallow Skincare D2C Brand from $100K to $600K/Month in Revenue</w:t>
      </w:r>
    </w:p>
    <w:p>
      <w:pPr>
        <w:pStyle w:val="Heading2"/>
      </w:pPr>
      <w:r>
        <w:rPr>
          <w:b/>
          <w:bCs/>
        </w:rPr>
        <w:t xml:space="preserve">Highlight</w:t>
      </w:r>
    </w:p>
    <w:p>
      <w:pPr>
        <w:pStyle w:val="ListParagraph"/>
        <w:numPr>
          <w:ilvl w:val="0"/>
          <w:numId w:val="2"/>
        </w:numPr>
      </w:pPr>
      <w:r>
        <w:t xml:space="preserve">One of the first pioneers who started the tallow skincare niche which grew tremendously in the last 5 years.</w:t>
      </w:r>
    </w:p>
    <w:p>
      <w:pPr>
        <w:spacing w:after="200"/>
      </w:pPr>
      <w:r>
        <w:t xml:space="preserve">Our client is an emerging leader in the organic tallow skincare space, serving a dedicated community of health-conscious consumers. With strong product-market fit and a loyal customer base, the brand was primed for expansion but needed a robust acquisition infrastructure to handle aggressive growth. Over a 24-month strategic partnership, we transformed their Google Ads account into a primary revenue driver, successfully scaling monthly sales from $100K to over $600K while maintaining healthy profitability of 10x efficiency.</w:t>
      </w:r>
    </w:p>
    <w:p>
      <w:pPr>
        <w:pStyle w:val="Heading2"/>
      </w:pPr>
      <w:r>
        <w:rPr>
          <w:b/>
          <w:bCs/>
        </w:rPr>
        <w:t xml:space="preserve">The Bottleneck: Simplistic Structure vs. Scalability</w:t>
      </w:r>
    </w:p>
    <w:p>
      <w:pPr>
        <w:spacing w:after="200"/>
      </w:pPr>
      <w:r>
        <w:t xml:space="preserve">While the brand was profitable, the ad account lacked the architectural maturity required to support 6x growth. We identified two critical limitations preventing the move from $100K to $600K/month:</w:t>
      </w:r>
    </w:p>
    <w:p>
      <w:pPr>
        <w:pStyle w:val="ListParagraph"/>
        <w:numPr>
          <w:ilvl w:val="0"/>
          <w:numId w:val="3"/>
        </w:numPr>
      </w:pPr>
      <w:r>
        <w:t xml:space="preserve">The “Bottom-Heavy” Trap: The existing strategy relied almost exclusively on capturing high-intent users who were already searching for the brand or product. While this yielded high efficiency, it lacked a Middle- or Top-of-Funnel strategy to introduce new audiences to the brand. To scale, we needed to stop just harvesting demand and start generating it.</w:t>
      </w:r>
    </w:p>
    <w:p>
      <w:pPr>
        <w:pStyle w:val="ListParagraph"/>
        <w:numPr>
          <w:ilvl w:val="0"/>
          <w:numId w:val="3"/>
        </w:numPr>
      </w:pPr>
      <w:r>
        <w:t xml:space="preserve">The “One-Bucket” Limitation: The entire product catalog was housed within a single campaign. This lack of segmentation meant the budget naturally gravitated toward a few historical best-sellers, effectively starving newer or high-margin products of visibility. This “catch-all” approach made it impossible to bid strategically based on individual product performance.</w:t>
      </w:r>
    </w:p>
    <w:p>
      <w:pPr>
        <w:pStyle w:val="Heading2"/>
      </w:pPr>
      <w:r>
        <w:rPr>
          <w:b/>
          <w:bCs/>
        </w:rPr>
        <w:t xml:space="preserve">The Turnaround: Granular Control and Strategic Prospecting</w:t>
      </w:r>
    </w:p>
    <w:p>
      <w:pPr>
        <w:spacing w:after="200"/>
      </w:pPr>
      <w:r>
        <w:t xml:space="preserve">To move from maintaining sales to aggressively scaling them, we moved away from the “black box” approach and implemented a granular, full-funnel strategy.</w:t>
      </w:r>
    </w:p>
    <w:p>
      <w:pPr>
        <w:spacing w:after="200"/>
      </w:pPr>
      <w:r>
        <w:t xml:space="preserve">Phase 1: Feed Optimization — as the foundation before increasing spend, we overhauled the backend data. We completely revamped the Google Merchant Center product feed, optimizing titles, images, and descriptions with high-volume search terms. This ensured that when we did bid, our ads showed up for the right searches, drastically improving our Impression Share.</w:t>
      </w:r>
    </w:p>
    <w:p>
      <w:pPr>
        <w:spacing w:after="200"/>
      </w:pPr>
      <w:r>
        <w:t xml:space="preserve">Phase 2: Categorical Segmentation — we dismantled the single “catch-all” campaign and rebuilt the account structure to mirror the website’s navigation. We separated core categories, Face Creams, Body Balms, and Makeup into their own dedicated campaigns. This allowed us to control budgets based on the profitability of each specific line, rather than letting the algorithm blindly spend on whatever was easiest to convert.</w:t>
      </w:r>
    </w:p>
    <w:p>
      <w:pPr>
        <w:spacing w:after="200"/>
      </w:pPr>
      <w:r>
        <w:t xml:space="preserve">Phase 3: The “Gateway Product” Strategy — We identified that lower-ticket items like Organic Lip Balms and Deodorants were trending and had a lower barrier to entry for new customers. We utilized these as “prospecting products” — aggressively bidding to acquire new users on these cheaper items to get the product in their hands, fueling our future remarketing pools for higher-margin skincare bundles.</w:t>
      </w:r>
    </w:p>
    <w:p>
      <w:pPr>
        <w:spacing w:after="200"/>
      </w:pPr>
      <w:r>
        <w:t xml:space="preserve">Phase 4: Capturing High-Intent Unbranded Search — To fill the “Middle of Funnel,” we launched targeted Search campaigns focusing on unbranded, solution-aware keywords (e.g., “organic tallow moisturizer” rather than just the brand name). This successfully positioned the brand in front of high-intent shoppers who were ready to buy but hadn’t yet selected a vendor.</w:t>
      </w:r>
    </w:p>
    <w:p>
      <w:pPr>
        <w:pStyle w:val="Heading2"/>
      </w:pPr>
      <w:r>
        <w:rPr>
          <w:b/>
          <w:bCs/>
        </w:rPr>
        <w:t xml:space="preserve">The Results (The Proof)</w:t>
      </w:r>
    </w:p>
    <w:p>
      <w:pPr>
        <w:spacing w:after="200"/>
      </w:pPr>
      <w:r>
        <w:t xml:space="preserve">The true measure of this campaign’s success wasn’t just the increase in revenue, but the stability of the efficiency metrics during aggressive scaling. Typically, as spend quintuples, efficiency drops—but our segmented structure allowed us to defy that trend.</w:t>
      </w:r>
    </w:p>
    <w:p>
      <w:pPr>
        <w:pStyle w:val="ListParagraph"/>
        <w:numPr>
          <w:ilvl w:val="0"/>
          <w:numId w:val="2"/>
        </w:numPr>
      </w:pPr>
      <w:r>
        <w:t xml:space="preserve">Monthly Revenue: Scaled from $100k to $600k/month (+500%).</w:t>
      </w:r>
    </w:p>
    <w:p>
      <w:pPr>
        <w:pStyle w:val="ListParagraph"/>
        <w:numPr>
          <w:ilvl w:val="0"/>
          <w:numId w:val="2"/>
        </w:numPr>
      </w:pPr>
      <w:r>
        <w:t xml:space="preserve">Marketing Efficiency Ratio (MER): Maintained a blended 10x MER throughout the scaling phase, proving that growth was not bought at the expense of profitability.</w:t>
      </w:r>
    </w:p>
    <w:p>
      <w:pPr>
        <w:pStyle w:val="ListParagraph"/>
        <w:numPr>
          <w:ilvl w:val="0"/>
          <w:numId w:val="2"/>
        </w:numPr>
      </w:pPr>
      <w:r>
        <w:t xml:space="preserve">New Customer Acquisition: drove a 26% increase in new customer volume year-over-year, validated by our “Gateway Product” prospecting strategy.</w:t>
      </w:r>
    </w:p>
    <w:p>
      <w:pPr>
        <w:pStyle w:val="ListParagraph"/>
        <w:numPr>
          <w:ilvl w:val="0"/>
          <w:numId w:val="2"/>
        </w:numPr>
      </w:pPr>
      <w:r>
        <w:t xml:space="preserve">Unit Economics: Kept nCAC (New Customer Acquisition Cost) at 50% of Average Order Value (AOV), ensuring that even first-time orders remained contribution-margin positive.</w:t>
      </w:r>
    </w:p>
    <w:p>
      <w:pPr>
        <w:pStyle w:val="Heading2"/>
      </w:pPr>
      <w:r>
        <w:rPr>
          <w:b/>
          <w:bCs/>
        </w:rPr>
        <w:t xml:space="preserve">The Lesson: Structure is the Secret to Scale</w:t>
      </w:r>
    </w:p>
    <w:p>
      <w:pPr>
        <w:spacing w:after="200"/>
      </w:pPr>
      <w:r>
        <w:t xml:space="preserve">This case study illustrates that product-market fit is only half the battle. To take a brand from 6-figures to 7-figures, you cannot rely on simple, “set-and-forget” campaign structures. By treating the Google Ads account as a granular ecosystem — segmenting by category, optimizing the data feed, and utilizing lower-ticket items as acquisition tools — we turned a stagnant ad account into a predictable, high-volume revenue engine.</w:t>
      </w:r>
    </w:p>
    <w:p>
      <w:pPr>
        <w:pStyle w:val="Heading2"/>
      </w:pPr>
      <w:r>
        <w:rPr>
          <w:b/>
          <w:bCs/>
        </w:rPr>
        <w:t xml:space="preserve">Looking Forward</w:t>
      </w:r>
    </w:p>
    <w:p>
      <w:pPr>
        <w:spacing w:after="200"/>
      </w:pPr>
      <w:r>
        <w:t xml:space="preserve">With the “core” search and shopping funnels now maximizing current demand, our next phase focuses on brand-building strategies (YouTube and Display) to fuel the top of the funnel for the next stage of growth.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180" w:before="180"/>
    </w:pPr>
    <w:rPr>
      <w:rFonts w:ascii="Arial" w:cs="Arial" w:eastAsia="Arial" w:hAnsi="Arial"/>
      <w:b/>
      <w:bCs/>
      <w:sz w:val="28"/>
      <w:szCs w:val="28"/>
    </w:rPr>
  </w:style>
  <w:style w:type="paragraph" w:styleId="Heading3">
    <w:name w:val="Heading 3"/>
    <w:basedOn w:val="Normal"/>
    <w:next w:val="Normal"/>
    <w:qFormat/>
    <w:pPr>
      <w:spacing w:after="120" w:before="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2026-04-06T22:08:32.597Z</dcterms:created>
  <dcterms:modified xsi:type="dcterms:W3CDTF">2026-04-06T22:08:32.597Z</dcterms:modified>
</cp:coreProperties>
</file>

<file path=docProps/custom.xml><?xml version="1.0" encoding="utf-8"?>
<Properties xmlns="http://schemas.openxmlformats.org/officeDocument/2006/custom-properties" xmlns:vt="http://schemas.openxmlformats.org/officeDocument/2006/docPropsVTypes"/>
</file>