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29d605043fcf890d296cdb6d28b4ca21e7b80541.png"/>
            <a:graphic>
              <a:graphicData uri="http://schemas.openxmlformats.org/drawingml/2006/picture">
                <pic:pic>
                  <pic:nvPicPr>
                    <pic:cNvPr id="1" name="image-29d605043fcf890d296cdb6d28b4ca21e7b8054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bookmarkStart w:id="0" w:name="slide_1_problem_dialysis_wastes_h_7fa792"/>
      <w:r>
        <w:rPr>
          <w:rFonts w:eastAsia="georgia" w:cs="georgia" w:ascii="georgia" w:hAnsi="georgia"/>
          <w:b/>
          <w:color w:val="000000"/>
          <w:sz w:val="24"/>
        </w:rPr>
        <w:t xml:space="preserve">Slide 1: Problem – Dialysis Wastes High‑Quality Water</w:t>
      </w:r>
      <w:bookmarkEnd w:id="0"/>
    </w:p>
    <w:p>
      <w:pPr>
        <w:spacing w:line="360" w:after="210" w:lineRule="auto"/>
      </w:pPr>
      <w:r>
        <w:rPr>
          <w:rFonts w:eastAsia="georgia" w:cs="georgia" w:ascii="georgia" w:hAnsi="georgia"/>
          <w:b/>
          <w:color w:val="000000"/>
        </w:rPr>
        <w:t xml:space="preserve">Headline:</w:t>
      </w:r>
      <w:r>
        <w:rPr>
          <w:rFonts w:eastAsia="georgia" w:cs="georgia" w:ascii="georgia" w:hAnsi="georgia"/>
          <w:color w:val="000000"/>
        </w:rPr>
        <w:t xml:space="preserve"> Hospital dialysis in France discards millions of liters of high‑grade water that could safely replace non‑potable uses.</w:t>
      </w:r>
    </w:p>
    <w:p>
      <w:pPr>
        <w:numPr>
          <w:ilvl w:val="0"/>
          <w:numId w:val="1"/>
        </w:numPr>
        <w:spacing w:line="360" w:before="105" w:after="105" w:lineRule="auto"/>
      </w:pPr>
      <w:r>
        <w:rPr>
          <w:rFonts w:eastAsia="georgia" w:cs="georgia" w:ascii="georgia" w:hAnsi="georgia"/>
          <w:color w:val="000000"/>
          <w:sz w:val="21"/>
        </w:rPr>
        <w:t xml:space="preserve">France has about 51,700 dialysis patients; over half of all renal replacement patients are on dialysis, with 77% in non‑autonomous in‑center/UDM units, i.e. mainly hospital or satellite facilities.</w:t>
      </w:r>
      <w:bookmarkStart w:id="1" w:name="fnref1"/>
      <w:bookmarkEnd w:id="1"/>
      <w:hyperlink w:anchor="fn1">
        <w:r>
          <w:rPr>
            <w:rFonts w:eastAsia="helvetica neue" w:cs="helvetica neue" w:ascii="helvetica neue" w:hAnsi="helvetica neue"/>
            <w:color w:val="#000"/>
            <w:sz w:val="21"/>
            <w:u w:val="single"/>
            <w:vertAlign w:val="superscript"/>
          </w:rPr>
          <w:t xml:space="preserve">[1]</w:t>
        </w:r>
      </w:hyperlink>
      <w:bookmarkStart w:id="2" w:name="fnref2"/>
      <w:bookmarkEnd w:id="2"/>
      <w:hyperlink w:anchor="fn2">
        <w:r>
          <w:rPr>
            <w:rFonts w:eastAsia="helvetica neue" w:cs="helvetica neue" w:ascii="helvetica neue" w:hAnsi="helvetica neue"/>
            <w:color w:val="#000"/>
            <w:sz w:val="21"/>
            <w:u w:val="single"/>
            <w:vertAlign w:val="superscript"/>
          </w:rPr>
          <w:t xml:space="preserve">[2]</w:t>
        </w:r>
      </w:hyperlink>
      <w:bookmarkStart w:id="3" w:name="fnref3"/>
      <w:bookmarkEnd w:id="3"/>
      <w:hyperlink w:anchor="fn3">
        <w:r>
          <w:rPr>
            <w:rFonts w:eastAsia="helvetica neue" w:cs="helvetica neue" w:ascii="helvetica neue" w:hAnsi="helvetica neue"/>
            <w:color w:val="#000"/>
            <w:sz w:val="21"/>
            <w:u w:val="single"/>
            <w:vertAlign w:val="superscript"/>
          </w:rPr>
          <w:t xml:space="preserve">[3]</w:t>
        </w:r>
      </w:hyperlink>
      <w:bookmarkStart w:id="4" w:name="fnref4"/>
      <w:bookmarkEnd w:id="4"/>
      <w:hyperlink w:anchor="fn4">
        <w:r>
          <w:rPr>
            <w:rFonts w:eastAsia="helvetica neue" w:cs="helvetica neue" w:ascii="helvetica neue" w:hAnsi="helvetica neue"/>
            <w:color w:val="#000"/>
            <w:sz w:val="21"/>
            <w:u w:val="single"/>
            <w:vertAlign w:val="superscript"/>
          </w:rPr>
          <w:t xml:space="preserve">[4]</w:t>
        </w:r>
      </w:hyperlink>
      <w:bookmarkStart w:id="5" w:name="fnref5"/>
      <w:bookmarkEnd w:id="5"/>
      <w:hyperlink w:anchor="fn5">
        <w:r>
          <w:rPr>
            <w:rFonts w:eastAsia="helvetica neue" w:cs="helvetica neue" w:ascii="helvetica neue" w:hAnsi="helvetica neue"/>
            <w:color w:val="#000"/>
            <w:sz w:val="21"/>
            <w:u w:val="single"/>
            <w:vertAlign w:val="superscript"/>
          </w:rPr>
          <w:t xml:space="preserve">[5]</w:t>
        </w:r>
      </w:hyperlink>
    </w:p>
    <w:p>
      <w:pPr>
        <w:numPr>
          <w:ilvl w:val="0"/>
          <w:numId w:val="1"/>
        </w:numPr>
        <w:spacing w:line="360" w:before="105" w:after="105" w:lineRule="auto"/>
      </w:pPr>
      <w:r>
        <w:rPr>
          <w:rFonts w:eastAsia="georgia" w:cs="georgia" w:ascii="georgia" w:hAnsi="georgia"/>
          <w:color w:val="000000"/>
          <w:sz w:val="21"/>
        </w:rPr>
        <w:t xml:space="preserve">A typical haemodialysis session uses around 400–500 L of mains water, of which 50–70% is rejected by the reverse‑osmosis (RO) unit as clean greywater that is normally sent to drain.</w:t>
      </w:r>
      <w:bookmarkStart w:id="6" w:name="fnref6"/>
      <w:bookmarkEnd w:id="6"/>
      <w:hyperlink w:anchor="fn6">
        <w:r>
          <w:rPr>
            <w:rFonts w:eastAsia="helvetica neue" w:cs="helvetica neue" w:ascii="helvetica neue" w:hAnsi="helvetica neue"/>
            <w:color w:val="#000"/>
            <w:sz w:val="21"/>
            <w:u w:val="single"/>
            <w:vertAlign w:val="superscript"/>
          </w:rPr>
          <w:t xml:space="preserve">[6]</w:t>
        </w:r>
      </w:hyperlink>
      <w:bookmarkStart w:id="7" w:name="fnref7"/>
      <w:bookmarkEnd w:id="7"/>
      <w:hyperlink w:anchor="fn7">
        <w:r>
          <w:rPr>
            <w:rFonts w:eastAsia="helvetica neue" w:cs="helvetica neue" w:ascii="helvetica neue" w:hAnsi="helvetica neue"/>
            <w:color w:val="#000"/>
            <w:sz w:val="21"/>
            <w:u w:val="single"/>
            <w:vertAlign w:val="superscript"/>
          </w:rPr>
          <w:t xml:space="preserve">[7]</w:t>
        </w:r>
      </w:hyperlink>
      <w:bookmarkStart w:id="8" w:name="fnref8"/>
      <w:bookmarkEnd w:id="8"/>
      <w:hyperlink w:anchor="fn8">
        <w:r>
          <w:rPr>
            <w:rFonts w:eastAsia="helvetica neue" w:cs="helvetica neue" w:ascii="helvetica neue" w:hAnsi="helvetica neue"/>
            <w:color w:val="#000"/>
            <w:sz w:val="21"/>
            <w:u w:val="single"/>
            <w:vertAlign w:val="superscript"/>
          </w:rPr>
          <w:t xml:space="preserve">[8]</w:t>
        </w:r>
      </w:hyperlink>
      <w:bookmarkStart w:id="9" w:name="fnref9"/>
      <w:bookmarkEnd w:id="9"/>
      <w:hyperlink w:anchor="fn9">
        <w:r>
          <w:rPr>
            <w:rFonts w:eastAsia="helvetica neue" w:cs="helvetica neue" w:ascii="helvetica neue" w:hAnsi="helvetica neue"/>
            <w:color w:val="#000"/>
            <w:sz w:val="21"/>
            <w:u w:val="single"/>
            <w:vertAlign w:val="superscript"/>
          </w:rPr>
          <w:t xml:space="preserve">[9]</w:t>
        </w:r>
      </w:hyperlink>
    </w:p>
    <w:p>
      <w:pPr>
        <w:numPr>
          <w:ilvl w:val="0"/>
          <w:numId w:val="1"/>
        </w:numPr>
        <w:spacing w:line="360" w:before="105" w:after="105" w:lineRule="auto"/>
      </w:pPr>
      <w:r>
        <w:rPr>
          <w:rFonts w:eastAsia="georgia" w:cs="georgia" w:ascii="georgia" w:hAnsi="georgia"/>
          <w:color w:val="000000"/>
          <w:sz w:val="21"/>
        </w:rPr>
        <w:t xml:space="preserve">Large, multi‑station dialysis centers in university hospitals (32 CHU/CHRU) and big private clinics are few in number but treat a large fraction of patients, making them the natural first adopters of water‑reuse infrastructure.</w:t>
      </w:r>
      <w:bookmarkStart w:id="10" w:name="fnref10"/>
      <w:bookmarkEnd w:id="10"/>
      <w:hyperlink w:anchor="fn10">
        <w:r>
          <w:rPr>
            <w:rFonts w:eastAsia="helvetica neue" w:cs="helvetica neue" w:ascii="helvetica neue" w:hAnsi="helvetica neue"/>
            <w:color w:val="#000"/>
            <w:sz w:val="21"/>
            <w:u w:val="single"/>
            <w:vertAlign w:val="superscript"/>
          </w:rPr>
          <w:t xml:space="preserve">[10]</w:t>
        </w:r>
      </w:hyperlink>
      <w:bookmarkStart w:id="11" w:name="fnref11"/>
      <w:bookmarkEnd w:id="11"/>
      <w:hyperlink w:anchor="fn11">
        <w:r>
          <w:rPr>
            <w:rFonts w:eastAsia="helvetica neue" w:cs="helvetica neue" w:ascii="helvetica neue" w:hAnsi="helvetica neue"/>
            <w:color w:val="#000"/>
            <w:sz w:val="21"/>
            <w:u w:val="single"/>
            <w:vertAlign w:val="superscript"/>
          </w:rPr>
          <w:t xml:space="preserve">[11]</w:t>
        </w:r>
      </w:hyperlink>
      <w:bookmarkStart w:id="12" w:name="fnref12"/>
      <w:bookmarkEnd w:id="12"/>
      <w:hyperlink w:anchor="fn12">
        <w:r>
          <w:rPr>
            <w:rFonts w:eastAsia="helvetica neue" w:cs="helvetica neue" w:ascii="helvetica neue" w:hAnsi="helvetica neue"/>
            <w:color w:val="#000"/>
            <w:sz w:val="21"/>
            <w:u w:val="single"/>
            <w:vertAlign w:val="superscript"/>
          </w:rPr>
          <w:t xml:space="preserve">[12]</w:t>
        </w:r>
      </w:hyperlink>
    </w:p>
    <w:p>
      <w:pPr>
        <w:numPr>
          <w:ilvl w:val="0"/>
          <w:numId w:val="1"/>
        </w:numPr>
        <w:spacing w:line="360" w:before="105" w:after="105" w:lineRule="auto"/>
      </w:pPr>
      <w:r>
        <w:rPr>
          <w:rFonts w:eastAsia="georgia" w:cs="georgia" w:ascii="georgia" w:hAnsi="georgia"/>
          <w:color w:val="000000"/>
          <w:sz w:val="21"/>
        </w:rPr>
        <w:t xml:space="preserve">Case studies in European hospitals show RO‑reject recovery systems can save 3,000–5,000 m³ of water per year per unit with payback times of roughly 1–3.5 years, using the water for toilet flushing, laundry, or horticulture.</w:t>
      </w:r>
      <w:bookmarkStart w:id="13" w:name="fnref13"/>
      <w:bookmarkEnd w:id="13"/>
      <w:hyperlink w:anchor="fn13">
        <w:r>
          <w:rPr>
            <w:rFonts w:eastAsia="helvetica neue" w:cs="helvetica neue" w:ascii="helvetica neue" w:hAnsi="helvetica neue"/>
            <w:color w:val="#000"/>
            <w:sz w:val="21"/>
            <w:u w:val="single"/>
            <w:vertAlign w:val="superscript"/>
          </w:rPr>
          <w:t xml:space="preserve">[13]</w:t>
        </w:r>
      </w:hyperlink>
      <w:bookmarkStart w:id="14" w:name="fnref9_1"/>
      <w:bookmarkEnd w:id="14"/>
      <w:hyperlink w:anchor="fn9">
        <w:r>
          <w:rPr>
            <w:rFonts w:eastAsia="helvetica neue" w:cs="helvetica neue" w:ascii="helvetica neue" w:hAnsi="helvetica neue"/>
            <w:color w:val="#000"/>
            <w:sz w:val="21"/>
            <w:u w:val="single"/>
            <w:vertAlign w:val="superscript"/>
          </w:rPr>
          <w:t xml:space="preserve">[9]</w:t>
        </w:r>
      </w:hyperlink>
      <w:bookmarkStart w:id="15" w:name="fnref14"/>
      <w:bookmarkEnd w:id="15"/>
      <w:hyperlink w:anchor="fn14">
        <w:r>
          <w:rPr>
            <w:rFonts w:eastAsia="helvetica neue" w:cs="helvetica neue" w:ascii="helvetica neue" w:hAnsi="helvetica neue"/>
            <w:color w:val="#000"/>
            <w:sz w:val="21"/>
            <w:u w:val="single"/>
            <w:vertAlign w:val="superscript"/>
          </w:rPr>
          <w:t xml:space="preserve">[14]</w:t>
        </w:r>
      </w:hyperlink>
    </w:p>
    <w:p>
      <w:pPr>
        <w:numPr>
          <w:ilvl w:val="0"/>
          <w:numId w:val="1"/>
        </w:numPr>
        <w:spacing w:line="360" w:before="105" w:after="105" w:lineRule="auto"/>
      </w:pPr>
      <w:r>
        <w:rPr>
          <w:rFonts w:eastAsia="georgia" w:cs="georgia" w:ascii="georgia" w:hAnsi="georgia"/>
          <w:color w:val="000000"/>
          <w:sz w:val="21"/>
        </w:rPr>
        <w:t xml:space="preserve">France’s drinking water production has an estimated carbon footprint of roughly 0.23–0.27 kgCO₂e per m³, so reusing RO‑reject instead of new potable water avoids both water abstraction and associated emissions.</w:t>
      </w:r>
      <w:bookmarkStart w:id="16" w:name="fnref15"/>
      <w:bookmarkEnd w:id="16"/>
      <w:hyperlink w:anchor="fn15">
        <w:r>
          <w:rPr>
            <w:rFonts w:eastAsia="helvetica neue" w:cs="helvetica neue" w:ascii="helvetica neue" w:hAnsi="helvetica neue"/>
            <w:color w:val="#000"/>
            <w:sz w:val="21"/>
            <w:u w:val="single"/>
            <w:vertAlign w:val="superscript"/>
          </w:rPr>
          <w:t xml:space="preserve">[15]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lide_2_france_market_size_and_se_4aa432"/>
      <w:r>
        <w:rPr>
          <w:rFonts w:eastAsia="georgia" w:cs="georgia" w:ascii="georgia" w:hAnsi="georgia"/>
          <w:b/>
          <w:color w:val="000000"/>
          <w:sz w:val="24"/>
        </w:rPr>
        <w:t xml:space="preserve">Slide 2: France Market Size and Segmentation</w:t>
      </w:r>
      <w:bookmarkEnd w:id="17"/>
    </w:p>
    <w:p>
      <w:pPr>
        <w:spacing w:line="360" w:after="210" w:lineRule="auto"/>
      </w:pPr>
      <w:r>
        <w:rPr>
          <w:rFonts w:eastAsia="georgia" w:cs="georgia" w:ascii="georgia" w:hAnsi="georgia"/>
          <w:b/>
          <w:color w:val="000000"/>
        </w:rPr>
        <w:t xml:space="preserve">Key facts (system size and concentration)</w:t>
      </w:r>
    </w:p>
    <w:p>
      <w:pPr>
        <w:numPr>
          <w:ilvl w:val="0"/>
          <w:numId w:val="2"/>
        </w:numPr>
        <w:spacing w:line="360" w:before="105" w:after="105" w:lineRule="auto"/>
      </w:pPr>
      <w:r>
        <w:rPr>
          <w:rFonts w:eastAsia="georgia" w:cs="georgia" w:ascii="georgia" w:hAnsi="georgia"/>
          <w:color w:val="000000"/>
          <w:sz w:val="21"/>
        </w:rPr>
        <w:t xml:space="preserve">At end‑2024, France had 2,965 health establishments: 1,330 public hospitals, 655 private non‑profit establishments and 980 private for‑profit clinics.</w:t>
      </w:r>
      <w:bookmarkStart w:id="18" w:name="fnref16"/>
      <w:bookmarkEnd w:id="18"/>
      <w:hyperlink w:anchor="fn16">
        <w:r>
          <w:rPr>
            <w:rFonts w:eastAsia="helvetica neue" w:cs="helvetica neue" w:ascii="helvetica neue" w:hAnsi="helvetica neue"/>
            <w:color w:val="#000"/>
            <w:sz w:val="21"/>
            <w:u w:val="single"/>
            <w:vertAlign w:val="superscript"/>
          </w:rPr>
          <w:t xml:space="preserve">[16]</w:t>
        </w:r>
      </w:hyperlink>
    </w:p>
    <w:p>
      <w:pPr>
        <w:numPr>
          <w:ilvl w:val="0"/>
          <w:numId w:val="2"/>
        </w:numPr>
        <w:spacing w:line="360" w:before="105" w:after="105" w:lineRule="auto"/>
      </w:pPr>
      <w:r>
        <w:rPr>
          <w:rFonts w:eastAsia="georgia" w:cs="georgia" w:ascii="georgia" w:hAnsi="georgia"/>
          <w:color w:val="000000"/>
          <w:sz w:val="21"/>
        </w:rPr>
        <w:t xml:space="preserve">In 2022, 93,084 patients were on renal replacement therapy; 55.5% were on dialysis (≈51,700 patients), the rest living with a functioning graft.</w:t>
      </w:r>
      <w:bookmarkStart w:id="19" w:name="fnref4_1"/>
      <w:bookmarkEnd w:id="19"/>
      <w:hyperlink w:anchor="fn4">
        <w:r>
          <w:rPr>
            <w:rFonts w:eastAsia="helvetica neue" w:cs="helvetica neue" w:ascii="helvetica neue" w:hAnsi="helvetica neue"/>
            <w:color w:val="#000"/>
            <w:sz w:val="21"/>
            <w:u w:val="single"/>
            <w:vertAlign w:val="superscript"/>
          </w:rPr>
          <w:t xml:space="preserve">[4]</w:t>
        </w:r>
      </w:hyperlink>
      <w:bookmarkStart w:id="20" w:name="fnref5_1"/>
      <w:bookmarkEnd w:id="20"/>
      <w:hyperlink w:anchor="fn5">
        <w:r>
          <w:rPr>
            <w:rFonts w:eastAsia="helvetica neue" w:cs="helvetica neue" w:ascii="helvetica neue" w:hAnsi="helvetica neue"/>
            <w:color w:val="#000"/>
            <w:sz w:val="21"/>
            <w:u w:val="single"/>
            <w:vertAlign w:val="superscript"/>
          </w:rPr>
          <w:t xml:space="preserve">[5]</w:t>
        </w:r>
      </w:hyperlink>
    </w:p>
    <w:p>
      <w:pPr>
        <w:numPr>
          <w:ilvl w:val="0"/>
          <w:numId w:val="2"/>
        </w:numPr>
        <w:spacing w:line="360" w:before="105" w:after="105" w:lineRule="auto"/>
      </w:pPr>
      <w:r>
        <w:rPr>
          <w:rFonts w:eastAsia="georgia" w:cs="georgia" w:ascii="georgia" w:hAnsi="georgia"/>
          <w:color w:val="000000"/>
          <w:sz w:val="21"/>
        </w:rPr>
        <w:t xml:space="preserve">Modality split from the REIN registry/France Rein shows 51.7% of dialysis patients in in‑center hospital HD, 26% in medicalized dialysis units (UDM), and the remainder in self‑dialysis, home HD (~1.5%), and peritoneal dialysis.</w:t>
      </w:r>
      <w:bookmarkStart w:id="21" w:name="fnref2_1"/>
      <w:bookmarkEnd w:id="21"/>
      <w:hyperlink w:anchor="fn2">
        <w:r>
          <w:rPr>
            <w:rFonts w:eastAsia="helvetica neue" w:cs="helvetica neue" w:ascii="helvetica neue" w:hAnsi="helvetica neue"/>
            <w:color w:val="#000"/>
            <w:sz w:val="21"/>
            <w:u w:val="single"/>
            <w:vertAlign w:val="superscript"/>
          </w:rPr>
          <w:t xml:space="preserve">[2]</w:t>
        </w:r>
      </w:hyperlink>
      <w:bookmarkStart w:id="22" w:name="fnref3_1"/>
      <w:bookmarkEnd w:id="22"/>
      <w:hyperlink w:anchor="fn3">
        <w:r>
          <w:rPr>
            <w:rFonts w:eastAsia="helvetica neue" w:cs="helvetica neue" w:ascii="helvetica neue" w:hAnsi="helvetica neue"/>
            <w:color w:val="#000"/>
            <w:sz w:val="21"/>
            <w:u w:val="single"/>
            <w:vertAlign w:val="superscript"/>
          </w:rPr>
          <w:t xml:space="preserve">[3]</w:t>
        </w:r>
      </w:hyperlink>
      <w:bookmarkStart w:id="23" w:name="fnref1_1"/>
      <w:bookmarkEnd w:id="23"/>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b/>
          <w:color w:val="000000"/>
        </w:rPr>
        <w:t xml:space="preserve">Where activity is concentrated (for water‑reuse potential)</w:t>
      </w:r>
    </w:p>
    <w:p>
      <w:pPr>
        <w:numPr>
          <w:ilvl w:val="0"/>
          <w:numId w:val="3"/>
        </w:numPr>
        <w:spacing w:line="360" w:before="105" w:after="105" w:lineRule="auto"/>
      </w:pPr>
      <w:r>
        <w:rPr>
          <w:rFonts w:eastAsia="georgia" w:cs="georgia" w:ascii="georgia" w:hAnsi="georgia"/>
          <w:color w:val="000000"/>
          <w:sz w:val="21"/>
        </w:rPr>
        <w:t xml:space="preserve">Dialysis in France is delivered in about 1,100–1,200 units; a network analysis identified 1,166 dialysis units in 2018, organized into ~160 regional “communities” of care.</w:t>
      </w:r>
      <w:bookmarkStart w:id="24" w:name="fnref12_1"/>
      <w:bookmarkEnd w:id="24"/>
      <w:hyperlink w:anchor="fn12">
        <w:r>
          <w:rPr>
            <w:rFonts w:eastAsia="helvetica neue" w:cs="helvetica neue" w:ascii="helvetica neue" w:hAnsi="helvetica neue"/>
            <w:color w:val="#000"/>
            <w:sz w:val="21"/>
            <w:u w:val="single"/>
            <w:vertAlign w:val="superscript"/>
          </w:rPr>
          <w:t xml:space="preserve">[12]</w:t>
        </w:r>
      </w:hyperlink>
    </w:p>
    <w:p>
      <w:pPr>
        <w:numPr>
          <w:ilvl w:val="0"/>
          <w:numId w:val="3"/>
        </w:numPr>
        <w:spacing w:line="360" w:before="105" w:after="105" w:lineRule="auto"/>
      </w:pPr>
      <w:r>
        <w:rPr>
          <w:rFonts w:eastAsia="georgia" w:cs="georgia" w:ascii="georgia" w:hAnsi="georgia"/>
          <w:color w:val="000000"/>
          <w:sz w:val="21"/>
        </w:rPr>
        <w:t xml:space="preserve">Large in‑center HD and UDM facilities (often CHU/large CH plus big private dialysis centers) run many stations and multiple shifts, so they deliver far more sessions per site than small satellite/self‑dialysis units.</w:t>
      </w:r>
      <w:bookmarkStart w:id="25" w:name="fnref11_1"/>
      <w:bookmarkEnd w:id="25"/>
      <w:hyperlink w:anchor="fn11">
        <w:r>
          <w:rPr>
            <w:rFonts w:eastAsia="helvetica neue" w:cs="helvetica neue" w:ascii="helvetica neue" w:hAnsi="helvetica neue"/>
            <w:color w:val="#000"/>
            <w:sz w:val="21"/>
            <w:u w:val="single"/>
            <w:vertAlign w:val="superscript"/>
          </w:rPr>
          <w:t xml:space="preserve">[11]</w:t>
        </w:r>
      </w:hyperlink>
      <w:bookmarkStart w:id="26" w:name="fnref2_2"/>
      <w:bookmarkEnd w:id="26"/>
      <w:hyperlink w:anchor="fn2">
        <w:r>
          <w:rPr>
            <w:rFonts w:eastAsia="helvetica neue" w:cs="helvetica neue" w:ascii="helvetica neue" w:hAnsi="helvetica neue"/>
            <w:color w:val="#000"/>
            <w:sz w:val="21"/>
            <w:u w:val="single"/>
            <w:vertAlign w:val="superscript"/>
          </w:rPr>
          <w:t xml:space="preserve">[2]</w:t>
        </w:r>
      </w:hyperlink>
      <w:bookmarkStart w:id="27" w:name="fnref12_2"/>
      <w:bookmarkEnd w:id="27"/>
      <w:hyperlink w:anchor="fn12">
        <w:r>
          <w:rPr>
            <w:rFonts w:eastAsia="helvetica neue" w:cs="helvetica neue" w:ascii="helvetica neue" w:hAnsi="helvetica neue"/>
            <w:color w:val="#000"/>
            <w:sz w:val="21"/>
            <w:u w:val="single"/>
            <w:vertAlign w:val="superscript"/>
          </w:rPr>
          <w:t xml:space="preserve">[12]</w:t>
        </w:r>
      </w:hyperlink>
    </w:p>
    <w:p>
      <w:pPr>
        <w:numPr>
          <w:ilvl w:val="0"/>
          <w:numId w:val="3"/>
        </w:numPr>
        <w:spacing w:line="360" w:before="105" w:after="105" w:lineRule="auto"/>
      </w:pPr>
      <w:r>
        <w:rPr>
          <w:rFonts w:eastAsia="georgia" w:cs="georgia" w:ascii="georgia" w:hAnsi="georgia"/>
          <w:color w:val="000000"/>
          <w:sz w:val="21"/>
        </w:rPr>
        <w:t xml:space="preserve">Given that non‑autonomous in‑center/UDM accounts for ~77% of dialysis patients, most water‑reuse potential is concentrated in a few hundred large or medium‑sized hospital‑based units rather than in dispersed home or small self‑dialysis facilities.</w:t>
      </w:r>
      <w:bookmarkStart w:id="28" w:name="fnref3_2"/>
      <w:bookmarkEnd w:id="28"/>
      <w:hyperlink w:anchor="fn3">
        <w:r>
          <w:rPr>
            <w:rFonts w:eastAsia="helvetica neue" w:cs="helvetica neue" w:ascii="helvetica neue" w:hAnsi="helvetica neue"/>
            <w:color w:val="#000"/>
            <w:sz w:val="21"/>
            <w:u w:val="single"/>
            <w:vertAlign w:val="superscript"/>
          </w:rPr>
          <w:t xml:space="preserve">[3]</w:t>
        </w:r>
      </w:hyperlink>
      <w:bookmarkStart w:id="29" w:name="fnref1_2"/>
      <w:bookmarkEnd w:id="29"/>
      <w:hyperlink w:anchor="fn1">
        <w:r>
          <w:rPr>
            <w:rFonts w:eastAsia="helvetica neue" w:cs="helvetica neue" w:ascii="helvetica neue" w:hAnsi="helvetica neue"/>
            <w:color w:val="#000"/>
            <w:sz w:val="21"/>
            <w:u w:val="single"/>
            <w:vertAlign w:val="superscript"/>
          </w:rPr>
          <w:t xml:space="preserve">[1]</w:t>
        </w:r>
      </w:hyperlink>
      <w:bookmarkStart w:id="30" w:name="fnref2_3"/>
      <w:bookmarkEnd w:id="30"/>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b/>
          <w:color w:val="000000"/>
        </w:rPr>
        <w:t xml:space="preserve">Slide‑ready table – market and first adopters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Hospital / site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 in dialysis market (approximate)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First‑adopter potential for RO‑reject reuse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CHU/CHRU (32 university hospitals)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Large nephrology departments, multi‑station HD units, high patient throughput.</w:t>
            </w:r>
            <w:hyperlink w:anchor="fn10">
              <w:r>
                <w:rPr>
                  <w:rFonts w:eastAsia="helvetica neue" w:cs="helvetica neue" w:ascii="helvetica neue" w:hAnsi="helvetica neue"/>
                  <w:color w:val="#000"/>
                  <w:sz w:val="17"/>
                  <w:u w:val="single"/>
                  <w:vertAlign w:val="superscript"/>
                </w:rPr>
                <w:t xml:space="preserve">[10]</w:t>
              </w:r>
            </w:hyperlink>
            <w:hyperlink w:anchor="fn11">
              <w:r>
                <w:rPr>
                  <w:rFonts w:eastAsia="helvetica neue" w:cs="helvetica neue" w:ascii="helvetica neue" w:hAnsi="helvetica neue"/>
                  <w:color w:val="#000"/>
                  <w:sz w:val="17"/>
                  <w:u w:val="single"/>
                  <w:vertAlign w:val="superscript"/>
                </w:rPr>
                <w:t xml:space="preserve">[11]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Very high: concentrated sessions, technical teams, capex capacity.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Large general public hospitals (CH) with HD/UDM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Many UDM and in‑center units integrated in regional networks.</w:t>
            </w:r>
            <w:hyperlink w:anchor="fn1">
              <w:r>
                <w:rPr>
                  <w:rFonts w:eastAsia="helvetica neue" w:cs="helvetica neue" w:ascii="helvetica neue" w:hAnsi="helvetica neue"/>
                  <w:color w:val="#000"/>
                  <w:sz w:val="17"/>
                  <w:u w:val="single"/>
                  <w:vertAlign w:val="superscript"/>
                </w:rPr>
                <w:t xml:space="preserve">[1]</w:t>
              </w:r>
            </w:hyperlink>
            <w:hyperlink w:anchor="fn2">
              <w:r>
                <w:rPr>
                  <w:rFonts w:eastAsia="helvetica neue" w:cs="helvetica neue" w:ascii="helvetica neue" w:hAnsi="helvetica neue"/>
                  <w:color w:val="#000"/>
                  <w:sz w:val="17"/>
                  <w:u w:val="single"/>
                  <w:vertAlign w:val="superscript"/>
                </w:rPr>
                <w:t xml:space="preserve">[2]</w:t>
              </w:r>
            </w:hyperlink>
            <w:hyperlink w:anchor="fn12">
              <w:r>
                <w:rPr>
                  <w:rFonts w:eastAsia="helvetica neue" w:cs="helvetica neue" w:ascii="helvetica neue" w:hAnsi="helvetica neue"/>
                  <w:color w:val="#000"/>
                  <w:sz w:val="17"/>
                  <w:u w:val="single"/>
                  <w:vertAlign w:val="superscript"/>
                </w:rPr>
                <w:t xml:space="preserve">[12]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 enough volume for ROI; can pool investment at GHT level.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Large private dialysis centers/clinics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Significant share of in‑center and UDM activity under a few operators.</w:t>
            </w:r>
            <w:hyperlink w:anchor="fn2">
              <w:r>
                <w:rPr>
                  <w:rFonts w:eastAsia="helvetica neue" w:cs="helvetica neue" w:ascii="helvetica neue" w:hAnsi="helvetica neue"/>
                  <w:color w:val="#000"/>
                  <w:sz w:val="17"/>
                  <w:u w:val="single"/>
                  <w:vertAlign w:val="superscript"/>
                </w:rPr>
                <w:t xml:space="preserve">[2]</w:t>
              </w:r>
            </w:hyperlink>
            <w:hyperlink w:anchor="fn17">
              <w:r>
                <w:rPr>
                  <w:rFonts w:eastAsia="helvetica neue" w:cs="helvetica neue" w:ascii="helvetica neue" w:hAnsi="helvetica neue"/>
                  <w:color w:val="#000"/>
                  <w:sz w:val="17"/>
                  <w:u w:val="single"/>
                  <w:vertAlign w:val="superscript"/>
                </w:rPr>
                <w:t xml:space="preserve">[17]</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 clear P&amp;L incentives and standardized technical platforms.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 hospitals with small HD rooms/UDM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station counts, still non‑autonomous dialysis for local catchment.</w:t>
            </w:r>
            <w:hyperlink w:anchor="fn1">
              <w:r>
                <w:rPr>
                  <w:rFonts w:eastAsia="helvetica neue" w:cs="helvetica neue" w:ascii="helvetica neue" w:hAnsi="helvetica neue"/>
                  <w:color w:val="#000"/>
                  <w:sz w:val="17"/>
                  <w:u w:val="single"/>
                  <w:vertAlign w:val="superscript"/>
                </w:rPr>
                <w:t xml:space="preserve">[1]</w:t>
              </w:r>
            </w:hyperlink>
            <w:hyperlink w:anchor="fn12">
              <w:r>
                <w:rPr>
                  <w:rFonts w:eastAsia="helvetica neue" w:cs="helvetica neue" w:ascii="helvetica neue" w:hAnsi="helvetica neue"/>
                  <w:color w:val="#000"/>
                  <w:sz w:val="17"/>
                  <w:u w:val="single"/>
                  <w:vertAlign w:val="superscript"/>
                </w:rPr>
                <w:t xml:space="preserve">[12]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Selective: feasible if integrated into broader hospital grey‑water plan.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Small hospitals, self‑dialysis units, home HD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Fragmented, limited patients per site; some without full technical services.</w:t>
            </w:r>
            <w:hyperlink w:anchor="fn2">
              <w:r>
                <w:rPr>
                  <w:rFonts w:eastAsia="helvetica neue" w:cs="helvetica neue" w:ascii="helvetica neue" w:hAnsi="helvetica neue"/>
                  <w:color w:val="#000"/>
                  <w:sz w:val="17"/>
                  <w:u w:val="single"/>
                  <w:vertAlign w:val="superscript"/>
                </w:rPr>
                <w:t xml:space="preserve">[2]</w:t>
              </w:r>
            </w:hyperlink>
            <w:hyperlink w:anchor="fn1">
              <w:r>
                <w:rPr>
                  <w:rFonts w:eastAsia="helvetica neue" w:cs="helvetica neue" w:ascii="helvetica neue" w:hAnsi="helvetica neue"/>
                  <w:color w:val="#000"/>
                  <w:sz w:val="17"/>
                  <w:u w:val="single"/>
                  <w:vertAlign w:val="superscript"/>
                </w:rPr>
                <w:t xml:space="preserve">[1]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Low: capex per saved m³ too high; complexity outweighs benefits.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lide_3_technology_options_ranked_82c528"/>
      <w:r>
        <w:rPr>
          <w:rFonts w:eastAsia="georgia" w:cs="georgia" w:ascii="georgia" w:hAnsi="georgia"/>
          <w:b/>
          <w:color w:val="000000"/>
          <w:sz w:val="24"/>
        </w:rPr>
        <w:t xml:space="preserve">Slide 3: Technology Options – Ranked and Scored</w:t>
      </w:r>
      <w:bookmarkEnd w:id="31"/>
    </w:p>
    <w:p>
      <w:pPr>
        <w:spacing w:line="360" w:after="210" w:lineRule="auto"/>
      </w:pPr>
      <w:r>
        <w:rPr>
          <w:rFonts w:eastAsia="georgia" w:cs="georgia" w:ascii="georgia" w:hAnsi="georgia"/>
          <w:b/>
          <w:color w:val="000000"/>
        </w:rPr>
        <w:t xml:space="preserve">Context (why water reuse is realistic but bounded)</w:t>
      </w:r>
    </w:p>
    <w:p>
      <w:pPr>
        <w:numPr>
          <w:ilvl w:val="0"/>
          <w:numId w:val="4"/>
        </w:numPr>
        <w:spacing w:line="360" w:before="105" w:after="105" w:lineRule="auto"/>
      </w:pPr>
      <w:r>
        <w:rPr>
          <w:rFonts w:eastAsia="georgia" w:cs="georgia" w:ascii="georgia" w:hAnsi="georgia"/>
          <w:color w:val="000000"/>
          <w:sz w:val="21"/>
        </w:rPr>
        <w:t xml:space="preserve">Haemodialysis uses treated water to prepare dialysate; RO systems reject 50–70% of incoming water, which never contacts blood or dialysate and is therefore relatively clean (low microbial risk, but not potable‑grade).</w:t>
      </w:r>
      <w:bookmarkStart w:id="32" w:name="fnref18"/>
      <w:bookmarkEnd w:id="32"/>
      <w:hyperlink w:anchor="fn18">
        <w:r>
          <w:rPr>
            <w:rFonts w:eastAsia="helvetica neue" w:cs="helvetica neue" w:ascii="helvetica neue" w:hAnsi="helvetica neue"/>
            <w:color w:val="#000"/>
            <w:sz w:val="21"/>
            <w:u w:val="single"/>
            <w:vertAlign w:val="superscript"/>
          </w:rPr>
          <w:t xml:space="preserve">[18]</w:t>
        </w:r>
      </w:hyperlink>
      <w:bookmarkStart w:id="33" w:name="fnref7_1"/>
      <w:bookmarkEnd w:id="33"/>
      <w:hyperlink w:anchor="fn7">
        <w:r>
          <w:rPr>
            <w:rFonts w:eastAsia="helvetica neue" w:cs="helvetica neue" w:ascii="helvetica neue" w:hAnsi="helvetica neue"/>
            <w:color w:val="#000"/>
            <w:sz w:val="21"/>
            <w:u w:val="single"/>
            <w:vertAlign w:val="superscript"/>
          </w:rPr>
          <w:t xml:space="preserve">[7]</w:t>
        </w:r>
      </w:hyperlink>
      <w:bookmarkStart w:id="34" w:name="fnref6_1"/>
      <w:bookmarkEnd w:id="34"/>
      <w:hyperlink w:anchor="fn6">
        <w:r>
          <w:rPr>
            <w:rFonts w:eastAsia="helvetica neue" w:cs="helvetica neue" w:ascii="helvetica neue" w:hAnsi="helvetica neue"/>
            <w:color w:val="#000"/>
            <w:sz w:val="21"/>
            <w:u w:val="single"/>
            <w:vertAlign w:val="superscript"/>
          </w:rPr>
          <w:t xml:space="preserve">[6]</w:t>
        </w:r>
      </w:hyperlink>
    </w:p>
    <w:p>
      <w:pPr>
        <w:numPr>
          <w:ilvl w:val="0"/>
          <w:numId w:val="4"/>
        </w:numPr>
        <w:spacing w:line="360" w:before="105" w:after="105" w:lineRule="auto"/>
      </w:pPr>
      <w:r>
        <w:rPr>
          <w:rFonts w:eastAsia="georgia" w:cs="georgia" w:ascii="georgia" w:hAnsi="georgia"/>
          <w:color w:val="000000"/>
          <w:sz w:val="21"/>
        </w:rPr>
        <w:t xml:space="preserve">International experience shows that capturing RO‑reject and routing it to grey‑water uses (toilets, irrigation, some cleaning/laundry) is technically straightforward when separated from potable circuits and designed with estates/engineering teams.</w:t>
      </w:r>
      <w:bookmarkStart w:id="35" w:name="fnref19"/>
      <w:bookmarkEnd w:id="35"/>
      <w:hyperlink w:anchor="fn19">
        <w:r>
          <w:rPr>
            <w:rFonts w:eastAsia="helvetica neue" w:cs="helvetica neue" w:ascii="helvetica neue" w:hAnsi="helvetica neue"/>
            <w:color w:val="#000"/>
            <w:sz w:val="21"/>
            <w:u w:val="single"/>
            <w:vertAlign w:val="superscript"/>
          </w:rPr>
          <w:t xml:space="preserve">[19]</w:t>
        </w:r>
      </w:hyperlink>
      <w:bookmarkStart w:id="36" w:name="fnref9_2"/>
      <w:bookmarkEnd w:id="36"/>
      <w:hyperlink w:anchor="fn9">
        <w:r>
          <w:rPr>
            <w:rFonts w:eastAsia="helvetica neue" w:cs="helvetica neue" w:ascii="helvetica neue" w:hAnsi="helvetica neue"/>
            <w:color w:val="#000"/>
            <w:sz w:val="21"/>
            <w:u w:val="single"/>
            <w:vertAlign w:val="superscript"/>
          </w:rPr>
          <w:t xml:space="preserve">[9]</w:t>
        </w:r>
      </w:hyperlink>
      <w:bookmarkStart w:id="37" w:name="fnref14_1"/>
      <w:bookmarkEnd w:id="37"/>
      <w:hyperlink w:anchor="fn14">
        <w:r>
          <w:rPr>
            <w:rFonts w:eastAsia="helvetica neue" w:cs="helvetica neue" w:ascii="helvetica neue" w:hAnsi="helvetica neue"/>
            <w:color w:val="#000"/>
            <w:sz w:val="21"/>
            <w:u w:val="single"/>
            <w:vertAlign w:val="superscript"/>
          </w:rPr>
          <w:t xml:space="preserve">[14]</w:t>
        </w:r>
      </w:hyperlink>
      <w:bookmarkStart w:id="38" w:name="fnref13_1"/>
      <w:bookmarkEnd w:id="38"/>
      <w:hyperlink w:anchor="fn13">
        <w:r>
          <w:rPr>
            <w:rFonts w:eastAsia="helvetica neue" w:cs="helvetica neue" w:ascii="helvetica neue" w:hAnsi="helvetica neue"/>
            <w:color w:val="#000"/>
            <w:sz w:val="21"/>
            <w:u w:val="single"/>
            <w:vertAlign w:val="superscript"/>
          </w:rPr>
          <w:t xml:space="preserve">[13]</w:t>
        </w:r>
      </w:hyperlink>
    </w:p>
    <w:p>
      <w:pPr>
        <w:numPr>
          <w:ilvl w:val="0"/>
          <w:numId w:val="4"/>
        </w:numPr>
        <w:spacing w:line="360" w:before="105" w:after="105" w:lineRule="auto"/>
      </w:pPr>
      <w:r>
        <w:rPr>
          <w:rFonts w:eastAsia="georgia" w:cs="georgia" w:ascii="georgia" w:hAnsi="georgia"/>
          <w:color w:val="000000"/>
          <w:sz w:val="21"/>
        </w:rPr>
        <w:t xml:space="preserve">More ambitious concepts—reuse of spent dialysate or heat recovery—are discussed in circular‑economy nephrology papers but have limited real‑world deployment and need further validation.</w:t>
      </w:r>
      <w:bookmarkStart w:id="39" w:name="fnref20"/>
      <w:bookmarkEnd w:id="39"/>
      <w:hyperlink w:anchor="fn20">
        <w:r>
          <w:rPr>
            <w:rFonts w:eastAsia="helvetica neue" w:cs="helvetica neue" w:ascii="helvetica neue" w:hAnsi="helvetica neue"/>
            <w:color w:val="#000"/>
            <w:sz w:val="21"/>
            <w:u w:val="single"/>
            <w:vertAlign w:val="superscript"/>
          </w:rPr>
          <w:t xml:space="preserve">[20]</w:t>
        </w:r>
      </w:hyperlink>
      <w:bookmarkStart w:id="40" w:name="fnref14_2"/>
      <w:bookmarkEnd w:id="40"/>
      <w:hyperlink w:anchor="fn14">
        <w:r>
          <w:rPr>
            <w:rFonts w:eastAsia="helvetica neue" w:cs="helvetica neue" w:ascii="helvetica neue" w:hAnsi="helvetica neue"/>
            <w:color w:val="#000"/>
            <w:sz w:val="21"/>
            <w:u w:val="single"/>
            <w:vertAlign w:val="superscript"/>
          </w:rPr>
          <w:t xml:space="preserve">[14]</w:t>
        </w:r>
      </w:hyperlink>
      <w:bookmarkStart w:id="41" w:name="fnref21"/>
      <w:bookmarkEnd w:id="41"/>
      <w:hyperlink w:anchor="fn21">
        <w:r>
          <w:rPr>
            <w:rFonts w:eastAsia="helvetica neue" w:cs="helvetica neue" w:ascii="helvetica neue" w:hAnsi="helvetica neue"/>
            <w:color w:val="#000"/>
            <w:sz w:val="21"/>
            <w:u w:val="single"/>
            <w:vertAlign w:val="superscript"/>
          </w:rPr>
          <w:t xml:space="preserve">[21]</w:t>
        </w:r>
      </w:hyperlink>
    </w:p>
    <w:p>
      <w:pPr>
        <w:spacing w:line="360" w:after="210" w:lineRule="auto"/>
      </w:pPr>
      <w:r>
        <w:rPr>
          <w:rFonts w:eastAsia="georgia" w:cs="georgia" w:ascii="georgia" w:hAnsi="georgia"/>
          <w:b/>
          <w:color w:val="000000"/>
        </w:rPr>
        <w:t xml:space="preserve">Ranking and simple scoring (1–5; 5 = best)</w:t>
      </w:r>
      <w:r>
        <w:rPr>
          <w:rFonts w:eastAsia="georgia" w:cs="georgia" w:ascii="georgia" w:hAnsi="georgia"/>
          <w:color w:val="000000"/>
        </w:rPr>
        <w:br w:type="textWrapping"/>
      </w:r>
      <w:r>
        <w:rPr>
          <w:rFonts w:eastAsia="georgia" w:cs="georgia" w:ascii="georgia" w:hAnsi="georgia"/>
          <w:i/>
          <w:color w:val="000000"/>
        </w:rPr>
        <w:t xml:space="preserve">Scores are expert judgement based on current literature and case studies; they indicate relative positioning, not precise metrics.</w:t>
      </w:r>
    </w:p>
    <w:p>
      <w:pPr>
        <w:numPr>
          <w:ilvl w:val="0"/>
          <w:numId w:val="5"/>
        </w:numPr>
        <w:spacing w:line="360" w:after="210" w:lineRule="auto"/>
      </w:pPr>
      <w:r>
        <w:rPr>
          <w:rFonts w:eastAsia="georgia" w:cs="georgia" w:ascii="georgia" w:hAnsi="georgia"/>
          <w:b/>
          <w:color w:val="000000"/>
          <w:sz w:val="21"/>
        </w:rPr>
        <w:t xml:space="preserve">Capture and reuse of RO‑reject water for toilet flushing and irrigation (near‑term)</w:t>
      </w:r>
    </w:p>
    <w:p>
      <w:pPr>
        <w:numPr>
          <w:ilvl w:val="1"/>
          <w:numId w:val="5"/>
        </w:numPr>
        <w:spacing w:line="360" w:before="105" w:after="105" w:lineRule="auto"/>
      </w:pPr>
      <w:r>
        <w:rPr>
          <w:rFonts w:eastAsia="georgia" w:cs="georgia" w:ascii="georgia" w:hAnsi="georgia"/>
          <w:color w:val="000000"/>
          <w:sz w:val="21"/>
        </w:rPr>
        <w:t xml:space="preserve">How it works: RO‑reject is piped from dialysis water plant to a storage tank, then pumped to a separate grey‑water network feeding toilet cisterns and/or landscape irrigation; bypass to drain during disinfection or tank overflow.</w:t>
      </w:r>
      <w:bookmarkStart w:id="42" w:name="fnref9_3"/>
      <w:bookmarkEnd w:id="42"/>
      <w:hyperlink w:anchor="fn9">
        <w:r>
          <w:rPr>
            <w:rFonts w:eastAsia="helvetica neue" w:cs="helvetica neue" w:ascii="helvetica neue" w:hAnsi="helvetica neue"/>
            <w:color w:val="#000"/>
            <w:sz w:val="21"/>
            <w:u w:val="single"/>
            <w:vertAlign w:val="superscript"/>
          </w:rPr>
          <w:t xml:space="preserve">[9]</w:t>
        </w:r>
      </w:hyperlink>
      <w:bookmarkStart w:id="43" w:name="fnref14_3"/>
      <w:bookmarkEnd w:id="43"/>
      <w:hyperlink w:anchor="fn14">
        <w:r>
          <w:rPr>
            <w:rFonts w:eastAsia="helvetica neue" w:cs="helvetica neue" w:ascii="helvetica neue" w:hAnsi="helvetica neue"/>
            <w:color w:val="#000"/>
            <w:sz w:val="21"/>
            <w:u w:val="single"/>
            <w:vertAlign w:val="superscript"/>
          </w:rPr>
          <w:t xml:space="preserve">[14]</w:t>
        </w:r>
      </w:hyperlink>
      <w:bookmarkStart w:id="44" w:name="fnref13_2"/>
      <w:bookmarkEnd w:id="44"/>
      <w:hyperlink w:anchor="fn13">
        <w:r>
          <w:rPr>
            <w:rFonts w:eastAsia="helvetica neue" w:cs="helvetica neue" w:ascii="helvetica neue" w:hAnsi="helvetica neue"/>
            <w:color w:val="#000"/>
            <w:sz w:val="21"/>
            <w:u w:val="single"/>
            <w:vertAlign w:val="superscript"/>
          </w:rPr>
          <w:t xml:space="preserve">[13]</w:t>
        </w:r>
      </w:hyperlink>
    </w:p>
    <w:p>
      <w:pPr>
        <w:numPr>
          <w:ilvl w:val="1"/>
          <w:numId w:val="5"/>
        </w:numPr>
        <w:spacing w:line="360" w:before="105" w:after="105" w:lineRule="auto"/>
      </w:pPr>
      <w:r>
        <w:rPr>
          <w:rFonts w:eastAsia="georgia" w:cs="georgia" w:ascii="georgia" w:hAnsi="georgia"/>
          <w:color w:val="000000"/>
          <w:sz w:val="21"/>
        </w:rPr>
        <w:t xml:space="preserve">Maturity: Proven in multiple hospitals (UK, Ireland, Malaysia) for 10+ years, with documented volumes, costs and payback.</w:t>
      </w:r>
      <w:bookmarkStart w:id="45" w:name="fnref14_4"/>
      <w:bookmarkEnd w:id="45"/>
      <w:hyperlink w:anchor="fn14">
        <w:r>
          <w:rPr>
            <w:rFonts w:eastAsia="helvetica neue" w:cs="helvetica neue" w:ascii="helvetica neue" w:hAnsi="helvetica neue"/>
            <w:color w:val="#000"/>
            <w:sz w:val="21"/>
            <w:u w:val="single"/>
            <w:vertAlign w:val="superscript"/>
          </w:rPr>
          <w:t xml:space="preserve">[14]</w:t>
        </w:r>
      </w:hyperlink>
      <w:bookmarkStart w:id="46" w:name="fnref9_4"/>
      <w:bookmarkEnd w:id="46"/>
      <w:hyperlink w:anchor="fn9">
        <w:r>
          <w:rPr>
            <w:rFonts w:eastAsia="helvetica neue" w:cs="helvetica neue" w:ascii="helvetica neue" w:hAnsi="helvetica neue"/>
            <w:color w:val="#000"/>
            <w:sz w:val="21"/>
            <w:u w:val="single"/>
            <w:vertAlign w:val="superscript"/>
          </w:rPr>
          <w:t xml:space="preserve">[9]</w:t>
        </w:r>
      </w:hyperlink>
    </w:p>
    <w:p>
      <w:pPr>
        <w:numPr>
          <w:ilvl w:val="1"/>
          <w:numId w:val="5"/>
        </w:numPr>
        <w:spacing w:line="360" w:before="105" w:after="105" w:lineRule="auto"/>
      </w:pPr>
      <w:r>
        <w:rPr>
          <w:rFonts w:eastAsia="georgia" w:cs="georgia" w:ascii="georgia" w:hAnsi="georgia"/>
          <w:color w:val="000000"/>
          <w:sz w:val="21"/>
        </w:rPr>
        <w:t xml:space="preserve">Safety: Low infection risk because water never re‑enters clinical circuits or potable water; main concerns are cross‑connection control and legionella management in storage/distribution.</w:t>
      </w:r>
      <w:bookmarkStart w:id="47" w:name="fnref20_1"/>
      <w:bookmarkEnd w:id="47"/>
      <w:hyperlink w:anchor="fn20">
        <w:r>
          <w:rPr>
            <w:rFonts w:eastAsia="helvetica neue" w:cs="helvetica neue" w:ascii="helvetica neue" w:hAnsi="helvetica neue"/>
            <w:color w:val="#000"/>
            <w:sz w:val="21"/>
            <w:u w:val="single"/>
            <w:vertAlign w:val="superscript"/>
          </w:rPr>
          <w:t xml:space="preserve">[20]</w:t>
        </w:r>
      </w:hyperlink>
      <w:bookmarkStart w:id="48" w:name="fnref9_5"/>
      <w:bookmarkEnd w:id="48"/>
      <w:hyperlink w:anchor="fn9">
        <w:r>
          <w:rPr>
            <w:rFonts w:eastAsia="helvetica neue" w:cs="helvetica neue" w:ascii="helvetica neue" w:hAnsi="helvetica neue"/>
            <w:color w:val="#000"/>
            <w:sz w:val="21"/>
            <w:u w:val="single"/>
            <w:vertAlign w:val="superscript"/>
          </w:rPr>
          <w:t xml:space="preserve">[9]</w:t>
        </w:r>
      </w:hyperlink>
      <w:bookmarkStart w:id="49" w:name="fnref14_5"/>
      <w:bookmarkEnd w:id="49"/>
      <w:hyperlink w:anchor="fn14">
        <w:r>
          <w:rPr>
            <w:rFonts w:eastAsia="helvetica neue" w:cs="helvetica neue" w:ascii="helvetica neue" w:hAnsi="helvetica neue"/>
            <w:color w:val="#000"/>
            <w:sz w:val="21"/>
            <w:u w:val="single"/>
            <w:vertAlign w:val="superscript"/>
          </w:rPr>
          <w:t xml:space="preserve">[14]</w:t>
        </w:r>
      </w:hyperlink>
    </w:p>
    <w:p>
      <w:pPr>
        <w:numPr>
          <w:ilvl w:val="1"/>
          <w:numId w:val="5"/>
        </w:numPr>
        <w:spacing w:line="360" w:before="105" w:after="105" w:lineRule="auto"/>
      </w:pPr>
      <w:r>
        <w:rPr>
          <w:rFonts w:eastAsia="georgia" w:cs="georgia" w:ascii="georgia" w:hAnsi="georgia"/>
          <w:color w:val="000000"/>
          <w:sz w:val="21"/>
        </w:rPr>
        <w:t xml:space="preserve">Fit: Best for large and medium hospitals with big dialysis units and sizable toilet/irrigation demand.</w:t>
      </w:r>
    </w:p>
    <w:p>
      <w:pPr>
        <w:numPr>
          <w:ilvl w:val="1"/>
          <w:numId w:val="5"/>
        </w:numPr>
        <w:spacing w:line="360" w:before="105" w:after="105" w:lineRule="auto"/>
      </w:pPr>
      <w:r>
        <w:rPr>
          <w:rFonts w:eastAsia="georgia" w:cs="georgia" w:ascii="georgia" w:hAnsi="georgia"/>
          <w:b/>
          <w:color w:val="000000"/>
          <w:sz w:val="21"/>
        </w:rPr>
        <w:t xml:space="preserve">Scores:</w:t>
      </w:r>
      <w:r>
        <w:rPr>
          <w:rFonts w:eastAsia="georgia" w:cs="georgia" w:ascii="georgia" w:hAnsi="georgia"/>
          <w:color w:val="000000"/>
          <w:sz w:val="21"/>
        </w:rPr>
        <w:t xml:space="preserve"> Impact 5 / Ease 4 / Safety 4 / Cost 4 / Time‑to‑pilot 5.</w:t>
      </w:r>
    </w:p>
    <w:p>
      <w:pPr>
        <w:numPr>
          <w:ilvl w:val="0"/>
          <w:numId w:val="5"/>
        </w:numPr>
        <w:spacing w:line="360" w:after="210" w:lineRule="auto"/>
      </w:pPr>
      <w:r>
        <w:rPr>
          <w:rFonts w:eastAsia="georgia" w:cs="georgia" w:ascii="georgia" w:hAnsi="georgia"/>
          <w:b/>
          <w:color w:val="000000"/>
          <w:sz w:val="21"/>
        </w:rPr>
        <w:t xml:space="preserve">RO‑reject reuse for cleaning, technical uses, and selected laundry processes (near‑ to mid‑term)</w:t>
      </w:r>
    </w:p>
    <w:p>
      <w:pPr>
        <w:numPr>
          <w:ilvl w:val="1"/>
          <w:numId w:val="5"/>
        </w:numPr>
        <w:spacing w:line="360" w:before="105" w:after="105" w:lineRule="auto"/>
      </w:pPr>
      <w:r>
        <w:rPr>
          <w:rFonts w:eastAsia="georgia" w:cs="georgia" w:ascii="georgia" w:hAnsi="georgia"/>
          <w:color w:val="000000"/>
          <w:sz w:val="21"/>
        </w:rPr>
        <w:t xml:space="preserve">How it works: As above, but water is also used for floor cleaning, certain washer‑disinfectors, cooling towers, or pre‑wash cycles where hardness and conductivity are acceptable.</w:t>
      </w:r>
      <w:bookmarkStart w:id="50" w:name="fnref19_1"/>
      <w:bookmarkEnd w:id="50"/>
      <w:hyperlink w:anchor="fn19">
        <w:r>
          <w:rPr>
            <w:rFonts w:eastAsia="helvetica neue" w:cs="helvetica neue" w:ascii="helvetica neue" w:hAnsi="helvetica neue"/>
            <w:color w:val="#000"/>
            <w:sz w:val="21"/>
            <w:u w:val="single"/>
            <w:vertAlign w:val="superscript"/>
          </w:rPr>
          <w:t xml:space="preserve">[19]</w:t>
        </w:r>
      </w:hyperlink>
      <w:bookmarkStart w:id="51" w:name="fnref14_6"/>
      <w:bookmarkEnd w:id="51"/>
      <w:hyperlink w:anchor="fn14">
        <w:r>
          <w:rPr>
            <w:rFonts w:eastAsia="helvetica neue" w:cs="helvetica neue" w:ascii="helvetica neue" w:hAnsi="helvetica neue"/>
            <w:color w:val="#000"/>
            <w:sz w:val="21"/>
            <w:u w:val="single"/>
            <w:vertAlign w:val="superscript"/>
          </w:rPr>
          <w:t xml:space="preserve">[14]</w:t>
        </w:r>
      </w:hyperlink>
      <w:bookmarkStart w:id="52" w:name="fnref20_2"/>
      <w:bookmarkEnd w:id="52"/>
      <w:hyperlink w:anchor="fn20">
        <w:r>
          <w:rPr>
            <w:rFonts w:eastAsia="helvetica neue" w:cs="helvetica neue" w:ascii="helvetica neue" w:hAnsi="helvetica neue"/>
            <w:color w:val="#000"/>
            <w:sz w:val="21"/>
            <w:u w:val="single"/>
            <w:vertAlign w:val="superscript"/>
          </w:rPr>
          <w:t xml:space="preserve">[20]</w:t>
        </w:r>
      </w:hyperlink>
    </w:p>
    <w:p>
      <w:pPr>
        <w:numPr>
          <w:ilvl w:val="1"/>
          <w:numId w:val="5"/>
        </w:numPr>
        <w:spacing w:line="360" w:before="105" w:after="105" w:lineRule="auto"/>
      </w:pPr>
      <w:r>
        <w:rPr>
          <w:rFonts w:eastAsia="georgia" w:cs="georgia" w:ascii="georgia" w:hAnsi="georgia"/>
          <w:color w:val="000000"/>
          <w:sz w:val="21"/>
        </w:rPr>
        <w:t xml:space="preserve">Maturity: Some case reports (e.g. reject feeding laundries, hot‑water systems) but less standardized; needs site‑specific engineering and compatibility checks with equipment.</w:t>
      </w:r>
      <w:bookmarkStart w:id="53" w:name="fnref14_7"/>
      <w:bookmarkEnd w:id="53"/>
      <w:hyperlink w:anchor="fn14">
        <w:r>
          <w:rPr>
            <w:rFonts w:eastAsia="helvetica neue" w:cs="helvetica neue" w:ascii="helvetica neue" w:hAnsi="helvetica neue"/>
            <w:color w:val="#000"/>
            <w:sz w:val="21"/>
            <w:u w:val="single"/>
            <w:vertAlign w:val="superscript"/>
          </w:rPr>
          <w:t xml:space="preserve">[14]</w:t>
        </w:r>
      </w:hyperlink>
      <w:bookmarkStart w:id="54" w:name="fnref19_2"/>
      <w:bookmarkEnd w:id="54"/>
      <w:hyperlink w:anchor="fn19">
        <w:r>
          <w:rPr>
            <w:rFonts w:eastAsia="helvetica neue" w:cs="helvetica neue" w:ascii="helvetica neue" w:hAnsi="helvetica neue"/>
            <w:color w:val="#000"/>
            <w:sz w:val="21"/>
            <w:u w:val="single"/>
            <w:vertAlign w:val="superscript"/>
          </w:rPr>
          <w:t xml:space="preserve">[19]</w:t>
        </w:r>
      </w:hyperlink>
    </w:p>
    <w:p>
      <w:pPr>
        <w:numPr>
          <w:ilvl w:val="1"/>
          <w:numId w:val="5"/>
        </w:numPr>
        <w:spacing w:line="360" w:before="105" w:after="105" w:lineRule="auto"/>
      </w:pPr>
      <w:r>
        <w:rPr>
          <w:rFonts w:eastAsia="georgia" w:cs="georgia" w:ascii="georgia" w:hAnsi="georgia"/>
          <w:color w:val="000000"/>
          <w:sz w:val="21"/>
        </w:rPr>
        <w:t xml:space="preserve">Safety: Requires risk assessment for biofilm/scale; must not be used where drinking‑water standards are required or where aerosols pose infection risk without adequate treatment.</w:t>
      </w:r>
      <w:bookmarkStart w:id="55" w:name="fnref20_3"/>
      <w:bookmarkEnd w:id="55"/>
      <w:hyperlink w:anchor="fn20">
        <w:r>
          <w:rPr>
            <w:rFonts w:eastAsia="helvetica neue" w:cs="helvetica neue" w:ascii="helvetica neue" w:hAnsi="helvetica neue"/>
            <w:color w:val="#000"/>
            <w:sz w:val="21"/>
            <w:u w:val="single"/>
            <w:vertAlign w:val="superscript"/>
          </w:rPr>
          <w:t xml:space="preserve">[20]</w:t>
        </w:r>
      </w:hyperlink>
      <w:bookmarkStart w:id="56" w:name="fnref14_8"/>
      <w:bookmarkEnd w:id="56"/>
      <w:hyperlink w:anchor="fn14">
        <w:r>
          <w:rPr>
            <w:rFonts w:eastAsia="helvetica neue" w:cs="helvetica neue" w:ascii="helvetica neue" w:hAnsi="helvetica neue"/>
            <w:color w:val="#000"/>
            <w:sz w:val="21"/>
            <w:u w:val="single"/>
            <w:vertAlign w:val="superscript"/>
          </w:rPr>
          <w:t xml:space="preserve">[14]</w:t>
        </w:r>
      </w:hyperlink>
    </w:p>
    <w:p>
      <w:pPr>
        <w:numPr>
          <w:ilvl w:val="1"/>
          <w:numId w:val="5"/>
        </w:numPr>
        <w:spacing w:line="360" w:before="105" w:after="105" w:lineRule="auto"/>
      </w:pPr>
      <w:r>
        <w:rPr>
          <w:rFonts w:eastAsia="georgia" w:cs="georgia" w:ascii="georgia" w:hAnsi="georgia"/>
          <w:color w:val="000000"/>
          <w:sz w:val="21"/>
        </w:rPr>
        <w:t xml:space="preserve">Fit: Large hospitals with technical services and multiple non‑clinical water demands; less suitable for small sites.</w:t>
      </w:r>
    </w:p>
    <w:p>
      <w:pPr>
        <w:numPr>
          <w:ilvl w:val="1"/>
          <w:numId w:val="5"/>
        </w:numPr>
        <w:spacing w:line="360" w:before="105" w:after="105" w:lineRule="auto"/>
      </w:pPr>
      <w:r>
        <w:rPr>
          <w:rFonts w:eastAsia="georgia" w:cs="georgia" w:ascii="georgia" w:hAnsi="georgia"/>
          <w:b/>
          <w:color w:val="000000"/>
          <w:sz w:val="21"/>
        </w:rPr>
        <w:t xml:space="preserve">Scores:</w:t>
      </w:r>
      <w:r>
        <w:rPr>
          <w:rFonts w:eastAsia="georgia" w:cs="georgia" w:ascii="georgia" w:hAnsi="georgia"/>
          <w:color w:val="000000"/>
          <w:sz w:val="21"/>
        </w:rPr>
        <w:t xml:space="preserve"> Impact 4 / Ease 3 / Safety 3 / Cost 3 / Time‑to‑pilot 3.</w:t>
      </w:r>
    </w:p>
    <w:p>
      <w:pPr>
        <w:numPr>
          <w:ilvl w:val="0"/>
          <w:numId w:val="5"/>
        </w:numPr>
        <w:spacing w:line="360" w:after="210" w:lineRule="auto"/>
      </w:pPr>
      <w:r>
        <w:rPr>
          <w:rFonts w:eastAsia="georgia" w:cs="georgia" w:ascii="georgia" w:hAnsi="georgia"/>
          <w:b/>
          <w:color w:val="000000"/>
          <w:sz w:val="21"/>
        </w:rPr>
        <w:t xml:space="preserve">Optimizing RO efficiency and dialysis water demand (complementary, near‑term)</w:t>
      </w:r>
    </w:p>
    <w:p>
      <w:pPr>
        <w:numPr>
          <w:ilvl w:val="1"/>
          <w:numId w:val="5"/>
        </w:numPr>
        <w:spacing w:line="360" w:before="105" w:after="105" w:lineRule="auto"/>
      </w:pPr>
      <w:r>
        <w:rPr>
          <w:rFonts w:eastAsia="georgia" w:cs="georgia" w:ascii="georgia" w:hAnsi="georgia"/>
          <w:color w:val="000000"/>
          <w:sz w:val="21"/>
        </w:rPr>
        <w:t xml:space="preserve">How it works: Use higher‑efficiency RO units, adjust recovery rate, minimize rinse cycles, and optimize dialysate flow; larger centers already show lower water use per session when plants are well‑chosen and run continuously.</w:t>
      </w:r>
      <w:bookmarkStart w:id="57" w:name="fnref18_1"/>
      <w:bookmarkEnd w:id="57"/>
      <w:hyperlink w:anchor="fn18">
        <w:r>
          <w:rPr>
            <w:rFonts w:eastAsia="helvetica neue" w:cs="helvetica neue" w:ascii="helvetica neue" w:hAnsi="helvetica neue"/>
            <w:color w:val="#000"/>
            <w:sz w:val="21"/>
            <w:u w:val="single"/>
            <w:vertAlign w:val="superscript"/>
          </w:rPr>
          <w:t xml:space="preserve">[18]</w:t>
        </w:r>
      </w:hyperlink>
      <w:bookmarkStart w:id="58" w:name="fnref11_3"/>
      <w:bookmarkEnd w:id="58"/>
      <w:hyperlink w:anchor="fn11">
        <w:r>
          <w:rPr>
            <w:rFonts w:eastAsia="helvetica neue" w:cs="helvetica neue" w:ascii="helvetica neue" w:hAnsi="helvetica neue"/>
            <w:color w:val="#000"/>
            <w:sz w:val="21"/>
            <w:u w:val="single"/>
            <w:vertAlign w:val="superscript"/>
          </w:rPr>
          <w:t xml:space="preserve">[11]</w:t>
        </w:r>
      </w:hyperlink>
      <w:bookmarkStart w:id="59" w:name="fnref6_2"/>
      <w:bookmarkEnd w:id="59"/>
      <w:hyperlink w:anchor="fn6">
        <w:r>
          <w:rPr>
            <w:rFonts w:eastAsia="helvetica neue" w:cs="helvetica neue" w:ascii="helvetica neue" w:hAnsi="helvetica neue"/>
            <w:color w:val="#000"/>
            <w:sz w:val="21"/>
            <w:u w:val="single"/>
            <w:vertAlign w:val="superscript"/>
          </w:rPr>
          <w:t xml:space="preserve">[6]</w:t>
        </w:r>
      </w:hyperlink>
    </w:p>
    <w:p>
      <w:pPr>
        <w:numPr>
          <w:ilvl w:val="1"/>
          <w:numId w:val="5"/>
        </w:numPr>
        <w:spacing w:line="360" w:before="105" w:after="105" w:lineRule="auto"/>
      </w:pPr>
      <w:r>
        <w:rPr>
          <w:rFonts w:eastAsia="georgia" w:cs="georgia" w:ascii="georgia" w:hAnsi="georgia"/>
          <w:color w:val="000000"/>
          <w:sz w:val="21"/>
        </w:rPr>
        <w:t xml:space="preserve">Maturity: Well described in environmental nephrology reviews; many manufacturers already offer higher‑recovery systems and smart controls.</w:t>
      </w:r>
      <w:bookmarkStart w:id="60" w:name="fnref7_2"/>
      <w:bookmarkEnd w:id="60"/>
      <w:hyperlink w:anchor="fn7">
        <w:r>
          <w:rPr>
            <w:rFonts w:eastAsia="helvetica neue" w:cs="helvetica neue" w:ascii="helvetica neue" w:hAnsi="helvetica neue"/>
            <w:color w:val="#000"/>
            <w:sz w:val="21"/>
            <w:u w:val="single"/>
            <w:vertAlign w:val="superscript"/>
          </w:rPr>
          <w:t xml:space="preserve">[7]</w:t>
        </w:r>
      </w:hyperlink>
      <w:bookmarkStart w:id="61" w:name="fnref11_4"/>
      <w:bookmarkEnd w:id="61"/>
      <w:hyperlink w:anchor="fn11">
        <w:r>
          <w:rPr>
            <w:rFonts w:eastAsia="helvetica neue" w:cs="helvetica neue" w:ascii="helvetica neue" w:hAnsi="helvetica neue"/>
            <w:color w:val="#000"/>
            <w:sz w:val="21"/>
            <w:u w:val="single"/>
            <w:vertAlign w:val="superscript"/>
          </w:rPr>
          <w:t xml:space="preserve">[11]</w:t>
        </w:r>
      </w:hyperlink>
      <w:bookmarkStart w:id="62" w:name="fnref6_3"/>
      <w:bookmarkEnd w:id="62"/>
      <w:hyperlink w:anchor="fn6">
        <w:r>
          <w:rPr>
            <w:rFonts w:eastAsia="helvetica neue" w:cs="helvetica neue" w:ascii="helvetica neue" w:hAnsi="helvetica neue"/>
            <w:color w:val="#000"/>
            <w:sz w:val="21"/>
            <w:u w:val="single"/>
            <w:vertAlign w:val="superscript"/>
          </w:rPr>
          <w:t xml:space="preserve">[6]</w:t>
        </w:r>
      </w:hyperlink>
    </w:p>
    <w:p>
      <w:pPr>
        <w:numPr>
          <w:ilvl w:val="1"/>
          <w:numId w:val="5"/>
        </w:numPr>
        <w:spacing w:line="360" w:before="105" w:after="105" w:lineRule="auto"/>
      </w:pPr>
      <w:r>
        <w:rPr>
          <w:rFonts w:eastAsia="georgia" w:cs="georgia" w:ascii="georgia" w:hAnsi="georgia"/>
          <w:color w:val="000000"/>
          <w:sz w:val="21"/>
        </w:rPr>
        <w:t xml:space="preserve">Safety: Must not compromise water quality; changes are usually within manufacturer specifications and under existing standards.</w:t>
      </w:r>
      <w:bookmarkStart w:id="63" w:name="fnref11_5"/>
      <w:bookmarkEnd w:id="63"/>
      <w:hyperlink w:anchor="fn11">
        <w:r>
          <w:rPr>
            <w:rFonts w:eastAsia="helvetica neue" w:cs="helvetica neue" w:ascii="helvetica neue" w:hAnsi="helvetica neue"/>
            <w:color w:val="#000"/>
            <w:sz w:val="21"/>
            <w:u w:val="single"/>
            <w:vertAlign w:val="superscript"/>
          </w:rPr>
          <w:t xml:space="preserve">[11]</w:t>
        </w:r>
      </w:hyperlink>
      <w:bookmarkStart w:id="64" w:name="fnref18_2"/>
      <w:bookmarkEnd w:id="64"/>
      <w:hyperlink w:anchor="fn18">
        <w:r>
          <w:rPr>
            <w:rFonts w:eastAsia="helvetica neue" w:cs="helvetica neue" w:ascii="helvetica neue" w:hAnsi="helvetica neue"/>
            <w:color w:val="#000"/>
            <w:sz w:val="21"/>
            <w:u w:val="single"/>
            <w:vertAlign w:val="superscript"/>
          </w:rPr>
          <w:t xml:space="preserve">[18]</w:t>
        </w:r>
      </w:hyperlink>
    </w:p>
    <w:p>
      <w:pPr>
        <w:numPr>
          <w:ilvl w:val="1"/>
          <w:numId w:val="5"/>
        </w:numPr>
        <w:spacing w:line="360" w:before="105" w:after="105" w:lineRule="auto"/>
      </w:pPr>
      <w:r>
        <w:rPr>
          <w:rFonts w:eastAsia="georgia" w:cs="georgia" w:ascii="georgia" w:hAnsi="georgia"/>
          <w:color w:val="000000"/>
          <w:sz w:val="21"/>
        </w:rPr>
        <w:t xml:space="preserve">Fit: All hospital sizes; strongest gains in large centers.</w:t>
      </w:r>
    </w:p>
    <w:p>
      <w:pPr>
        <w:numPr>
          <w:ilvl w:val="1"/>
          <w:numId w:val="5"/>
        </w:numPr>
        <w:spacing w:line="360" w:before="105" w:after="105" w:lineRule="auto"/>
      </w:pPr>
      <w:r>
        <w:rPr>
          <w:rFonts w:eastAsia="georgia" w:cs="georgia" w:ascii="georgia" w:hAnsi="georgia"/>
          <w:b/>
          <w:color w:val="000000"/>
          <w:sz w:val="21"/>
        </w:rPr>
        <w:t xml:space="preserve">Scores:</w:t>
      </w:r>
      <w:r>
        <w:rPr>
          <w:rFonts w:eastAsia="georgia" w:cs="georgia" w:ascii="georgia" w:hAnsi="georgia"/>
          <w:color w:val="000000"/>
          <w:sz w:val="21"/>
        </w:rPr>
        <w:t xml:space="preserve"> Impact 3 / Ease 4 / Safety 4 / Cost 4 / Time‑to‑pilot 4.</w:t>
      </w:r>
    </w:p>
    <w:p>
      <w:pPr>
        <w:numPr>
          <w:ilvl w:val="0"/>
          <w:numId w:val="5"/>
        </w:numPr>
        <w:spacing w:line="360" w:after="210" w:lineRule="auto"/>
      </w:pPr>
      <w:r>
        <w:rPr>
          <w:rFonts w:eastAsia="georgia" w:cs="georgia" w:ascii="georgia" w:hAnsi="georgia"/>
          <w:b/>
          <w:color w:val="000000"/>
          <w:sz w:val="21"/>
        </w:rPr>
        <w:t xml:space="preserve">Treatment and reuse of mixed haemodialysis wastewater (spent dialysate + other streams) for irrigation or technical uses (mid‑term)</w:t>
      </w:r>
    </w:p>
    <w:p>
      <w:pPr>
        <w:numPr>
          <w:ilvl w:val="1"/>
          <w:numId w:val="5"/>
        </w:numPr>
        <w:spacing w:line="360" w:before="105" w:after="105" w:lineRule="auto"/>
      </w:pPr>
      <w:r>
        <w:rPr>
          <w:rFonts w:eastAsia="georgia" w:cs="georgia" w:ascii="georgia" w:hAnsi="georgia"/>
          <w:color w:val="000000"/>
          <w:sz w:val="21"/>
        </w:rPr>
        <w:t xml:space="preserve">How it works: Collect total haemodialysis wastewater, treat via coagulation, sedimentation and ultrafiltration, then reuse for irrigation or other non‑potable uses; RO‑reject alone can also be used where salinity permits.</w:t>
      </w:r>
      <w:bookmarkStart w:id="65" w:name="fnref22"/>
      <w:bookmarkEnd w:id="65"/>
      <w:hyperlink w:anchor="fn22">
        <w:r>
          <w:rPr>
            <w:rFonts w:eastAsia="helvetica neue" w:cs="helvetica neue" w:ascii="helvetica neue" w:hAnsi="helvetica neue"/>
            <w:color w:val="#000"/>
            <w:sz w:val="21"/>
            <w:u w:val="single"/>
            <w:vertAlign w:val="superscript"/>
          </w:rPr>
          <w:t xml:space="preserve">[22]</w:t>
        </w:r>
      </w:hyperlink>
      <w:bookmarkStart w:id="66" w:name="fnref19_3"/>
      <w:bookmarkEnd w:id="66"/>
      <w:hyperlink w:anchor="fn19">
        <w:r>
          <w:rPr>
            <w:rFonts w:eastAsia="helvetica neue" w:cs="helvetica neue" w:ascii="helvetica neue" w:hAnsi="helvetica neue"/>
            <w:color w:val="#000"/>
            <w:sz w:val="21"/>
            <w:u w:val="single"/>
            <w:vertAlign w:val="superscript"/>
          </w:rPr>
          <w:t xml:space="preserve">[19]</w:t>
        </w:r>
      </w:hyperlink>
    </w:p>
    <w:p>
      <w:pPr>
        <w:numPr>
          <w:ilvl w:val="1"/>
          <w:numId w:val="5"/>
        </w:numPr>
        <w:spacing w:line="360" w:before="105" w:after="105" w:lineRule="auto"/>
      </w:pPr>
      <w:r>
        <w:rPr>
          <w:rFonts w:eastAsia="georgia" w:cs="georgia" w:ascii="georgia" w:hAnsi="georgia"/>
          <w:color w:val="000000"/>
          <w:sz w:val="21"/>
        </w:rPr>
        <w:t xml:space="preserve">Evidence: An Iranian hospital study showed CFS+UF treatment could meet reuse criteria for several parameters, but high salinity and organic load limited direct irrigation without focusing specifically on RO‑reject.</w:t>
      </w:r>
      <w:bookmarkStart w:id="67" w:name="fnref22_1"/>
      <w:bookmarkEnd w:id="67"/>
      <w:hyperlink w:anchor="fn22">
        <w:r>
          <w:rPr>
            <w:rFonts w:eastAsia="helvetica neue" w:cs="helvetica neue" w:ascii="helvetica neue" w:hAnsi="helvetica neue"/>
            <w:color w:val="#000"/>
            <w:sz w:val="21"/>
            <w:u w:val="single"/>
            <w:vertAlign w:val="superscript"/>
          </w:rPr>
          <w:t xml:space="preserve">[22]</w:t>
        </w:r>
      </w:hyperlink>
      <w:bookmarkStart w:id="68" w:name="fnref19_4"/>
      <w:bookmarkEnd w:id="68"/>
      <w:hyperlink w:anchor="fn19">
        <w:r>
          <w:rPr>
            <w:rFonts w:eastAsia="helvetica neue" w:cs="helvetica neue" w:ascii="helvetica neue" w:hAnsi="helvetica neue"/>
            <w:color w:val="#000"/>
            <w:sz w:val="21"/>
            <w:u w:val="single"/>
            <w:vertAlign w:val="superscript"/>
          </w:rPr>
          <w:t xml:space="preserve">[19]</w:t>
        </w:r>
      </w:hyperlink>
    </w:p>
    <w:p>
      <w:pPr>
        <w:numPr>
          <w:ilvl w:val="1"/>
          <w:numId w:val="5"/>
        </w:numPr>
        <w:spacing w:line="360" w:before="105" w:after="105" w:lineRule="auto"/>
      </w:pPr>
      <w:r>
        <w:rPr>
          <w:rFonts w:eastAsia="georgia" w:cs="georgia" w:ascii="georgia" w:hAnsi="georgia"/>
          <w:color w:val="000000"/>
          <w:sz w:val="21"/>
        </w:rPr>
        <w:t xml:space="preserve">Safety/complexity: Higher; involves handling potentially contaminated effluent, more complex treatment trains, and stricter monitoring; likely too complex for initial pilots in France.</w:t>
      </w:r>
    </w:p>
    <w:p>
      <w:pPr>
        <w:numPr>
          <w:ilvl w:val="1"/>
          <w:numId w:val="5"/>
        </w:numPr>
        <w:spacing w:line="360" w:before="105" w:after="105" w:lineRule="auto"/>
      </w:pPr>
      <w:r>
        <w:rPr>
          <w:rFonts w:eastAsia="georgia" w:cs="georgia" w:ascii="georgia" w:hAnsi="georgia"/>
          <w:color w:val="000000"/>
          <w:sz w:val="21"/>
        </w:rPr>
        <w:t xml:space="preserve">Fit: Larger centers with ambitious sustainability programs; probably not first wave.</w:t>
      </w:r>
    </w:p>
    <w:p>
      <w:pPr>
        <w:numPr>
          <w:ilvl w:val="1"/>
          <w:numId w:val="5"/>
        </w:numPr>
        <w:spacing w:line="360" w:before="105" w:after="105" w:lineRule="auto"/>
      </w:pPr>
      <w:r>
        <w:rPr>
          <w:rFonts w:eastAsia="georgia" w:cs="georgia" w:ascii="georgia" w:hAnsi="georgia"/>
          <w:b/>
          <w:color w:val="000000"/>
          <w:sz w:val="21"/>
        </w:rPr>
        <w:t xml:space="preserve">Scores:</w:t>
      </w:r>
      <w:r>
        <w:rPr>
          <w:rFonts w:eastAsia="georgia" w:cs="georgia" w:ascii="georgia" w:hAnsi="georgia"/>
          <w:color w:val="000000"/>
          <w:sz w:val="21"/>
        </w:rPr>
        <w:t xml:space="preserve"> Impact 4 / Ease 2 / Safety 2 / Cost 2 / Time‑to‑pilot 2.</w:t>
      </w:r>
    </w:p>
    <w:p>
      <w:pPr>
        <w:numPr>
          <w:ilvl w:val="0"/>
          <w:numId w:val="5"/>
        </w:numPr>
        <w:spacing w:line="360" w:after="210" w:lineRule="auto"/>
      </w:pPr>
      <w:r>
        <w:rPr>
          <w:rFonts w:eastAsia="georgia" w:cs="georgia" w:ascii="georgia" w:hAnsi="georgia"/>
          <w:b/>
          <w:color w:val="000000"/>
          <w:sz w:val="21"/>
        </w:rPr>
        <w:t xml:space="preserve">Reuse of spent dialysate and thermal energy recovery (long‑term)</w:t>
      </w:r>
    </w:p>
    <w:p>
      <w:pPr>
        <w:numPr>
          <w:ilvl w:val="1"/>
          <w:numId w:val="5"/>
        </w:numPr>
        <w:spacing w:line="360" w:before="105" w:after="105" w:lineRule="auto"/>
      </w:pPr>
      <w:r>
        <w:rPr>
          <w:rFonts w:eastAsia="georgia" w:cs="georgia" w:ascii="georgia" w:hAnsi="georgia"/>
          <w:color w:val="000000"/>
          <w:sz w:val="21"/>
        </w:rPr>
        <w:t xml:space="preserve">How it works: Concepts include purifying spent dialysate for toilet flushing or other uses and installing heat exchangers to recover thermal energy from warm effluent.</w:t>
      </w:r>
      <w:bookmarkStart w:id="69" w:name="fnref21_1"/>
      <w:bookmarkEnd w:id="69"/>
      <w:hyperlink w:anchor="fn21">
        <w:r>
          <w:rPr>
            <w:rFonts w:eastAsia="helvetica neue" w:cs="helvetica neue" w:ascii="helvetica neue" w:hAnsi="helvetica neue"/>
            <w:color w:val="#000"/>
            <w:sz w:val="21"/>
            <w:u w:val="single"/>
            <w:vertAlign w:val="superscript"/>
          </w:rPr>
          <w:t xml:space="preserve">[21]</w:t>
        </w:r>
      </w:hyperlink>
      <w:bookmarkStart w:id="70" w:name="fnref14_9"/>
      <w:bookmarkEnd w:id="70"/>
      <w:hyperlink w:anchor="fn14">
        <w:r>
          <w:rPr>
            <w:rFonts w:eastAsia="helvetica neue" w:cs="helvetica neue" w:ascii="helvetica neue" w:hAnsi="helvetica neue"/>
            <w:color w:val="#000"/>
            <w:sz w:val="21"/>
            <w:u w:val="single"/>
            <w:vertAlign w:val="superscript"/>
          </w:rPr>
          <w:t xml:space="preserve">[14]</w:t>
        </w:r>
      </w:hyperlink>
      <w:bookmarkStart w:id="71" w:name="fnref20_4"/>
      <w:bookmarkEnd w:id="71"/>
      <w:hyperlink w:anchor="fn20">
        <w:r>
          <w:rPr>
            <w:rFonts w:eastAsia="helvetica neue" w:cs="helvetica neue" w:ascii="helvetica neue" w:hAnsi="helvetica neue"/>
            <w:color w:val="#000"/>
            <w:sz w:val="21"/>
            <w:u w:val="single"/>
            <w:vertAlign w:val="superscript"/>
          </w:rPr>
          <w:t xml:space="preserve">[20]</w:t>
        </w:r>
      </w:hyperlink>
    </w:p>
    <w:p>
      <w:pPr>
        <w:numPr>
          <w:ilvl w:val="1"/>
          <w:numId w:val="5"/>
        </w:numPr>
        <w:spacing w:line="360" w:before="105" w:after="105" w:lineRule="auto"/>
      </w:pPr>
      <w:r>
        <w:rPr>
          <w:rFonts w:eastAsia="georgia" w:cs="georgia" w:ascii="georgia" w:hAnsi="georgia"/>
          <w:color w:val="000000"/>
          <w:sz w:val="21"/>
        </w:rPr>
        <w:t xml:space="preserve">Evidence: Mostly conceptual and small‑scale; the 2024 circular‑economy point‑of‑view paper lists these as future opportunities, not standard practice; no large hospital‑wide deployments reported.</w:t>
      </w:r>
      <w:bookmarkStart w:id="72" w:name="fnref21_2"/>
      <w:bookmarkEnd w:id="72"/>
      <w:hyperlink w:anchor="fn21">
        <w:r>
          <w:rPr>
            <w:rFonts w:eastAsia="helvetica neue" w:cs="helvetica neue" w:ascii="helvetica neue" w:hAnsi="helvetica neue"/>
            <w:color w:val="#000"/>
            <w:sz w:val="21"/>
            <w:u w:val="single"/>
            <w:vertAlign w:val="superscript"/>
          </w:rPr>
          <w:t xml:space="preserve">[21]</w:t>
        </w:r>
      </w:hyperlink>
      <w:bookmarkStart w:id="73" w:name="fnref14_10"/>
      <w:bookmarkEnd w:id="73"/>
      <w:hyperlink w:anchor="fn14">
        <w:r>
          <w:rPr>
            <w:rFonts w:eastAsia="helvetica neue" w:cs="helvetica neue" w:ascii="helvetica neue" w:hAnsi="helvetica neue"/>
            <w:color w:val="#000"/>
            <w:sz w:val="21"/>
            <w:u w:val="single"/>
            <w:vertAlign w:val="superscript"/>
          </w:rPr>
          <w:t xml:space="preserve">[14]</w:t>
        </w:r>
      </w:hyperlink>
      <w:bookmarkStart w:id="74" w:name="fnref20_5"/>
      <w:bookmarkEnd w:id="74"/>
      <w:hyperlink w:anchor="fn20">
        <w:r>
          <w:rPr>
            <w:rFonts w:eastAsia="helvetica neue" w:cs="helvetica neue" w:ascii="helvetica neue" w:hAnsi="helvetica neue"/>
            <w:color w:val="#000"/>
            <w:sz w:val="21"/>
            <w:u w:val="single"/>
            <w:vertAlign w:val="superscript"/>
          </w:rPr>
          <w:t xml:space="preserve">[20]</w:t>
        </w:r>
      </w:hyperlink>
    </w:p>
    <w:p>
      <w:pPr>
        <w:numPr>
          <w:ilvl w:val="1"/>
          <w:numId w:val="5"/>
        </w:numPr>
        <w:spacing w:line="360" w:before="105" w:after="105" w:lineRule="auto"/>
      </w:pPr>
      <w:r>
        <w:rPr>
          <w:rFonts w:eastAsia="georgia" w:cs="georgia" w:ascii="georgia" w:hAnsi="georgia"/>
          <w:color w:val="000000"/>
          <w:sz w:val="21"/>
        </w:rPr>
        <w:t xml:space="preserve">Safety/complexity: High, as dialysate effluent contains blood traces, solutes and potentially pathogens; any reuse needs robust treatment, validation and regulatory approval.</w:t>
      </w:r>
    </w:p>
    <w:p>
      <w:pPr>
        <w:numPr>
          <w:ilvl w:val="1"/>
          <w:numId w:val="5"/>
        </w:numPr>
        <w:spacing w:line="360" w:before="105" w:after="105" w:lineRule="auto"/>
      </w:pPr>
      <w:r>
        <w:rPr>
          <w:rFonts w:eastAsia="georgia" w:cs="georgia" w:ascii="georgia" w:hAnsi="georgia"/>
          <w:color w:val="000000"/>
          <w:sz w:val="21"/>
        </w:rPr>
        <w:t xml:space="preserve">Fit: Research centers or flagship university hospitals; not ready for mainstream deployment.</w:t>
      </w:r>
    </w:p>
    <w:p>
      <w:pPr>
        <w:numPr>
          <w:ilvl w:val="1"/>
          <w:numId w:val="5"/>
        </w:numPr>
        <w:spacing w:line="360" w:before="105" w:after="105" w:lineRule="auto"/>
      </w:pPr>
      <w:r>
        <w:rPr>
          <w:rFonts w:eastAsia="georgia" w:cs="georgia" w:ascii="georgia" w:hAnsi="georgia"/>
          <w:b/>
          <w:color w:val="000000"/>
          <w:sz w:val="21"/>
        </w:rPr>
        <w:t xml:space="preserve">Scores:</w:t>
      </w:r>
      <w:r>
        <w:rPr>
          <w:rFonts w:eastAsia="georgia" w:cs="georgia" w:ascii="georgia" w:hAnsi="georgia"/>
          <w:color w:val="000000"/>
          <w:sz w:val="21"/>
        </w:rPr>
        <w:t xml:space="preserve"> Impact 5 / Ease 1 / Safety 1 / Cost 1 / Time‑to‑pilot 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slide_4_evidence_impact_savings_a_699d55"/>
      <w:r>
        <w:rPr>
          <w:rFonts w:eastAsia="georgia" w:cs="georgia" w:ascii="georgia" w:hAnsi="georgia"/>
          <w:b/>
          <w:color w:val="000000"/>
          <w:sz w:val="24"/>
        </w:rPr>
        <w:t xml:space="preserve">Slide 4: Evidence – Impact, Savings, and Uncertainty</w:t>
      </w:r>
      <w:bookmarkEnd w:id="75"/>
    </w:p>
    <w:p>
      <w:pPr>
        <w:spacing w:line="360" w:after="210" w:lineRule="auto"/>
      </w:pPr>
      <w:r>
        <w:rPr>
          <w:rFonts w:eastAsia="georgia" w:cs="georgia" w:ascii="georgia" w:hAnsi="georgia"/>
          <w:b/>
          <w:color w:val="000000"/>
        </w:rPr>
        <w:t xml:space="preserve">Water consumption and reject volumes (well‑supported)</w:t>
      </w:r>
    </w:p>
    <w:p>
      <w:pPr>
        <w:numPr>
          <w:ilvl w:val="0"/>
          <w:numId w:val="6"/>
        </w:numPr>
        <w:spacing w:line="360" w:before="105" w:after="105" w:lineRule="auto"/>
      </w:pPr>
      <w:r>
        <w:rPr>
          <w:rFonts w:eastAsia="georgia" w:cs="georgia" w:ascii="georgia" w:hAnsi="georgia"/>
          <w:color w:val="000000"/>
          <w:sz w:val="21"/>
        </w:rPr>
        <w:t xml:space="preserve">Multiple technical and clinical sources converge on ~400–500 L of mains water per standard 4‑hour HD session, with RO systems rejecting roughly 50–70% of feed water; that implies 200–350 L of RO‑reject per session.</w:t>
      </w:r>
      <w:bookmarkStart w:id="76" w:name="fnref8_1"/>
      <w:bookmarkEnd w:id="76"/>
      <w:hyperlink w:anchor="fn8">
        <w:r>
          <w:rPr>
            <w:rFonts w:eastAsia="helvetica neue" w:cs="helvetica neue" w:ascii="helvetica neue" w:hAnsi="helvetica neue"/>
            <w:color w:val="#000"/>
            <w:sz w:val="21"/>
            <w:u w:val="single"/>
            <w:vertAlign w:val="superscript"/>
          </w:rPr>
          <w:t xml:space="preserve">[8]</w:t>
        </w:r>
      </w:hyperlink>
      <w:bookmarkStart w:id="77" w:name="fnref6_4"/>
      <w:bookmarkEnd w:id="77"/>
      <w:hyperlink w:anchor="fn6">
        <w:r>
          <w:rPr>
            <w:rFonts w:eastAsia="helvetica neue" w:cs="helvetica neue" w:ascii="helvetica neue" w:hAnsi="helvetica neue"/>
            <w:color w:val="#000"/>
            <w:sz w:val="21"/>
            <w:u w:val="single"/>
            <w:vertAlign w:val="superscript"/>
          </w:rPr>
          <w:t xml:space="preserve">[6]</w:t>
        </w:r>
      </w:hyperlink>
      <w:bookmarkStart w:id="78" w:name="fnref7_3"/>
      <w:bookmarkEnd w:id="78"/>
      <w:hyperlink w:anchor="fn7">
        <w:r>
          <w:rPr>
            <w:rFonts w:eastAsia="helvetica neue" w:cs="helvetica neue" w:ascii="helvetica neue" w:hAnsi="helvetica neue"/>
            <w:color w:val="#000"/>
            <w:sz w:val="21"/>
            <w:u w:val="single"/>
            <w:vertAlign w:val="superscript"/>
          </w:rPr>
          <w:t xml:space="preserve">[7]</w:t>
        </w:r>
      </w:hyperlink>
      <w:bookmarkStart w:id="79" w:name="fnref9_6"/>
      <w:bookmarkEnd w:id="79"/>
      <w:hyperlink w:anchor="fn9">
        <w:r>
          <w:rPr>
            <w:rFonts w:eastAsia="helvetica neue" w:cs="helvetica neue" w:ascii="helvetica neue" w:hAnsi="helvetica neue"/>
            <w:color w:val="#000"/>
            <w:sz w:val="21"/>
            <w:u w:val="single"/>
            <w:vertAlign w:val="superscript"/>
          </w:rPr>
          <w:t xml:space="preserve">[9]</w:t>
        </w:r>
      </w:hyperlink>
      <w:bookmarkStart w:id="80" w:name="fnref18_3"/>
      <w:bookmarkEnd w:id="80"/>
      <w:hyperlink w:anchor="fn18">
        <w:r>
          <w:rPr>
            <w:rFonts w:eastAsia="helvetica neue" w:cs="helvetica neue" w:ascii="helvetica neue" w:hAnsi="helvetica neue"/>
            <w:color w:val="#000"/>
            <w:sz w:val="21"/>
            <w:u w:val="single"/>
            <w:vertAlign w:val="superscript"/>
          </w:rPr>
          <w:t xml:space="preserve">[18]</w:t>
        </w:r>
      </w:hyperlink>
    </w:p>
    <w:p>
      <w:pPr>
        <w:numPr>
          <w:ilvl w:val="0"/>
          <w:numId w:val="6"/>
        </w:numPr>
        <w:spacing w:line="360" w:before="105" w:after="105" w:lineRule="auto"/>
      </w:pPr>
      <w:r>
        <w:rPr>
          <w:rFonts w:eastAsia="georgia" w:cs="georgia" w:ascii="georgia" w:hAnsi="georgia"/>
          <w:color w:val="000000"/>
          <w:sz w:val="21"/>
        </w:rPr>
        <w:t xml:space="preserve">The 2025 Clinical Kidney Journal environmental impact study of 20 HD centers reported average water consumption of about 600 ± 200 L per session, with larger centers using less water per session than smaller ones.</w:t>
      </w:r>
      <w:bookmarkStart w:id="81" w:name="fnref23"/>
      <w:bookmarkEnd w:id="81"/>
      <w:hyperlink w:anchor="fn23">
        <w:r>
          <w:rPr>
            <w:rFonts w:eastAsia="helvetica neue" w:cs="helvetica neue" w:ascii="helvetica neue" w:hAnsi="helvetica neue"/>
            <w:color w:val="#000"/>
            <w:sz w:val="21"/>
            <w:u w:val="single"/>
            <w:vertAlign w:val="superscript"/>
          </w:rPr>
          <w:t xml:space="preserve">[23]</w:t>
        </w:r>
      </w:hyperlink>
      <w:bookmarkStart w:id="82" w:name="fnref11_6"/>
      <w:bookmarkEnd w:id="82"/>
      <w:hyperlink w:anchor="fn11">
        <w:r>
          <w:rPr>
            <w:rFonts w:eastAsia="helvetica neue" w:cs="helvetica neue" w:ascii="helvetica neue" w:hAnsi="helvetica neue"/>
            <w:color w:val="#000"/>
            <w:sz w:val="21"/>
            <w:u w:val="single"/>
            <w:vertAlign w:val="superscript"/>
          </w:rPr>
          <w:t xml:space="preserve">[11]</w:t>
        </w:r>
      </w:hyperlink>
    </w:p>
    <w:p>
      <w:pPr>
        <w:numPr>
          <w:ilvl w:val="0"/>
          <w:numId w:val="6"/>
        </w:numPr>
        <w:spacing w:line="360" w:before="105" w:after="105" w:lineRule="auto"/>
      </w:pPr>
      <w:r>
        <w:rPr>
          <w:rFonts w:eastAsia="georgia" w:cs="georgia" w:ascii="georgia" w:hAnsi="georgia"/>
          <w:color w:val="000000"/>
          <w:sz w:val="21"/>
        </w:rPr>
        <w:t xml:space="preserve">A global review estimated total HD water use at 265 million m³/year for one million hemodialyzed patients, with about two‑thirds as RO‑reject, consistent with ~0.5 m³ of total water per session.</w:t>
      </w:r>
      <w:bookmarkStart w:id="83" w:name="fnref6_5"/>
      <w:bookmarkEnd w:id="83"/>
      <w:hyperlink w:anchor="fn6">
        <w:r>
          <w:rPr>
            <w:rFonts w:eastAsia="helvetica neue" w:cs="helvetica neue" w:ascii="helvetica neue" w:hAnsi="helvetica neue"/>
            <w:color w:val="#000"/>
            <w:sz w:val="21"/>
            <w:u w:val="single"/>
            <w:vertAlign w:val="superscript"/>
          </w:rPr>
          <w:t xml:space="preserve">[6]</w:t>
        </w:r>
      </w:hyperlink>
      <w:bookmarkStart w:id="84" w:name="fnref18_4"/>
      <w:bookmarkEnd w:id="84"/>
      <w:hyperlink w:anchor="fn18">
        <w:r>
          <w:rPr>
            <w:rFonts w:eastAsia="helvetica neue" w:cs="helvetica neue" w:ascii="helvetica neue" w:hAnsi="helvetica neue"/>
            <w:color w:val="#000"/>
            <w:sz w:val="21"/>
            <w:u w:val="single"/>
            <w:vertAlign w:val="superscript"/>
          </w:rPr>
          <w:t xml:space="preserve">[18]</w:t>
        </w:r>
      </w:hyperlink>
    </w:p>
    <w:p>
      <w:pPr>
        <w:spacing w:line="360" w:after="210" w:lineRule="auto"/>
      </w:pPr>
      <w:r>
        <w:rPr>
          <w:rFonts w:eastAsia="georgia" w:cs="georgia" w:ascii="georgia" w:hAnsi="georgia"/>
          <w:b/>
          <w:color w:val="000000"/>
        </w:rPr>
        <w:t xml:space="preserve">Case studies of RO‑reject reuse (strong for feasibility and economics, mostly outside France)</w:t>
      </w:r>
    </w:p>
    <w:p>
      <w:pPr>
        <w:numPr>
          <w:ilvl w:val="0"/>
          <w:numId w:val="7"/>
        </w:numPr>
        <w:spacing w:line="360" w:before="105" w:after="105" w:lineRule="auto"/>
      </w:pPr>
      <w:r>
        <w:rPr>
          <w:rFonts w:eastAsia="georgia" w:cs="georgia" w:ascii="georgia" w:hAnsi="georgia"/>
          <w:color w:val="000000"/>
          <w:sz w:val="21"/>
        </w:rPr>
        <w:t xml:space="preserve">The Canterbury dialysis unit (UK) installed a system in 1999 that recovers about 800 L/h of RO‑reject, piping it to a grey‑water tank to flush hospital toilets; capital cost was ~£15,000, with annual water/sewer savings of ~£7,500 and payback in ~2 years.</w:t>
      </w:r>
      <w:bookmarkStart w:id="85" w:name="fnref13_3"/>
      <w:bookmarkEnd w:id="85"/>
      <w:hyperlink w:anchor="fn13">
        <w:r>
          <w:rPr>
            <w:rFonts w:eastAsia="helvetica neue" w:cs="helvetica neue" w:ascii="helvetica neue" w:hAnsi="helvetica neue"/>
            <w:color w:val="#000"/>
            <w:sz w:val="21"/>
            <w:u w:val="single"/>
            <w:vertAlign w:val="superscript"/>
          </w:rPr>
          <w:t xml:space="preserve">[13]</w:t>
        </w:r>
      </w:hyperlink>
      <w:bookmarkStart w:id="86" w:name="fnref9_7"/>
      <w:bookmarkEnd w:id="86"/>
      <w:hyperlink w:anchor="fn9">
        <w:r>
          <w:rPr>
            <w:rFonts w:eastAsia="helvetica neue" w:cs="helvetica neue" w:ascii="helvetica neue" w:hAnsi="helvetica neue"/>
            <w:color w:val="#000"/>
            <w:sz w:val="21"/>
            <w:u w:val="single"/>
            <w:vertAlign w:val="superscript"/>
          </w:rPr>
          <w:t xml:space="preserve">[9]</w:t>
        </w:r>
      </w:hyperlink>
      <w:bookmarkStart w:id="87" w:name="fnref14_11"/>
      <w:bookmarkEnd w:id="87"/>
      <w:hyperlink w:anchor="fn14">
        <w:r>
          <w:rPr>
            <w:rFonts w:eastAsia="helvetica neue" w:cs="helvetica neue" w:ascii="helvetica neue" w:hAnsi="helvetica neue"/>
            <w:color w:val="#000"/>
            <w:sz w:val="21"/>
            <w:u w:val="single"/>
            <w:vertAlign w:val="superscript"/>
          </w:rPr>
          <w:t xml:space="preserve">[14]</w:t>
        </w:r>
      </w:hyperlink>
    </w:p>
    <w:p>
      <w:pPr>
        <w:numPr>
          <w:ilvl w:val="0"/>
          <w:numId w:val="7"/>
        </w:numPr>
        <w:spacing w:line="360" w:before="105" w:after="105" w:lineRule="auto"/>
      </w:pPr>
      <w:r>
        <w:rPr>
          <w:rFonts w:eastAsia="georgia" w:cs="georgia" w:ascii="georgia" w:hAnsi="georgia"/>
          <w:color w:val="000000"/>
          <w:sz w:val="21"/>
        </w:rPr>
        <w:t xml:space="preserve">Other hospitals (e.g. Countess of Chester, Lister, Maidstone, Sultan Abdul Halim in Malaysia) report recovered volumes of 1,460–5,240 m³/year, investment costs around 6,000–14,000 (USD equivalent) and payback between ~12 and 42 months.</w:t>
      </w:r>
      <w:bookmarkStart w:id="88" w:name="fnref14_12"/>
      <w:bookmarkEnd w:id="88"/>
      <w:hyperlink w:anchor="fn14">
        <w:r>
          <w:rPr>
            <w:rFonts w:eastAsia="helvetica neue" w:cs="helvetica neue" w:ascii="helvetica neue" w:hAnsi="helvetica neue"/>
            <w:color w:val="#000"/>
            <w:sz w:val="21"/>
            <w:u w:val="single"/>
            <w:vertAlign w:val="superscript"/>
          </w:rPr>
          <w:t xml:space="preserve">[14]</w:t>
        </w:r>
      </w:hyperlink>
    </w:p>
    <w:p>
      <w:pPr>
        <w:numPr>
          <w:ilvl w:val="0"/>
          <w:numId w:val="7"/>
        </w:numPr>
        <w:spacing w:line="360" w:before="105" w:after="105" w:lineRule="auto"/>
      </w:pPr>
      <w:r>
        <w:rPr>
          <w:rFonts w:eastAsia="georgia" w:cs="georgia" w:ascii="georgia" w:hAnsi="georgia"/>
          <w:color w:val="000000"/>
          <w:sz w:val="21"/>
        </w:rPr>
        <w:t xml:space="preserve">A case study from Saveh hospital in Iran showed that focusing on RO‑reject alone (2,300 L/d) could irrigate ~287.5 m² of hospital green space, whereas fully treated mixed haemodialysis wastewater remained too saline for direct irrigation, reinforcing the focus on RO‑reject as the most practical fraction.</w:t>
      </w:r>
      <w:bookmarkStart w:id="89" w:name="fnref19_5"/>
      <w:bookmarkEnd w:id="89"/>
      <w:hyperlink w:anchor="fn19">
        <w:r>
          <w:rPr>
            <w:rFonts w:eastAsia="helvetica neue" w:cs="helvetica neue" w:ascii="helvetica neue" w:hAnsi="helvetica neue"/>
            <w:color w:val="#000"/>
            <w:sz w:val="21"/>
            <w:u w:val="single"/>
            <w:vertAlign w:val="superscript"/>
          </w:rPr>
          <w:t xml:space="preserve">[19]</w:t>
        </w:r>
      </w:hyperlink>
      <w:bookmarkStart w:id="90" w:name="fnref22_2"/>
      <w:bookmarkEnd w:id="90"/>
      <w:hyperlink w:anchor="fn22">
        <w:r>
          <w:rPr>
            <w:rFonts w:eastAsia="helvetica neue" w:cs="helvetica neue" w:ascii="helvetica neue" w:hAnsi="helvetica neue"/>
            <w:color w:val="#000"/>
            <w:sz w:val="21"/>
            <w:u w:val="single"/>
            <w:vertAlign w:val="superscript"/>
          </w:rPr>
          <w:t xml:space="preserve">[22]</w:t>
        </w:r>
      </w:hyperlink>
    </w:p>
    <w:p>
      <w:pPr>
        <w:spacing w:line="360" w:after="210" w:lineRule="auto"/>
      </w:pPr>
      <w:r>
        <w:rPr>
          <w:rFonts w:eastAsia="georgia" w:cs="georgia" w:ascii="georgia" w:hAnsi="georgia"/>
          <w:b/>
          <w:color w:val="000000"/>
        </w:rPr>
        <w:t xml:space="preserve">Order‑of‑magnitude impact for a French large hospital (reasoned estimate)</w:t>
      </w:r>
      <w:r>
        <w:rPr>
          <w:rFonts w:eastAsia="georgia" w:cs="georgia" w:ascii="georgia" w:hAnsi="georgia"/>
          <w:color w:val="000000"/>
        </w:rPr>
        <w:br w:type="textWrapping"/>
      </w:r>
      <w:r>
        <w:rPr>
          <w:rFonts w:eastAsia="georgia" w:cs="georgia" w:ascii="georgia" w:hAnsi="georgia"/>
          <w:i/>
          <w:color w:val="000000"/>
        </w:rPr>
        <w:t xml:space="preserve">Assumptions clearly stated:</w:t>
      </w:r>
    </w:p>
    <w:p>
      <w:pPr>
        <w:numPr>
          <w:ilvl w:val="0"/>
          <w:numId w:val="8"/>
        </w:numPr>
        <w:spacing w:line="360" w:before="105" w:after="105" w:lineRule="auto"/>
      </w:pPr>
      <w:r>
        <w:rPr>
          <w:rFonts w:eastAsia="georgia" w:cs="georgia" w:ascii="georgia" w:hAnsi="georgia"/>
          <w:color w:val="000000"/>
          <w:sz w:val="21"/>
        </w:rPr>
        <w:t xml:space="preserve">100 chronic in‑center/UDM patients in a large hospital; 3 sessions/week; 156 sessions/patient/year → 15,600 sessions/year.</w:t>
      </w:r>
    </w:p>
    <w:p>
      <w:pPr>
        <w:numPr>
          <w:ilvl w:val="0"/>
          <w:numId w:val="8"/>
        </w:numPr>
        <w:spacing w:line="360" w:before="105" w:after="105" w:lineRule="auto"/>
      </w:pPr>
      <w:r>
        <w:rPr>
          <w:rFonts w:eastAsia="georgia" w:cs="georgia" w:ascii="georgia" w:hAnsi="georgia"/>
          <w:color w:val="000000"/>
          <w:sz w:val="21"/>
        </w:rPr>
        <w:t xml:space="preserve">270 L RO‑reject/session as a conservative mid‑point within the 200–350 L range.</w:t>
      </w:r>
      <w:bookmarkStart w:id="91" w:name="fnref7_4"/>
      <w:bookmarkEnd w:id="91"/>
      <w:hyperlink w:anchor="fn7">
        <w:r>
          <w:rPr>
            <w:rFonts w:eastAsia="helvetica neue" w:cs="helvetica neue" w:ascii="helvetica neue" w:hAnsi="helvetica neue"/>
            <w:color w:val="#000"/>
            <w:sz w:val="21"/>
            <w:u w:val="single"/>
            <w:vertAlign w:val="superscript"/>
          </w:rPr>
          <w:t xml:space="preserve">[7]</w:t>
        </w:r>
      </w:hyperlink>
      <w:bookmarkStart w:id="92" w:name="fnref8_2"/>
      <w:bookmarkEnd w:id="92"/>
      <w:hyperlink w:anchor="fn8">
        <w:r>
          <w:rPr>
            <w:rFonts w:eastAsia="helvetica neue" w:cs="helvetica neue" w:ascii="helvetica neue" w:hAnsi="helvetica neue"/>
            <w:color w:val="#000"/>
            <w:sz w:val="21"/>
            <w:u w:val="single"/>
            <w:vertAlign w:val="superscript"/>
          </w:rPr>
          <w:t xml:space="preserve">[8]</w:t>
        </w:r>
      </w:hyperlink>
      <w:bookmarkStart w:id="93" w:name="fnref9_8"/>
      <w:bookmarkEnd w:id="93"/>
      <w:hyperlink w:anchor="fn9">
        <w:r>
          <w:rPr>
            <w:rFonts w:eastAsia="helvetica neue" w:cs="helvetica neue" w:ascii="helvetica neue" w:hAnsi="helvetica neue"/>
            <w:color w:val="#000"/>
            <w:sz w:val="21"/>
            <w:u w:val="single"/>
            <w:vertAlign w:val="superscript"/>
          </w:rPr>
          <w:t xml:space="preserve">[9]</w:t>
        </w:r>
      </w:hyperlink>
      <w:bookmarkStart w:id="94" w:name="fnref6_6"/>
      <w:bookmarkEnd w:id="94"/>
      <w:hyperlink w:anchor="fn6">
        <w:r>
          <w:rPr>
            <w:rFonts w:eastAsia="helvetica neue" w:cs="helvetica neue" w:ascii="helvetica neue" w:hAnsi="helvetica neue"/>
            <w:color w:val="#000"/>
            <w:sz w:val="21"/>
            <w:u w:val="single"/>
            <w:vertAlign w:val="superscript"/>
          </w:rPr>
          <w:t xml:space="preserve">[6]</w:t>
        </w:r>
      </w:hyperlink>
    </w:p>
    <w:p>
      <w:pPr>
        <w:numPr>
          <w:ilvl w:val="0"/>
          <w:numId w:val="8"/>
        </w:numPr>
        <w:spacing w:line="360" w:before="105" w:after="105" w:lineRule="auto"/>
      </w:pPr>
      <w:r>
        <w:rPr>
          <w:rFonts w:eastAsia="georgia" w:cs="georgia" w:ascii="georgia" w:hAnsi="georgia"/>
          <w:b/>
          <w:color w:val="000000"/>
          <w:sz w:val="21"/>
        </w:rPr>
        <w:t xml:space="preserve">Water savings:</w:t>
      </w:r>
      <w:r>
        <w:rPr>
          <w:rFonts w:eastAsia="georgia" w:cs="georgia" w:ascii="georgia" w:hAnsi="georgia"/>
          <w:color w:val="000000"/>
          <w:sz w:val="21"/>
        </w:rPr>
        <w:t xml:space="preserve"> 15,600 × 0.27 m³ ≈ 4,200 m³/year of potable water avoided if all RO‑reject is reused for toilets/irrigation (assumption based on linear scaling from international case studies).</w:t>
      </w:r>
      <w:bookmarkStart w:id="95" w:name="fnref9_9"/>
      <w:bookmarkEnd w:id="95"/>
      <w:hyperlink w:anchor="fn9">
        <w:r>
          <w:rPr>
            <w:rFonts w:eastAsia="helvetica neue" w:cs="helvetica neue" w:ascii="helvetica neue" w:hAnsi="helvetica neue"/>
            <w:color w:val="#000"/>
            <w:sz w:val="21"/>
            <w:u w:val="single"/>
            <w:vertAlign w:val="superscript"/>
          </w:rPr>
          <w:t xml:space="preserve">[9]</w:t>
        </w:r>
      </w:hyperlink>
      <w:bookmarkStart w:id="96" w:name="fnref14_13"/>
      <w:bookmarkEnd w:id="96"/>
      <w:hyperlink w:anchor="fn14">
        <w:r>
          <w:rPr>
            <w:rFonts w:eastAsia="helvetica neue" w:cs="helvetica neue" w:ascii="helvetica neue" w:hAnsi="helvetica neue"/>
            <w:color w:val="#000"/>
            <w:sz w:val="21"/>
            <w:u w:val="single"/>
            <w:vertAlign w:val="superscript"/>
          </w:rPr>
          <w:t xml:space="preserve">[14]</w:t>
        </w:r>
      </w:hyperlink>
    </w:p>
    <w:p>
      <w:pPr>
        <w:numPr>
          <w:ilvl w:val="0"/>
          <w:numId w:val="8"/>
        </w:numPr>
        <w:spacing w:line="360" w:before="105" w:after="105" w:lineRule="auto"/>
      </w:pPr>
      <w:r>
        <w:rPr>
          <w:rFonts w:eastAsia="georgia" w:cs="georgia" w:ascii="georgia" w:hAnsi="georgia"/>
          <w:b/>
          <w:color w:val="000000"/>
          <w:sz w:val="21"/>
        </w:rPr>
        <w:t xml:space="preserve">CO₂e savings:</w:t>
      </w:r>
      <w:r>
        <w:rPr>
          <w:rFonts w:eastAsia="georgia" w:cs="georgia" w:ascii="georgia" w:hAnsi="georgia"/>
          <w:color w:val="000000"/>
          <w:sz w:val="21"/>
        </w:rPr>
        <w:t xml:space="preserve"> Using 0.23–0.27 kgCO₂e/m³ for water supply in France, this corresponds to roughly 1.0–1.1 tCO₂e avoided per hospital‑year, excluding wastewater treatment emissions (estimate extrapolated from drinking‑water CF data).</w:t>
      </w:r>
      <w:bookmarkStart w:id="97" w:name="fnref15_1"/>
      <w:bookmarkEnd w:id="97"/>
      <w:hyperlink w:anchor="fn15">
        <w:r>
          <w:rPr>
            <w:rFonts w:eastAsia="helvetica neue" w:cs="helvetica neue" w:ascii="helvetica neue" w:hAnsi="helvetica neue"/>
            <w:color w:val="#000"/>
            <w:sz w:val="21"/>
            <w:u w:val="single"/>
            <w:vertAlign w:val="superscript"/>
          </w:rPr>
          <w:t xml:space="preserve">[15]</w:t>
        </w:r>
      </w:hyperlink>
    </w:p>
    <w:p>
      <w:pPr>
        <w:numPr>
          <w:ilvl w:val="0"/>
          <w:numId w:val="8"/>
        </w:numPr>
        <w:spacing w:line="360" w:before="105" w:after="105" w:lineRule="auto"/>
      </w:pPr>
      <w:r>
        <w:rPr>
          <w:rFonts w:eastAsia="georgia" w:cs="georgia" w:ascii="georgia" w:hAnsi="georgia"/>
          <w:b/>
          <w:color w:val="000000"/>
          <w:sz w:val="21"/>
        </w:rPr>
        <w:t xml:space="preserve">Financial savings:</w:t>
      </w:r>
      <w:r>
        <w:rPr>
          <w:rFonts w:eastAsia="georgia" w:cs="georgia" w:ascii="georgia" w:hAnsi="georgia"/>
          <w:color w:val="000000"/>
          <w:sz w:val="21"/>
        </w:rPr>
        <w:t xml:space="preserve"> If combined water and sewer tariffs are on the order of a few €/m³ (typical of European urban tariffs; assumption, no France‑specific figure used), 4,200 m³/year implies low five‑figure euro savings per year; UK sites realized ~£7,500/year savings at similar scales.</w:t>
      </w:r>
      <w:bookmarkStart w:id="98" w:name="fnref9_10"/>
      <w:bookmarkEnd w:id="98"/>
      <w:hyperlink w:anchor="fn9">
        <w:r>
          <w:rPr>
            <w:rFonts w:eastAsia="helvetica neue" w:cs="helvetica neue" w:ascii="helvetica neue" w:hAnsi="helvetica neue"/>
            <w:color w:val="#000"/>
            <w:sz w:val="21"/>
            <w:u w:val="single"/>
            <w:vertAlign w:val="superscript"/>
          </w:rPr>
          <w:t xml:space="preserve">[9]</w:t>
        </w:r>
      </w:hyperlink>
      <w:bookmarkStart w:id="99" w:name="fnref14_14"/>
      <w:bookmarkEnd w:id="99"/>
      <w:hyperlink w:anchor="fn14">
        <w:r>
          <w:rPr>
            <w:rFonts w:eastAsia="helvetica neue" w:cs="helvetica neue" w:ascii="helvetica neue" w:hAnsi="helvetica neue"/>
            <w:color w:val="#000"/>
            <w:sz w:val="21"/>
            <w:u w:val="single"/>
            <w:vertAlign w:val="superscript"/>
          </w:rPr>
          <w:t xml:space="preserve">[14]</w:t>
        </w:r>
      </w:hyperlink>
    </w:p>
    <w:p>
      <w:pPr>
        <w:spacing w:line="360" w:after="210" w:lineRule="auto"/>
      </w:pPr>
      <w:r>
        <w:rPr>
          <w:rFonts w:eastAsia="georgia" w:cs="georgia" w:ascii="georgia" w:hAnsi="georgia"/>
          <w:b/>
          <w:color w:val="000000"/>
        </w:rPr>
        <w:t xml:space="preserve">Scaling to the French system (illustrative, not precise)</w:t>
      </w:r>
    </w:p>
    <w:p>
      <w:pPr>
        <w:numPr>
          <w:ilvl w:val="0"/>
          <w:numId w:val="9"/>
        </w:numPr>
        <w:spacing w:line="360" w:before="105" w:after="105" w:lineRule="auto"/>
      </w:pPr>
      <w:r>
        <w:rPr>
          <w:rFonts w:eastAsia="georgia" w:cs="georgia" w:ascii="georgia" w:hAnsi="georgia"/>
          <w:color w:val="000000"/>
          <w:sz w:val="21"/>
        </w:rPr>
        <w:t xml:space="preserve">If 100–150 large and medium hospitals implemented RO‑reject reuse achieving 3,000–5,000 m³/year each (range of published case studies), total savings would be 300,000–750,000 m³/year, corresponding to roughly 70–200 tCO₂e/year from water supply alone.</w:t>
      </w:r>
      <w:bookmarkStart w:id="100" w:name="fnref15_2"/>
      <w:bookmarkEnd w:id="100"/>
      <w:hyperlink w:anchor="fn15">
        <w:r>
          <w:rPr>
            <w:rFonts w:eastAsia="helvetica neue" w:cs="helvetica neue" w:ascii="helvetica neue" w:hAnsi="helvetica neue"/>
            <w:color w:val="#000"/>
            <w:sz w:val="21"/>
            <w:u w:val="single"/>
            <w:vertAlign w:val="superscript"/>
          </w:rPr>
          <w:t xml:space="preserve">[15]</w:t>
        </w:r>
      </w:hyperlink>
      <w:bookmarkStart w:id="101" w:name="fnref9_11"/>
      <w:bookmarkEnd w:id="101"/>
      <w:hyperlink w:anchor="fn9">
        <w:r>
          <w:rPr>
            <w:rFonts w:eastAsia="helvetica neue" w:cs="helvetica neue" w:ascii="helvetica neue" w:hAnsi="helvetica neue"/>
            <w:color w:val="#000"/>
            <w:sz w:val="21"/>
            <w:u w:val="single"/>
            <w:vertAlign w:val="superscript"/>
          </w:rPr>
          <w:t xml:space="preserve">[9]</w:t>
        </w:r>
      </w:hyperlink>
      <w:bookmarkStart w:id="102" w:name="fnref14_15"/>
      <w:bookmarkEnd w:id="102"/>
      <w:hyperlink w:anchor="fn14">
        <w:r>
          <w:rPr>
            <w:rFonts w:eastAsia="helvetica neue" w:cs="helvetica neue" w:ascii="helvetica neue" w:hAnsi="helvetica neue"/>
            <w:color w:val="#000"/>
            <w:sz w:val="21"/>
            <w:u w:val="single"/>
            <w:vertAlign w:val="superscript"/>
          </w:rPr>
          <w:t xml:space="preserve">[14]</w:t>
        </w:r>
      </w:hyperlink>
    </w:p>
    <w:p>
      <w:pPr>
        <w:numPr>
          <w:ilvl w:val="0"/>
          <w:numId w:val="9"/>
        </w:numPr>
        <w:spacing w:line="360" w:before="105" w:after="105" w:lineRule="auto"/>
      </w:pPr>
      <w:r>
        <w:rPr>
          <w:rFonts w:eastAsia="georgia" w:cs="georgia" w:ascii="georgia" w:hAnsi="georgia"/>
          <w:color w:val="000000"/>
          <w:sz w:val="21"/>
        </w:rPr>
        <w:t xml:space="preserve">These values are modest at national scale but material at hospital level and symbolically important for “green nephrology”; they also come with no clinical trade‑off when kept strictly in non‑clinical circuits.</w:t>
      </w:r>
      <w:bookmarkStart w:id="103" w:name="fnref11_7"/>
      <w:bookmarkEnd w:id="103"/>
      <w:hyperlink w:anchor="fn11">
        <w:r>
          <w:rPr>
            <w:rFonts w:eastAsia="helvetica neue" w:cs="helvetica neue" w:ascii="helvetica neue" w:hAnsi="helvetica neue"/>
            <w:color w:val="#000"/>
            <w:sz w:val="21"/>
            <w:u w:val="single"/>
            <w:vertAlign w:val="superscript"/>
          </w:rPr>
          <w:t xml:space="preserve">[11]</w:t>
        </w:r>
      </w:hyperlink>
      <w:bookmarkStart w:id="104" w:name="fnref20_6"/>
      <w:bookmarkEnd w:id="104"/>
      <w:hyperlink w:anchor="fn20">
        <w:r>
          <w:rPr>
            <w:rFonts w:eastAsia="helvetica neue" w:cs="helvetica neue" w:ascii="helvetica neue" w:hAnsi="helvetica neue"/>
            <w:color w:val="#000"/>
            <w:sz w:val="21"/>
            <w:u w:val="single"/>
            <w:vertAlign w:val="superscript"/>
          </w:rPr>
          <w:t xml:space="preserve">[20]</w:t>
        </w:r>
      </w:hyperlink>
      <w:bookmarkStart w:id="105" w:name="fnref14_16"/>
      <w:bookmarkEnd w:id="105"/>
      <w:hyperlink w:anchor="fn14">
        <w:r>
          <w:rPr>
            <w:rFonts w:eastAsia="helvetica neue" w:cs="helvetica neue" w:ascii="helvetica neue" w:hAnsi="helvetica neue"/>
            <w:color w:val="#000"/>
            <w:sz w:val="21"/>
            <w:u w:val="single"/>
            <w:vertAlign w:val="superscript"/>
          </w:rPr>
          <w:t xml:space="preserve">[14]</w:t>
        </w:r>
      </w:hyperlink>
    </w:p>
    <w:p>
      <w:pPr>
        <w:spacing w:line="360" w:after="210" w:lineRule="auto"/>
      </w:pPr>
      <w:r>
        <w:rPr>
          <w:rFonts w:eastAsia="georgia" w:cs="georgia" w:ascii="georgia" w:hAnsi="georgia"/>
          <w:b/>
          <w:color w:val="000000"/>
        </w:rPr>
        <w:t xml:space="preserve">Confidence levels (for your pitch)</w:t>
      </w:r>
    </w:p>
    <w:p>
      <w:pPr>
        <w:numPr>
          <w:ilvl w:val="0"/>
          <w:numId w:val="10"/>
        </w:numPr>
        <w:spacing w:line="360" w:before="105" w:after="105" w:lineRule="auto"/>
      </w:pPr>
      <w:r>
        <w:rPr>
          <w:rFonts w:eastAsia="georgia" w:cs="georgia" w:ascii="georgia" w:hAnsi="georgia"/>
          <w:b/>
          <w:color w:val="000000"/>
          <w:sz w:val="21"/>
        </w:rPr>
        <w:t xml:space="preserve">High confidence:</w:t>
      </w:r>
      <w:r>
        <w:rPr>
          <w:rFonts w:eastAsia="georgia" w:cs="georgia" w:ascii="georgia" w:hAnsi="georgia"/>
          <w:color w:val="000000"/>
          <w:sz w:val="21"/>
        </w:rPr>
        <w:t xml:space="preserve"> Dialysis water use per session; fraction of RO‑reject; total dialysis population and modality split; technical feasibility and payback (1–3.5 years) of RO‑reject reuse for toilets/irrigation in large centers; relative environmental benefit of focusing on in‑center/UDM units.</w:t>
      </w:r>
      <w:bookmarkStart w:id="106" w:name="fnref5_2"/>
      <w:bookmarkEnd w:id="106"/>
      <w:hyperlink w:anchor="fn5">
        <w:r>
          <w:rPr>
            <w:rFonts w:eastAsia="helvetica neue" w:cs="helvetica neue" w:ascii="helvetica neue" w:hAnsi="helvetica neue"/>
            <w:color w:val="#000"/>
            <w:sz w:val="21"/>
            <w:u w:val="single"/>
            <w:vertAlign w:val="superscript"/>
          </w:rPr>
          <w:t xml:space="preserve">[5]</w:t>
        </w:r>
      </w:hyperlink>
      <w:bookmarkStart w:id="107" w:name="fnref2_7"/>
      <w:bookmarkEnd w:id="107"/>
      <w:hyperlink w:anchor="fn2">
        <w:r>
          <w:rPr>
            <w:rFonts w:eastAsia="helvetica neue" w:cs="helvetica neue" w:ascii="helvetica neue" w:hAnsi="helvetica neue"/>
            <w:color w:val="#000"/>
            <w:sz w:val="21"/>
            <w:u w:val="single"/>
            <w:vertAlign w:val="superscript"/>
          </w:rPr>
          <w:t xml:space="preserve">[2]</w:t>
        </w:r>
      </w:hyperlink>
      <w:bookmarkStart w:id="108" w:name="fnref18_5"/>
      <w:bookmarkEnd w:id="108"/>
      <w:hyperlink w:anchor="fn18">
        <w:r>
          <w:rPr>
            <w:rFonts w:eastAsia="helvetica neue" w:cs="helvetica neue" w:ascii="helvetica neue" w:hAnsi="helvetica neue"/>
            <w:color w:val="#000"/>
            <w:sz w:val="21"/>
            <w:u w:val="single"/>
            <w:vertAlign w:val="superscript"/>
          </w:rPr>
          <w:t xml:space="preserve">[18]</w:t>
        </w:r>
      </w:hyperlink>
      <w:bookmarkStart w:id="109" w:name="fnref6_7"/>
      <w:bookmarkEnd w:id="109"/>
      <w:hyperlink w:anchor="fn6">
        <w:r>
          <w:rPr>
            <w:rFonts w:eastAsia="helvetica neue" w:cs="helvetica neue" w:ascii="helvetica neue" w:hAnsi="helvetica neue"/>
            <w:color w:val="#000"/>
            <w:sz w:val="21"/>
            <w:u w:val="single"/>
            <w:vertAlign w:val="superscript"/>
          </w:rPr>
          <w:t xml:space="preserve">[6]</w:t>
        </w:r>
      </w:hyperlink>
      <w:bookmarkStart w:id="110" w:name="fnref11_8"/>
      <w:bookmarkEnd w:id="110"/>
      <w:hyperlink w:anchor="fn11">
        <w:r>
          <w:rPr>
            <w:rFonts w:eastAsia="helvetica neue" w:cs="helvetica neue" w:ascii="helvetica neue" w:hAnsi="helvetica neue"/>
            <w:color w:val="#000"/>
            <w:sz w:val="21"/>
            <w:u w:val="single"/>
            <w:vertAlign w:val="superscript"/>
          </w:rPr>
          <w:t xml:space="preserve">[11]</w:t>
        </w:r>
      </w:hyperlink>
      <w:bookmarkStart w:id="111" w:name="fnref9_12"/>
      <w:bookmarkEnd w:id="111"/>
      <w:hyperlink w:anchor="fn9">
        <w:r>
          <w:rPr>
            <w:rFonts w:eastAsia="helvetica neue" w:cs="helvetica neue" w:ascii="helvetica neue" w:hAnsi="helvetica neue"/>
            <w:color w:val="#000"/>
            <w:sz w:val="21"/>
            <w:u w:val="single"/>
            <w:vertAlign w:val="superscript"/>
          </w:rPr>
          <w:t xml:space="preserve">[9]</w:t>
        </w:r>
      </w:hyperlink>
      <w:bookmarkStart w:id="112" w:name="fnref14_17"/>
      <w:bookmarkEnd w:id="112"/>
      <w:hyperlink w:anchor="fn14">
        <w:r>
          <w:rPr>
            <w:rFonts w:eastAsia="helvetica neue" w:cs="helvetica neue" w:ascii="helvetica neue" w:hAnsi="helvetica neue"/>
            <w:color w:val="#000"/>
            <w:sz w:val="21"/>
            <w:u w:val="single"/>
            <w:vertAlign w:val="superscript"/>
          </w:rPr>
          <w:t xml:space="preserve">[14]</w:t>
        </w:r>
      </w:hyperlink>
    </w:p>
    <w:p>
      <w:pPr>
        <w:numPr>
          <w:ilvl w:val="0"/>
          <w:numId w:val="10"/>
        </w:numPr>
        <w:spacing w:line="360" w:before="105" w:after="105" w:lineRule="auto"/>
      </w:pPr>
      <w:r>
        <w:rPr>
          <w:rFonts w:eastAsia="georgia" w:cs="georgia" w:ascii="georgia" w:hAnsi="georgia"/>
          <w:b/>
          <w:color w:val="000000"/>
          <w:sz w:val="21"/>
        </w:rPr>
        <w:t xml:space="preserve">Moderate confidence:</w:t>
      </w:r>
      <w:r>
        <w:rPr>
          <w:rFonts w:eastAsia="georgia" w:cs="georgia" w:ascii="georgia" w:hAnsi="georgia"/>
          <w:color w:val="000000"/>
          <w:sz w:val="21"/>
        </w:rPr>
        <w:t xml:space="preserve"> Extrapolated per‑hospital French water/CO₂ savings (depends on exact patient load, water tariffs, and RO settings); assumption that 100–150 hospitals represent most of the economic potential.</w:t>
      </w:r>
    </w:p>
    <w:p>
      <w:pPr>
        <w:numPr>
          <w:ilvl w:val="0"/>
          <w:numId w:val="10"/>
        </w:numPr>
        <w:spacing w:line="360" w:before="105" w:after="105" w:lineRule="auto"/>
      </w:pPr>
      <w:r>
        <w:rPr>
          <w:rFonts w:eastAsia="georgia" w:cs="georgia" w:ascii="georgia" w:hAnsi="georgia"/>
          <w:b/>
          <w:color w:val="000000"/>
          <w:sz w:val="21"/>
        </w:rPr>
        <w:t xml:space="preserve">Low confidence / exploratory:</w:t>
      </w:r>
      <w:r>
        <w:rPr>
          <w:rFonts w:eastAsia="georgia" w:cs="georgia" w:ascii="georgia" w:hAnsi="georgia"/>
          <w:color w:val="000000"/>
          <w:sz w:val="21"/>
        </w:rPr>
        <w:t xml:space="preserve"> Large‑scale reuse of spent dialysate and thermal energy in French hospitals; reuse of fully treated haemodialysis wastewater for sensitive uses beyond irrigation/technical processes.</w:t>
      </w:r>
      <w:bookmarkStart w:id="113" w:name="fnref22_3"/>
      <w:bookmarkEnd w:id="113"/>
      <w:hyperlink w:anchor="fn22">
        <w:r>
          <w:rPr>
            <w:rFonts w:eastAsia="helvetica neue" w:cs="helvetica neue" w:ascii="helvetica neue" w:hAnsi="helvetica neue"/>
            <w:color w:val="#000"/>
            <w:sz w:val="21"/>
            <w:u w:val="single"/>
            <w:vertAlign w:val="superscript"/>
          </w:rPr>
          <w:t xml:space="preserve">[22]</w:t>
        </w:r>
      </w:hyperlink>
      <w:bookmarkStart w:id="114" w:name="fnref20_7"/>
      <w:bookmarkEnd w:id="114"/>
      <w:hyperlink w:anchor="fn20">
        <w:r>
          <w:rPr>
            <w:rFonts w:eastAsia="helvetica neue" w:cs="helvetica neue" w:ascii="helvetica neue" w:hAnsi="helvetica neue"/>
            <w:color w:val="#000"/>
            <w:sz w:val="21"/>
            <w:u w:val="single"/>
            <w:vertAlign w:val="superscript"/>
          </w:rPr>
          <w:t xml:space="preserve">[20]</w:t>
        </w:r>
      </w:hyperlink>
      <w:bookmarkStart w:id="115" w:name="fnref19_6"/>
      <w:bookmarkEnd w:id="115"/>
      <w:hyperlink w:anchor="fn19">
        <w:r>
          <w:rPr>
            <w:rFonts w:eastAsia="helvetica neue" w:cs="helvetica neue" w:ascii="helvetica neue" w:hAnsi="helvetica neue"/>
            <w:color w:val="#000"/>
            <w:sz w:val="21"/>
            <w:u w:val="single"/>
            <w:vertAlign w:val="superscript"/>
          </w:rPr>
          <w:t xml:space="preserve">[19]</w:t>
        </w:r>
      </w:hyperlink>
      <w:bookmarkStart w:id="116" w:name="fnref14_18"/>
      <w:bookmarkEnd w:id="116"/>
      <w:hyperlink w:anchor="fn14">
        <w:r>
          <w:rPr>
            <w:rFonts w:eastAsia="helvetica neue" w:cs="helvetica neue" w:ascii="helvetica neue" w:hAnsi="helvetica neue"/>
            <w:color w:val="#000"/>
            <w:sz w:val="21"/>
            <w:u w:val="single"/>
            <w:vertAlign w:val="superscript"/>
          </w:rPr>
          <w:t xml:space="preserve">[14]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7" w:name="slide_5_roadmap_from_pilot_to_scale"/>
      <w:r>
        <w:rPr>
          <w:rFonts w:eastAsia="georgia" w:cs="georgia" w:ascii="georgia" w:hAnsi="georgia"/>
          <w:b/>
          <w:color w:val="000000"/>
          <w:sz w:val="24"/>
        </w:rPr>
        <w:t xml:space="preserve">Slide 5: Roadmap – From Pilot to Scale</w:t>
      </w:r>
      <w:bookmarkEnd w:id="117"/>
    </w:p>
    <w:p>
      <w:pPr>
        <w:spacing w:line="360" w:after="210" w:lineRule="auto"/>
      </w:pPr>
      <w:r>
        <w:rPr>
          <w:rFonts w:eastAsia="georgia" w:cs="georgia" w:ascii="georgia" w:hAnsi="georgia"/>
          <w:b/>
          <w:color w:val="000000"/>
        </w:rPr>
        <w:t xml:space="preserve">Table – staged roadmap</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Horizon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Most realistic actions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Expected impact (per pilot hospital)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Main blockers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must be proven next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 months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Select 1–3 large hospitals (CHU/large private centers) with big HD units; perform water audit and mapping of existing RO plants and toilet/irrigation circuits; co‑design RO‑reject capture system with technical services; secure infection‑control and regulatory green light.</w:t>
            </w:r>
            <w:hyperlink w:anchor="fn11">
              <w:r>
                <w:rPr>
                  <w:rFonts w:eastAsia="helvetica neue" w:cs="helvetica neue" w:ascii="helvetica neue" w:hAnsi="helvetica neue"/>
                  <w:color w:val="#000"/>
                  <w:sz w:val="17"/>
                  <w:u w:val="single"/>
                  <w:vertAlign w:val="superscript"/>
                </w:rPr>
                <w:t xml:space="preserve">[11]</w:t>
              </w:r>
            </w:hyperlink>
            <w:hyperlink w:anchor="fn9">
              <w:r>
                <w:rPr>
                  <w:rFonts w:eastAsia="helvetica neue" w:cs="helvetica neue" w:ascii="helvetica neue" w:hAnsi="helvetica neue"/>
                  <w:color w:val="#000"/>
                  <w:sz w:val="17"/>
                  <w:u w:val="single"/>
                  <w:vertAlign w:val="superscript"/>
                </w:rPr>
                <w:t xml:space="preserve">[9]</w:t>
              </w:r>
            </w:hyperlink>
            <w:hyperlink w:anchor="fn14">
              <w:r>
                <w:rPr>
                  <w:rFonts w:eastAsia="helvetica neue" w:cs="helvetica neue" w:ascii="helvetica neue" w:hAnsi="helvetica neue"/>
                  <w:color w:val="#000"/>
                  <w:sz w:val="17"/>
                  <w:u w:val="single"/>
                  <w:vertAlign w:val="superscript"/>
                </w:rPr>
                <w:t xml:space="preserve">[14]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Detailed baseline of water use per session and per hospital; engineered design for ~3,000–5,000 m³/year potential reuse; clear capex/opex budget and projected 2–6 year payback based on local tariffs (estimate).</w:t>
            </w:r>
            <w:hyperlink w:anchor="fn9">
              <w:r>
                <w:rPr>
                  <w:rFonts w:eastAsia="helvetica neue" w:cs="helvetica neue" w:ascii="helvetica neue" w:hAnsi="helvetica neue"/>
                  <w:color w:val="#000"/>
                  <w:sz w:val="17"/>
                  <w:u w:val="single"/>
                  <w:vertAlign w:val="superscript"/>
                </w:rPr>
                <w:t xml:space="preserve">[9]</w:t>
              </w:r>
            </w:hyperlink>
            <w:hyperlink w:anchor="fn14">
              <w:r>
                <w:rPr>
                  <w:rFonts w:eastAsia="helvetica neue" w:cs="helvetica neue" w:ascii="helvetica neue" w:hAnsi="helvetica neue"/>
                  <w:color w:val="#000"/>
                  <w:sz w:val="17"/>
                  <w:u w:val="single"/>
                  <w:vertAlign w:val="superscript"/>
                </w:rPr>
                <w:t xml:space="preserve">[14]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Capital budgeting cycles; competing priorities for estates teams; limited local experience with grey‑water systems; need for clear infection‑control guidance.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Practical design patterns for French hospitals; validated risk‑assessment and maintenance protocols; internal buy‑in from nephrology, estates, and infection‑control.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 years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Implement RO‑reject reuse in 10–20 large/medium hospitals; link projects to regional GHT or private group decarbonization plans; integrate procurement templates and standard technical specs; begin exploring added uses (cleaning, laundries) where safe and economical.</w:t>
            </w:r>
            <w:hyperlink w:anchor="fn11">
              <w:r>
                <w:rPr>
                  <w:rFonts w:eastAsia="helvetica neue" w:cs="helvetica neue" w:ascii="helvetica neue" w:hAnsi="helvetica neue"/>
                  <w:color w:val="#000"/>
                  <w:sz w:val="17"/>
                  <w:u w:val="single"/>
                  <w:vertAlign w:val="superscript"/>
                </w:rPr>
                <w:t xml:space="preserve">[11]</w:t>
              </w:r>
            </w:hyperlink>
            <w:hyperlink w:anchor="fn20">
              <w:r>
                <w:rPr>
                  <w:rFonts w:eastAsia="helvetica neue" w:cs="helvetica neue" w:ascii="helvetica neue" w:hAnsi="helvetica neue"/>
                  <w:color w:val="#000"/>
                  <w:sz w:val="17"/>
                  <w:u w:val="single"/>
                  <w:vertAlign w:val="superscript"/>
                </w:rPr>
                <w:t xml:space="preserve">[20]</w:t>
              </w:r>
            </w:hyperlink>
            <w:hyperlink w:anchor="fn14">
              <w:r>
                <w:rPr>
                  <w:rFonts w:eastAsia="helvetica neue" w:cs="helvetica neue" w:ascii="helvetica neue" w:hAnsi="helvetica neue"/>
                  <w:color w:val="#000"/>
                  <w:sz w:val="17"/>
                  <w:u w:val="single"/>
                  <w:vertAlign w:val="superscript"/>
                </w:rPr>
                <w:t xml:space="preserve">[14]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Systematic savings of perhaps 40,000–100,000 m³/year across early adopters; avoided emissions on the order of tens of tCO₂e/year; learning curve on capex, reliability, and maintenance; visible “green nephrology” results for public reporting (estimates).</w:t>
            </w:r>
            <w:hyperlink w:anchor="fn15">
              <w:r>
                <w:rPr>
                  <w:rFonts w:eastAsia="helvetica neue" w:cs="helvetica neue" w:ascii="helvetica neue" w:hAnsi="helvetica neue"/>
                  <w:color w:val="#000"/>
                  <w:sz w:val="17"/>
                  <w:u w:val="single"/>
                  <w:vertAlign w:val="superscript"/>
                </w:rPr>
                <w:t xml:space="preserve">[15]</w:t>
              </w:r>
            </w:hyperlink>
            <w:hyperlink w:anchor="fn9">
              <w:r>
                <w:rPr>
                  <w:rFonts w:eastAsia="helvetica neue" w:cs="helvetica neue" w:ascii="helvetica neue" w:hAnsi="helvetica neue"/>
                  <w:color w:val="#000"/>
                  <w:sz w:val="17"/>
                  <w:u w:val="single"/>
                  <w:vertAlign w:val="superscript"/>
                </w:rPr>
                <w:t xml:space="preserve">[9]</w:t>
              </w:r>
            </w:hyperlink>
            <w:hyperlink w:anchor="fn14">
              <w:r>
                <w:rPr>
                  <w:rFonts w:eastAsia="helvetica neue" w:cs="helvetica neue" w:ascii="helvetica neue" w:hAnsi="helvetica neue"/>
                  <w:color w:val="#000"/>
                  <w:sz w:val="17"/>
                  <w:u w:val="single"/>
                  <w:vertAlign w:val="superscript"/>
                </w:rPr>
                <w:t xml:space="preserve">[14]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Heterogeneity of existing buildings; fragmentation of decision‑makers; limited national incentives focused specifically on dialysis water; need for robust monitoring data to convince clinicians and regulators.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Comparative performance data across sites; validated business case under French tariffs; evidence that patient care and infection‑control are unaffected or improved.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5–7 years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Integrate RO‑reject reuse into standard design/renovation of dialysis units and hospital water systems; extend to more advanced options (e.g. partial reuse of dialysate effluent, heat recovery) in a few research‑oriented centers; embed water‑reuse KPIs in national quality/sustainability frameworks.</w:t>
            </w:r>
            <w:hyperlink w:anchor="fn20">
              <w:r>
                <w:rPr>
                  <w:rFonts w:eastAsia="helvetica neue" w:cs="helvetica neue" w:ascii="helvetica neue" w:hAnsi="helvetica neue"/>
                  <w:color w:val="#000"/>
                  <w:sz w:val="17"/>
                  <w:u w:val="single"/>
                  <w:vertAlign w:val="superscript"/>
                </w:rPr>
                <w:t xml:space="preserve">[20]</w:t>
              </w:r>
            </w:hyperlink>
            <w:hyperlink w:anchor="fn14">
              <w:r>
                <w:rPr>
                  <w:rFonts w:eastAsia="helvetica neue" w:cs="helvetica neue" w:ascii="helvetica neue" w:hAnsi="helvetica neue"/>
                  <w:color w:val="#000"/>
                  <w:sz w:val="17"/>
                  <w:u w:val="single"/>
                  <w:vertAlign w:val="superscript"/>
                </w:rPr>
                <w:t xml:space="preserve">[14]</w:t>
              </w:r>
            </w:hyperlink>
            <w:hyperlink w:anchor="fn21">
              <w:r>
                <w:rPr>
                  <w:rFonts w:eastAsia="helvetica neue" w:cs="helvetica neue" w:ascii="helvetica neue" w:hAnsi="helvetica neue"/>
                  <w:color w:val="#000"/>
                  <w:sz w:val="17"/>
                  <w:u w:val="single"/>
                  <w:vertAlign w:val="superscript"/>
                </w:rPr>
                <w:t xml:space="preserve">[21]</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Structural reduction of dialysis‑related water use in much of the in‑center/UDM sector; cumulative savings of hundreds of thousands of m³ and hundreds of tCO₂e; replication of best practice beyond nephrology (e.g. sterilization, imaging cooling).</w:t>
            </w:r>
            <w:hyperlink w:anchor="fn11">
              <w:r>
                <w:rPr>
                  <w:rFonts w:eastAsia="helvetica neue" w:cs="helvetica neue" w:ascii="helvetica neue" w:hAnsi="helvetica neue"/>
                  <w:color w:val="#000"/>
                  <w:sz w:val="17"/>
                  <w:u w:val="single"/>
                  <w:vertAlign w:val="superscript"/>
                </w:rPr>
                <w:t xml:space="preserve">[11]</w:t>
              </w:r>
            </w:hyperlink>
            <w:hyperlink w:anchor="fn20">
              <w:r>
                <w:rPr>
                  <w:rFonts w:eastAsia="helvetica neue" w:cs="helvetica neue" w:ascii="helvetica neue" w:hAnsi="helvetica neue"/>
                  <w:color w:val="#000"/>
                  <w:sz w:val="17"/>
                  <w:u w:val="single"/>
                  <w:vertAlign w:val="superscript"/>
                </w:rPr>
                <w:t xml:space="preserve">[20]</w:t>
              </w:r>
            </w:hyperlink>
            <w:hyperlink w:anchor="fn14">
              <w:r>
                <w:rPr>
                  <w:rFonts w:eastAsia="helvetica neue" w:cs="helvetica neue" w:ascii="helvetica neue" w:hAnsi="helvetica neue"/>
                  <w:color w:val="#000"/>
                  <w:sz w:val="17"/>
                  <w:u w:val="single"/>
                  <w:vertAlign w:val="superscript"/>
                </w:rPr>
                <w:t xml:space="preserve">[14]</w:t>
              </w:r>
            </w:hyperlink>
            <w:hyperlink w:anchor="fn15">
              <w:r>
                <w:rPr>
                  <w:rFonts w:eastAsia="helvetica neue" w:cs="helvetica neue" w:ascii="helvetica neue" w:hAnsi="helvetica neue"/>
                  <w:color w:val="#000"/>
                  <w:sz w:val="17"/>
                  <w:u w:val="single"/>
                  <w:vertAlign w:val="superscript"/>
                </w:rPr>
                <w:t xml:space="preserve">[15]</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Regulatory and standards adaptation for more complex reuse (dialysate), technology cost, and technical complexity; ensuring smaller sites are not left behind in terms of support and templates.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Safe and economically viable models for dialysate/thermal energy reuse; national/European guidance recognizing dialysis water reuse as good practice; tools to support smaller hospitals (shared engineering/procurement).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8" w:name="slide_6_business_model_and_equity"/>
      <w:r>
        <w:rPr>
          <w:rFonts w:eastAsia="georgia" w:cs="georgia" w:ascii="georgia" w:hAnsi="georgia"/>
          <w:b/>
          <w:color w:val="000000"/>
          <w:sz w:val="24"/>
        </w:rPr>
        <w:t xml:space="preserve">Slide 6: Business Model and Equity</w:t>
      </w:r>
      <w:bookmarkEnd w:id="118"/>
    </w:p>
    <w:p>
      <w:pPr>
        <w:spacing w:line="360" w:after="210" w:lineRule="auto"/>
      </w:pPr>
      <w:r>
        <w:rPr>
          <w:rFonts w:eastAsia="georgia" w:cs="georgia" w:ascii="georgia" w:hAnsi="georgia"/>
          <w:b/>
          <w:color w:val="000000"/>
        </w:rPr>
        <w:t xml:space="preserve">Who pays, who benefits, who operates?</w:t>
      </w:r>
    </w:p>
    <w:p>
      <w:pPr>
        <w:numPr>
          <w:ilvl w:val="0"/>
          <w:numId w:val="11"/>
        </w:numPr>
        <w:spacing w:line="360" w:before="105" w:after="105" w:lineRule="auto"/>
      </w:pPr>
      <w:r>
        <w:rPr>
          <w:rFonts w:eastAsia="georgia" w:cs="georgia" w:ascii="georgia" w:hAnsi="georgia"/>
          <w:b/>
          <w:color w:val="000000"/>
          <w:sz w:val="21"/>
        </w:rPr>
        <w:t xml:space="preserve">Buyer / decision‑maker:</w:t>
      </w:r>
      <w:r>
        <w:rPr>
          <w:rFonts w:eastAsia="georgia" w:cs="georgia" w:ascii="georgia" w:hAnsi="georgia"/>
          <w:color w:val="000000"/>
          <w:sz w:val="21"/>
        </w:rPr>
        <w:t xml:space="preserve"> Hospital management (public CHU/CH and private dialysis groups), typically via estates/engineering, within regional hospital groups (GHT) or private chains; they control capex budgets and sustainability objectives.</w:t>
      </w:r>
      <w:bookmarkStart w:id="119" w:name="fnref24"/>
      <w:bookmarkEnd w:id="119"/>
      <w:hyperlink w:anchor="fn24">
        <w:r>
          <w:rPr>
            <w:rFonts w:eastAsia="helvetica neue" w:cs="helvetica neue" w:ascii="helvetica neue" w:hAnsi="helvetica neue"/>
            <w:color w:val="#000"/>
            <w:sz w:val="21"/>
            <w:u w:val="single"/>
            <w:vertAlign w:val="superscript"/>
          </w:rPr>
          <w:t xml:space="preserve">[24]</w:t>
        </w:r>
      </w:hyperlink>
      <w:bookmarkStart w:id="120" w:name="fnref16_1"/>
      <w:bookmarkEnd w:id="120"/>
      <w:hyperlink w:anchor="fn16">
        <w:r>
          <w:rPr>
            <w:rFonts w:eastAsia="helvetica neue" w:cs="helvetica neue" w:ascii="helvetica neue" w:hAnsi="helvetica neue"/>
            <w:color w:val="#000"/>
            <w:sz w:val="21"/>
            <w:u w:val="single"/>
            <w:vertAlign w:val="superscript"/>
          </w:rPr>
          <w:t xml:space="preserve">[16]</w:t>
        </w:r>
      </w:hyperlink>
      <w:bookmarkStart w:id="121" w:name="fnref11_12"/>
      <w:bookmarkEnd w:id="121"/>
      <w:hyperlink w:anchor="fn11">
        <w:r>
          <w:rPr>
            <w:rFonts w:eastAsia="helvetica neue" w:cs="helvetica neue" w:ascii="helvetica neue" w:hAnsi="helvetica neue"/>
            <w:color w:val="#000"/>
            <w:sz w:val="21"/>
            <w:u w:val="single"/>
            <w:vertAlign w:val="superscript"/>
          </w:rPr>
          <w:t xml:space="preserve">[11]</w:t>
        </w:r>
      </w:hyperlink>
    </w:p>
    <w:p>
      <w:pPr>
        <w:numPr>
          <w:ilvl w:val="0"/>
          <w:numId w:val="11"/>
        </w:numPr>
        <w:spacing w:line="360" w:before="105" w:after="105" w:lineRule="auto"/>
      </w:pPr>
      <w:r>
        <w:rPr>
          <w:rFonts w:eastAsia="georgia" w:cs="georgia" w:ascii="georgia" w:hAnsi="georgia"/>
          <w:b/>
          <w:color w:val="000000"/>
          <w:sz w:val="21"/>
        </w:rPr>
        <w:t xml:space="preserve">User / operator:</w:t>
      </w:r>
      <w:r>
        <w:rPr>
          <w:rFonts w:eastAsia="georgia" w:cs="georgia" w:ascii="georgia" w:hAnsi="georgia"/>
          <w:color w:val="000000"/>
          <w:sz w:val="21"/>
        </w:rPr>
        <w:t xml:space="preserve"> Dialysis unit staff (as primary water producers) and hospital technical services who maintain RO plants, storage tanks, pumps and grey‑water networks.</w:t>
      </w:r>
      <w:bookmarkStart w:id="122" w:name="fnref11_13"/>
      <w:bookmarkEnd w:id="122"/>
      <w:hyperlink w:anchor="fn11">
        <w:r>
          <w:rPr>
            <w:rFonts w:eastAsia="helvetica neue" w:cs="helvetica neue" w:ascii="helvetica neue" w:hAnsi="helvetica neue"/>
            <w:color w:val="#000"/>
            <w:sz w:val="21"/>
            <w:u w:val="single"/>
            <w:vertAlign w:val="superscript"/>
          </w:rPr>
          <w:t xml:space="preserve">[11]</w:t>
        </w:r>
      </w:hyperlink>
      <w:bookmarkStart w:id="123" w:name="fnref9_16"/>
      <w:bookmarkEnd w:id="123"/>
      <w:hyperlink w:anchor="fn9">
        <w:r>
          <w:rPr>
            <w:rFonts w:eastAsia="helvetica neue" w:cs="helvetica neue" w:ascii="helvetica neue" w:hAnsi="helvetica neue"/>
            <w:color w:val="#000"/>
            <w:sz w:val="21"/>
            <w:u w:val="single"/>
            <w:vertAlign w:val="superscript"/>
          </w:rPr>
          <w:t xml:space="preserve">[9]</w:t>
        </w:r>
      </w:hyperlink>
      <w:bookmarkStart w:id="124" w:name="fnref14_25"/>
      <w:bookmarkEnd w:id="124"/>
      <w:hyperlink w:anchor="fn14">
        <w:r>
          <w:rPr>
            <w:rFonts w:eastAsia="helvetica neue" w:cs="helvetica neue" w:ascii="helvetica neue" w:hAnsi="helvetica neue"/>
            <w:color w:val="#000"/>
            <w:sz w:val="21"/>
            <w:u w:val="single"/>
            <w:vertAlign w:val="superscript"/>
          </w:rPr>
          <w:t xml:space="preserve">[14]</w:t>
        </w:r>
      </w:hyperlink>
    </w:p>
    <w:p>
      <w:pPr>
        <w:numPr>
          <w:ilvl w:val="0"/>
          <w:numId w:val="11"/>
        </w:numPr>
        <w:spacing w:line="360" w:before="105" w:after="105" w:lineRule="auto"/>
      </w:pPr>
      <w:r>
        <w:rPr>
          <w:rFonts w:eastAsia="georgia" w:cs="georgia" w:ascii="georgia" w:hAnsi="georgia"/>
          <w:b/>
          <w:color w:val="000000"/>
          <w:sz w:val="21"/>
        </w:rPr>
        <w:t xml:space="preserve">Beneficiary:</w:t>
      </w:r>
    </w:p>
    <w:p>
      <w:pPr>
        <w:numPr>
          <w:ilvl w:val="1"/>
          <w:numId w:val="11"/>
        </w:numPr>
        <w:spacing w:line="360" w:before="105" w:after="105" w:lineRule="auto"/>
      </w:pPr>
      <w:r>
        <w:rPr>
          <w:rFonts w:eastAsia="georgia" w:cs="georgia" w:ascii="georgia" w:hAnsi="georgia"/>
          <w:color w:val="000000"/>
          <w:sz w:val="21"/>
        </w:rPr>
        <w:t xml:space="preserve">Direct: Hospital (reduced water and sewer bills, better environmental reporting), dialysis services (green nephrology reputation), and hospital groups aiming at decarbonization targets.</w:t>
      </w:r>
      <w:bookmarkStart w:id="125" w:name="fnref20_11"/>
      <w:bookmarkEnd w:id="125"/>
      <w:hyperlink w:anchor="fn20">
        <w:r>
          <w:rPr>
            <w:rFonts w:eastAsia="helvetica neue" w:cs="helvetica neue" w:ascii="helvetica neue" w:hAnsi="helvetica neue"/>
            <w:color w:val="#000"/>
            <w:sz w:val="21"/>
            <w:u w:val="single"/>
            <w:vertAlign w:val="superscript"/>
          </w:rPr>
          <w:t xml:space="preserve">[20]</w:t>
        </w:r>
      </w:hyperlink>
      <w:bookmarkStart w:id="126" w:name="fnref14_26"/>
      <w:bookmarkEnd w:id="126"/>
      <w:hyperlink w:anchor="fn14">
        <w:r>
          <w:rPr>
            <w:rFonts w:eastAsia="helvetica neue" w:cs="helvetica neue" w:ascii="helvetica neue" w:hAnsi="helvetica neue"/>
            <w:color w:val="#000"/>
            <w:sz w:val="21"/>
            <w:u w:val="single"/>
            <w:vertAlign w:val="superscript"/>
          </w:rPr>
          <w:t xml:space="preserve">[14]</w:t>
        </w:r>
      </w:hyperlink>
      <w:bookmarkStart w:id="127" w:name="fnref11_14"/>
      <w:bookmarkEnd w:id="127"/>
      <w:hyperlink w:anchor="fn11">
        <w:r>
          <w:rPr>
            <w:rFonts w:eastAsia="helvetica neue" w:cs="helvetica neue" w:ascii="helvetica neue" w:hAnsi="helvetica neue"/>
            <w:color w:val="#000"/>
            <w:sz w:val="21"/>
            <w:u w:val="single"/>
            <w:vertAlign w:val="superscript"/>
          </w:rPr>
          <w:t xml:space="preserve">[11]</w:t>
        </w:r>
      </w:hyperlink>
    </w:p>
    <w:p>
      <w:pPr>
        <w:numPr>
          <w:ilvl w:val="1"/>
          <w:numId w:val="11"/>
        </w:numPr>
        <w:spacing w:line="360" w:before="105" w:after="105" w:lineRule="auto"/>
      </w:pPr>
      <w:r>
        <w:rPr>
          <w:rFonts w:eastAsia="georgia" w:cs="georgia" w:ascii="georgia" w:hAnsi="georgia"/>
          <w:color w:val="000000"/>
          <w:sz w:val="21"/>
        </w:rPr>
        <w:t xml:space="preserve">Indirect: Local water utilities and communities (reduced demand on potable water and wastewater treatment), and patients who may value sustainable care.</w:t>
      </w:r>
      <w:bookmarkStart w:id="128" w:name="fnref18_6"/>
      <w:bookmarkEnd w:id="128"/>
      <w:hyperlink w:anchor="fn18">
        <w:r>
          <w:rPr>
            <w:rFonts w:eastAsia="helvetica neue" w:cs="helvetica neue" w:ascii="helvetica neue" w:hAnsi="helvetica neue"/>
            <w:color w:val="#000"/>
            <w:sz w:val="21"/>
            <w:u w:val="single"/>
            <w:vertAlign w:val="superscript"/>
          </w:rPr>
          <w:t xml:space="preserve">[18]</w:t>
        </w:r>
      </w:hyperlink>
      <w:bookmarkStart w:id="129" w:name="fnref6_8"/>
      <w:bookmarkEnd w:id="129"/>
      <w:hyperlink w:anchor="fn6">
        <w:r>
          <w:rPr>
            <w:rFonts w:eastAsia="helvetica neue" w:cs="helvetica neue" w:ascii="helvetica neue" w:hAnsi="helvetica neue"/>
            <w:color w:val="#000"/>
            <w:sz w:val="21"/>
            <w:u w:val="single"/>
            <w:vertAlign w:val="superscript"/>
          </w:rPr>
          <w:t xml:space="preserve">[6]</w:t>
        </w:r>
      </w:hyperlink>
      <w:bookmarkStart w:id="130" w:name="fnref20_12"/>
      <w:bookmarkEnd w:id="130"/>
      <w:hyperlink w:anchor="fn20">
        <w:r>
          <w:rPr>
            <w:rFonts w:eastAsia="helvetica neue" w:cs="helvetica neue" w:ascii="helvetica neue" w:hAnsi="helvetica neue"/>
            <w:color w:val="#000"/>
            <w:sz w:val="21"/>
            <w:u w:val="single"/>
            <w:vertAlign w:val="superscript"/>
          </w:rPr>
          <w:t xml:space="preserve">[20]</w:t>
        </w:r>
      </w:hyperlink>
    </w:p>
    <w:p>
      <w:pPr>
        <w:numPr>
          <w:ilvl w:val="0"/>
          <w:numId w:val="11"/>
        </w:numPr>
        <w:spacing w:line="360" w:before="105" w:after="105" w:lineRule="auto"/>
      </w:pPr>
      <w:r>
        <w:rPr>
          <w:rFonts w:eastAsia="georgia" w:cs="georgia" w:ascii="georgia" w:hAnsi="georgia"/>
          <w:b/>
          <w:color w:val="000000"/>
          <w:sz w:val="21"/>
        </w:rPr>
        <w:t xml:space="preserve">Partner:</w:t>
      </w:r>
    </w:p>
    <w:p>
      <w:pPr>
        <w:numPr>
          <w:ilvl w:val="1"/>
          <w:numId w:val="11"/>
        </w:numPr>
        <w:spacing w:line="360" w:before="105" w:after="105" w:lineRule="auto"/>
      </w:pPr>
      <w:r>
        <w:rPr>
          <w:rFonts w:eastAsia="georgia" w:cs="georgia" w:ascii="georgia" w:hAnsi="georgia"/>
          <w:color w:val="000000"/>
          <w:sz w:val="21"/>
        </w:rPr>
        <w:t xml:space="preserve">Water/energy utilities and engineering firms that design/install water‑reuse systems.</w:t>
      </w:r>
    </w:p>
    <w:p>
      <w:pPr>
        <w:numPr>
          <w:ilvl w:val="1"/>
          <w:numId w:val="11"/>
        </w:numPr>
        <w:spacing w:line="360" w:before="105" w:after="105" w:lineRule="auto"/>
      </w:pPr>
      <w:r>
        <w:rPr>
          <w:rFonts w:eastAsia="georgia" w:cs="georgia" w:ascii="georgia" w:hAnsi="georgia"/>
          <w:color w:val="000000"/>
          <w:sz w:val="21"/>
        </w:rPr>
        <w:t xml:space="preserve">Medical device/RO manufacturers offering higher‑recovery systems and integration with sustainability modules.</w:t>
      </w:r>
      <w:bookmarkStart w:id="131" w:name="fnref7_5"/>
      <w:bookmarkEnd w:id="131"/>
      <w:hyperlink w:anchor="fn7">
        <w:r>
          <w:rPr>
            <w:rFonts w:eastAsia="helvetica neue" w:cs="helvetica neue" w:ascii="helvetica neue" w:hAnsi="helvetica neue"/>
            <w:color w:val="#000"/>
            <w:sz w:val="21"/>
            <w:u w:val="single"/>
            <w:vertAlign w:val="superscript"/>
          </w:rPr>
          <w:t xml:space="preserve">[7]</w:t>
        </w:r>
      </w:hyperlink>
      <w:bookmarkStart w:id="132" w:name="fnref11_15"/>
      <w:bookmarkEnd w:id="132"/>
      <w:hyperlink w:anchor="fn11">
        <w:r>
          <w:rPr>
            <w:rFonts w:eastAsia="helvetica neue" w:cs="helvetica neue" w:ascii="helvetica neue" w:hAnsi="helvetica neue"/>
            <w:color w:val="#000"/>
            <w:sz w:val="21"/>
            <w:u w:val="single"/>
            <w:vertAlign w:val="superscript"/>
          </w:rPr>
          <w:t xml:space="preserve">[11]</w:t>
        </w:r>
      </w:hyperlink>
    </w:p>
    <w:p>
      <w:pPr>
        <w:numPr>
          <w:ilvl w:val="1"/>
          <w:numId w:val="11"/>
        </w:numPr>
        <w:spacing w:line="360" w:before="105" w:after="105" w:lineRule="auto"/>
      </w:pPr>
      <w:r>
        <w:rPr>
          <w:rFonts w:eastAsia="georgia" w:cs="georgia" w:ascii="georgia" w:hAnsi="georgia"/>
          <w:color w:val="000000"/>
          <w:sz w:val="21"/>
        </w:rPr>
        <w:t xml:space="preserve">Regional health authorities (ARS) and Agence de la transition écologique for grants or inclusion in climate plans.</w:t>
      </w:r>
      <w:bookmarkStart w:id="133" w:name="fnref11_16"/>
      <w:bookmarkEnd w:id="133"/>
      <w:hyperlink w:anchor="fn11">
        <w:r>
          <w:rPr>
            <w:rFonts w:eastAsia="helvetica neue" w:cs="helvetica neue" w:ascii="helvetica neue" w:hAnsi="helvetica neue"/>
            <w:color w:val="#000"/>
            <w:sz w:val="21"/>
            <w:u w:val="single"/>
            <w:vertAlign w:val="superscript"/>
          </w:rPr>
          <w:t xml:space="preserve">[11]</w:t>
        </w:r>
      </w:hyperlink>
      <w:bookmarkStart w:id="134" w:name="fnref20_13"/>
      <w:bookmarkEnd w:id="134"/>
      <w:hyperlink w:anchor="fn20">
        <w:r>
          <w:rPr>
            <w:rFonts w:eastAsia="helvetica neue" w:cs="helvetica neue" w:ascii="helvetica neue" w:hAnsi="helvetica neue"/>
            <w:color w:val="#000"/>
            <w:sz w:val="21"/>
            <w:u w:val="single"/>
            <w:vertAlign w:val="superscript"/>
          </w:rPr>
          <w:t xml:space="preserve">[20]</w:t>
        </w:r>
      </w:hyperlink>
    </w:p>
    <w:p>
      <w:pPr>
        <w:numPr>
          <w:ilvl w:val="0"/>
          <w:numId w:val="11"/>
        </w:numPr>
        <w:spacing w:line="360" w:before="105" w:after="105" w:lineRule="auto"/>
      </w:pPr>
      <w:r>
        <w:rPr>
          <w:rFonts w:eastAsia="georgia" w:cs="georgia" w:ascii="georgia" w:hAnsi="georgia"/>
          <w:b/>
          <w:color w:val="000000"/>
          <w:sz w:val="21"/>
        </w:rPr>
        <w:t xml:space="preserve">Maintainer:</w:t>
      </w:r>
      <w:r>
        <w:rPr>
          <w:rFonts w:eastAsia="georgia" w:cs="georgia" w:ascii="georgia" w:hAnsi="georgia"/>
          <w:color w:val="000000"/>
          <w:sz w:val="21"/>
        </w:rPr>
        <w:t xml:space="preserve"> Hospital estates/biomedical engineering teams, possibly with maintenance contracts to specialized water‑treatment providers.</w:t>
      </w:r>
      <w:bookmarkStart w:id="135" w:name="fnref19_7"/>
      <w:bookmarkEnd w:id="135"/>
      <w:hyperlink w:anchor="fn19">
        <w:r>
          <w:rPr>
            <w:rFonts w:eastAsia="helvetica neue" w:cs="helvetica neue" w:ascii="helvetica neue" w:hAnsi="helvetica neue"/>
            <w:color w:val="#000"/>
            <w:sz w:val="21"/>
            <w:u w:val="single"/>
            <w:vertAlign w:val="superscript"/>
          </w:rPr>
          <w:t xml:space="preserve">[19]</w:t>
        </w:r>
      </w:hyperlink>
      <w:bookmarkStart w:id="136" w:name="fnref9_17"/>
      <w:bookmarkEnd w:id="136"/>
      <w:hyperlink w:anchor="fn9">
        <w:r>
          <w:rPr>
            <w:rFonts w:eastAsia="helvetica neue" w:cs="helvetica neue" w:ascii="helvetica neue" w:hAnsi="helvetica neue"/>
            <w:color w:val="#000"/>
            <w:sz w:val="21"/>
            <w:u w:val="single"/>
            <w:vertAlign w:val="superscript"/>
          </w:rPr>
          <w:t xml:space="preserve">[9]</w:t>
        </w:r>
      </w:hyperlink>
      <w:bookmarkStart w:id="137" w:name="fnref14_27"/>
      <w:bookmarkEnd w:id="137"/>
      <w:hyperlink w:anchor="fn14">
        <w:r>
          <w:rPr>
            <w:rFonts w:eastAsia="helvetica neue" w:cs="helvetica neue" w:ascii="helvetica neue" w:hAnsi="helvetica neue"/>
            <w:color w:val="#000"/>
            <w:sz w:val="21"/>
            <w:u w:val="single"/>
            <w:vertAlign w:val="superscript"/>
          </w:rPr>
          <w:t xml:space="preserve">[14]</w:t>
        </w:r>
      </w:hyperlink>
    </w:p>
    <w:p>
      <w:pPr>
        <w:spacing w:line="360" w:after="210" w:lineRule="auto"/>
      </w:pPr>
      <w:r>
        <w:rPr>
          <w:rFonts w:eastAsia="georgia" w:cs="georgia" w:ascii="georgia" w:hAnsi="georgia"/>
          <w:b/>
          <w:color w:val="000000"/>
        </w:rPr>
        <w:t xml:space="preserve">Economic value proposition</w:t>
      </w:r>
    </w:p>
    <w:p>
      <w:pPr>
        <w:numPr>
          <w:ilvl w:val="0"/>
          <w:numId w:val="12"/>
        </w:numPr>
        <w:spacing w:line="360" w:before="105" w:after="105" w:lineRule="auto"/>
      </w:pPr>
      <w:r>
        <w:rPr>
          <w:rFonts w:eastAsia="georgia" w:cs="georgia" w:ascii="georgia" w:hAnsi="georgia"/>
          <w:color w:val="000000"/>
          <w:sz w:val="21"/>
        </w:rPr>
        <w:t xml:space="preserve">For large centers, RO‑reject reuse is essentially a </w:t>
      </w:r>
      <w:r>
        <w:rPr>
          <w:rFonts w:eastAsia="georgia" w:cs="georgia" w:ascii="georgia" w:hAnsi="georgia"/>
          <w:b/>
          <w:color w:val="000000"/>
          <w:sz w:val="21"/>
        </w:rPr>
        <w:t xml:space="preserve">utility‑savings project</w:t>
      </w:r>
      <w:r>
        <w:rPr>
          <w:rFonts w:eastAsia="georgia" w:cs="georgia" w:ascii="georgia" w:hAnsi="georgia"/>
          <w:color w:val="000000"/>
          <w:sz w:val="21"/>
        </w:rPr>
        <w:t xml:space="preserve">: capex for tanks, piping, pumps and controls (tens of thousands of euros) repaid over a few years via avoided potable water and sewer costs, as suggested by international payback data (1–3.5 years) and French water‑carbon intensities.</w:t>
      </w:r>
      <w:bookmarkStart w:id="138" w:name="fnref15_5"/>
      <w:bookmarkEnd w:id="138"/>
      <w:hyperlink w:anchor="fn15">
        <w:r>
          <w:rPr>
            <w:rFonts w:eastAsia="helvetica neue" w:cs="helvetica neue" w:ascii="helvetica neue" w:hAnsi="helvetica neue"/>
            <w:color w:val="#000"/>
            <w:sz w:val="21"/>
            <w:u w:val="single"/>
            <w:vertAlign w:val="superscript"/>
          </w:rPr>
          <w:t xml:space="preserve">[15]</w:t>
        </w:r>
      </w:hyperlink>
      <w:bookmarkStart w:id="139" w:name="fnref9_18"/>
      <w:bookmarkEnd w:id="139"/>
      <w:hyperlink w:anchor="fn9">
        <w:r>
          <w:rPr>
            <w:rFonts w:eastAsia="helvetica neue" w:cs="helvetica neue" w:ascii="helvetica neue" w:hAnsi="helvetica neue"/>
            <w:color w:val="#000"/>
            <w:sz w:val="21"/>
            <w:u w:val="single"/>
            <w:vertAlign w:val="superscript"/>
          </w:rPr>
          <w:t xml:space="preserve">[9]</w:t>
        </w:r>
      </w:hyperlink>
      <w:bookmarkStart w:id="140" w:name="fnref14_28"/>
      <w:bookmarkEnd w:id="140"/>
      <w:hyperlink w:anchor="fn14">
        <w:r>
          <w:rPr>
            <w:rFonts w:eastAsia="helvetica neue" w:cs="helvetica neue" w:ascii="helvetica neue" w:hAnsi="helvetica neue"/>
            <w:color w:val="#000"/>
            <w:sz w:val="21"/>
            <w:u w:val="single"/>
            <w:vertAlign w:val="superscript"/>
          </w:rPr>
          <w:t xml:space="preserve">[14]</w:t>
        </w:r>
      </w:hyperlink>
    </w:p>
    <w:p>
      <w:pPr>
        <w:numPr>
          <w:ilvl w:val="0"/>
          <w:numId w:val="12"/>
        </w:numPr>
        <w:spacing w:line="360" w:before="105" w:after="105" w:lineRule="auto"/>
      </w:pPr>
      <w:r>
        <w:rPr>
          <w:rFonts w:eastAsia="georgia" w:cs="georgia" w:ascii="georgia" w:hAnsi="georgia"/>
          <w:color w:val="000000"/>
          <w:sz w:val="21"/>
        </w:rPr>
        <w:t xml:space="preserve">Additional value comes from regulatory and reputational benefits: alignment with French and EU climate policies, contributions to hospital‑level sustainability KPIs, and demonstration of responsible resource use in a highly resource‑intensive therapy.</w:t>
      </w:r>
      <w:bookmarkStart w:id="141" w:name="fnref14_29"/>
      <w:bookmarkEnd w:id="141"/>
      <w:hyperlink w:anchor="fn14">
        <w:r>
          <w:rPr>
            <w:rFonts w:eastAsia="helvetica neue" w:cs="helvetica neue" w:ascii="helvetica neue" w:hAnsi="helvetica neue"/>
            <w:color w:val="#000"/>
            <w:sz w:val="21"/>
            <w:u w:val="single"/>
            <w:vertAlign w:val="superscript"/>
          </w:rPr>
          <w:t xml:space="preserve">[14]</w:t>
        </w:r>
      </w:hyperlink>
      <w:bookmarkStart w:id="142" w:name="fnref20_14"/>
      <w:bookmarkEnd w:id="142"/>
      <w:hyperlink w:anchor="fn20">
        <w:r>
          <w:rPr>
            <w:rFonts w:eastAsia="helvetica neue" w:cs="helvetica neue" w:ascii="helvetica neue" w:hAnsi="helvetica neue"/>
            <w:color w:val="#000"/>
            <w:sz w:val="21"/>
            <w:u w:val="single"/>
            <w:vertAlign w:val="superscript"/>
          </w:rPr>
          <w:t xml:space="preserve">[20]</w:t>
        </w:r>
      </w:hyperlink>
      <w:bookmarkStart w:id="143" w:name="fnref11_17"/>
      <w:bookmarkEnd w:id="143"/>
      <w:hyperlink w:anchor="fn11">
        <w:r>
          <w:rPr>
            <w:rFonts w:eastAsia="helvetica neue" w:cs="helvetica neue" w:ascii="helvetica neue" w:hAnsi="helvetica neue"/>
            <w:color w:val="#000"/>
            <w:sz w:val="21"/>
            <w:u w:val="single"/>
            <w:vertAlign w:val="superscript"/>
          </w:rPr>
          <w:t xml:space="preserve">[11]</w:t>
        </w:r>
      </w:hyperlink>
    </w:p>
    <w:p>
      <w:pPr>
        <w:spacing w:line="360" w:after="210" w:lineRule="auto"/>
      </w:pPr>
      <w:r>
        <w:rPr>
          <w:rFonts w:eastAsia="georgia" w:cs="georgia" w:ascii="georgia" w:hAnsi="georgia"/>
          <w:b/>
          <w:color w:val="000000"/>
        </w:rPr>
        <w:t xml:space="preserve">Procurement and implementation logic</w:t>
      </w:r>
    </w:p>
    <w:p>
      <w:pPr>
        <w:numPr>
          <w:ilvl w:val="0"/>
          <w:numId w:val="13"/>
        </w:numPr>
        <w:spacing w:line="360" w:before="105" w:after="105" w:lineRule="auto"/>
      </w:pPr>
      <w:r>
        <w:rPr>
          <w:rFonts w:eastAsia="georgia" w:cs="georgia" w:ascii="georgia" w:hAnsi="georgia"/>
          <w:color w:val="000000"/>
          <w:sz w:val="21"/>
        </w:rPr>
        <w:t xml:space="preserve">Start with </w:t>
      </w:r>
      <w:r>
        <w:rPr>
          <w:rFonts w:eastAsia="georgia" w:cs="georgia" w:ascii="georgia" w:hAnsi="georgia"/>
          <w:b/>
          <w:color w:val="000000"/>
          <w:sz w:val="21"/>
        </w:rPr>
        <w:t xml:space="preserve">performance‑based procurement</w:t>
      </w:r>
      <w:r>
        <w:rPr>
          <w:rFonts w:eastAsia="georgia" w:cs="georgia" w:ascii="georgia" w:hAnsi="georgia"/>
          <w:color w:val="000000"/>
          <w:sz w:val="21"/>
        </w:rPr>
        <w:t xml:space="preserve">: suppliers commit to delivering a defined amount of recoverable water (m³/year) and providing remote monitoring of flows and quality, while hospitals retain ownership of savings; options for shared‑savings contracts can be explored but require legal work.</w:t>
      </w:r>
    </w:p>
    <w:p>
      <w:pPr>
        <w:numPr>
          <w:ilvl w:val="0"/>
          <w:numId w:val="13"/>
        </w:numPr>
        <w:spacing w:line="360" w:before="105" w:after="105" w:lineRule="auto"/>
      </w:pPr>
      <w:r>
        <w:rPr>
          <w:rFonts w:eastAsia="georgia" w:cs="georgia" w:ascii="georgia" w:hAnsi="georgia"/>
          <w:color w:val="000000"/>
          <w:sz w:val="21"/>
        </w:rPr>
        <w:t xml:space="preserve">Use </w:t>
      </w:r>
      <w:r>
        <w:rPr>
          <w:rFonts w:eastAsia="georgia" w:cs="georgia" w:ascii="georgia" w:hAnsi="georgia"/>
          <w:b/>
          <w:color w:val="000000"/>
          <w:sz w:val="21"/>
        </w:rPr>
        <w:t xml:space="preserve">framework contracts</w:t>
      </w:r>
      <w:r>
        <w:rPr>
          <w:rFonts w:eastAsia="georgia" w:cs="georgia" w:ascii="georgia" w:hAnsi="georgia"/>
          <w:color w:val="000000"/>
          <w:sz w:val="21"/>
        </w:rPr>
        <w:t xml:space="preserve"> at GHT or private‑group level to standardize technical specifications, risk assessments, and maintenance models, thus lowering transaction costs for each hospital.</w:t>
      </w:r>
      <w:bookmarkStart w:id="144" w:name="fnref14_30"/>
      <w:bookmarkEnd w:id="144"/>
      <w:hyperlink w:anchor="fn14">
        <w:r>
          <w:rPr>
            <w:rFonts w:eastAsia="helvetica neue" w:cs="helvetica neue" w:ascii="helvetica neue" w:hAnsi="helvetica neue"/>
            <w:color w:val="#000"/>
            <w:sz w:val="21"/>
            <w:u w:val="single"/>
            <w:vertAlign w:val="superscript"/>
          </w:rPr>
          <w:t xml:space="preserve">[14]</w:t>
        </w:r>
      </w:hyperlink>
      <w:bookmarkStart w:id="145" w:name="fnref11_18"/>
      <w:bookmarkEnd w:id="145"/>
      <w:hyperlink w:anchor="fn11">
        <w:r>
          <w:rPr>
            <w:rFonts w:eastAsia="helvetica neue" w:cs="helvetica neue" w:ascii="helvetica neue" w:hAnsi="helvetica neue"/>
            <w:color w:val="#000"/>
            <w:sz w:val="21"/>
            <w:u w:val="single"/>
            <w:vertAlign w:val="superscript"/>
          </w:rPr>
          <w:t xml:space="preserve">[11]</w:t>
        </w:r>
      </w:hyperlink>
    </w:p>
    <w:p>
      <w:pPr>
        <w:spacing w:line="360" w:after="210" w:lineRule="auto"/>
      </w:pPr>
      <w:r>
        <w:rPr>
          <w:rFonts w:eastAsia="georgia" w:cs="georgia" w:ascii="georgia" w:hAnsi="georgia"/>
          <w:b/>
          <w:color w:val="000000"/>
        </w:rPr>
        <w:t xml:space="preserve">Equity and access implications</w:t>
      </w:r>
      <w:r>
        <w:rPr>
          <w:rFonts w:eastAsia="georgia" w:cs="georgia" w:ascii="georgia" w:hAnsi="georgia"/>
          <w:color w:val="000000"/>
        </w:rPr>
        <w:br w:type="textWrapping"/>
      </w:r>
      <w:r>
        <w:rPr>
          <w:rFonts w:eastAsia="georgia" w:cs="georgia" w:ascii="georgia" w:hAnsi="georgia"/>
          <w:i/>
          <w:color w:val="000000"/>
        </w:rPr>
        <w:t xml:space="preserve">Separated into four dimensions as requested:</w:t>
      </w:r>
    </w:p>
    <w:p>
      <w:pPr>
        <w:numPr>
          <w:ilvl w:val="0"/>
          <w:numId w:val="14"/>
        </w:numPr>
        <w:spacing w:line="360" w:before="105" w:after="105" w:lineRule="auto"/>
      </w:pPr>
      <w:r>
        <w:rPr>
          <w:rFonts w:eastAsia="georgia" w:cs="georgia" w:ascii="georgia" w:hAnsi="georgia"/>
          <w:b/>
          <w:color w:val="000000"/>
          <w:sz w:val="21"/>
        </w:rPr>
        <w:t xml:space="preserve">Environmental efficiency:</w:t>
      </w:r>
      <w:r>
        <w:rPr>
          <w:rFonts w:eastAsia="georgia" w:cs="georgia" w:ascii="georgia" w:hAnsi="georgia"/>
          <w:color w:val="000000"/>
          <w:sz w:val="21"/>
        </w:rPr>
        <w:t xml:space="preserve"> Focusing on large hospitals maximizes liters saved per euro and per engineering hour; small sites are less efficient targets, which is environmentally logical but risks a perception gap.</w:t>
      </w:r>
      <w:bookmarkStart w:id="146" w:name="fnref11_19"/>
      <w:bookmarkEnd w:id="146"/>
      <w:hyperlink w:anchor="fn11">
        <w:r>
          <w:rPr>
            <w:rFonts w:eastAsia="helvetica neue" w:cs="helvetica neue" w:ascii="helvetica neue" w:hAnsi="helvetica neue"/>
            <w:color w:val="#000"/>
            <w:sz w:val="21"/>
            <w:u w:val="single"/>
            <w:vertAlign w:val="superscript"/>
          </w:rPr>
          <w:t xml:space="preserve">[11]</w:t>
        </w:r>
      </w:hyperlink>
      <w:bookmarkStart w:id="147" w:name="fnref14_31"/>
      <w:bookmarkEnd w:id="147"/>
      <w:hyperlink w:anchor="fn14">
        <w:r>
          <w:rPr>
            <w:rFonts w:eastAsia="helvetica neue" w:cs="helvetica neue" w:ascii="helvetica neue" w:hAnsi="helvetica neue"/>
            <w:color w:val="#000"/>
            <w:sz w:val="21"/>
            <w:u w:val="single"/>
            <w:vertAlign w:val="superscript"/>
          </w:rPr>
          <w:t xml:space="preserve">[14]</w:t>
        </w:r>
      </w:hyperlink>
    </w:p>
    <w:p>
      <w:pPr>
        <w:numPr>
          <w:ilvl w:val="0"/>
          <w:numId w:val="14"/>
        </w:numPr>
        <w:spacing w:line="360" w:before="105" w:after="105" w:lineRule="auto"/>
      </w:pPr>
      <w:r>
        <w:rPr>
          <w:rFonts w:eastAsia="georgia" w:cs="georgia" w:ascii="georgia" w:hAnsi="georgia"/>
          <w:b/>
          <w:color w:val="000000"/>
          <w:sz w:val="21"/>
        </w:rPr>
        <w:t xml:space="preserve">Clinical feasibility:</w:t>
      </w:r>
      <w:r>
        <w:rPr>
          <w:rFonts w:eastAsia="georgia" w:cs="georgia" w:ascii="georgia" w:hAnsi="georgia"/>
          <w:color w:val="000000"/>
          <w:sz w:val="21"/>
        </w:rPr>
        <w:t xml:space="preserve"> Because water reuse is strictly non‑clinical (toilets, irrigation, cleaning), there is no direct difference in clinical access or modalities between patients; however, pilots must demonstrate that projects never interfere with water quality for dialysis itself.</w:t>
      </w:r>
      <w:bookmarkStart w:id="148" w:name="fnref18_7"/>
      <w:bookmarkEnd w:id="148"/>
      <w:hyperlink w:anchor="fn18">
        <w:r>
          <w:rPr>
            <w:rFonts w:eastAsia="helvetica neue" w:cs="helvetica neue" w:ascii="helvetica neue" w:hAnsi="helvetica neue"/>
            <w:color w:val="#000"/>
            <w:sz w:val="21"/>
            <w:u w:val="single"/>
            <w:vertAlign w:val="superscript"/>
          </w:rPr>
          <w:t xml:space="preserve">[18]</w:t>
        </w:r>
      </w:hyperlink>
      <w:bookmarkStart w:id="149" w:name="fnref20_15"/>
      <w:bookmarkEnd w:id="149"/>
      <w:hyperlink w:anchor="fn20">
        <w:r>
          <w:rPr>
            <w:rFonts w:eastAsia="helvetica neue" w:cs="helvetica neue" w:ascii="helvetica neue" w:hAnsi="helvetica neue"/>
            <w:color w:val="#000"/>
            <w:sz w:val="21"/>
            <w:u w:val="single"/>
            <w:vertAlign w:val="superscript"/>
          </w:rPr>
          <w:t xml:space="preserve">[20]</w:t>
        </w:r>
      </w:hyperlink>
      <w:bookmarkStart w:id="150" w:name="fnref11_20"/>
      <w:bookmarkEnd w:id="150"/>
      <w:hyperlink w:anchor="fn11">
        <w:r>
          <w:rPr>
            <w:rFonts w:eastAsia="helvetica neue" w:cs="helvetica neue" w:ascii="helvetica neue" w:hAnsi="helvetica neue"/>
            <w:color w:val="#000"/>
            <w:sz w:val="21"/>
            <w:u w:val="single"/>
            <w:vertAlign w:val="superscript"/>
          </w:rPr>
          <w:t xml:space="preserve">[11]</w:t>
        </w:r>
      </w:hyperlink>
    </w:p>
    <w:p>
      <w:pPr>
        <w:numPr>
          <w:ilvl w:val="0"/>
          <w:numId w:val="14"/>
        </w:numPr>
        <w:spacing w:line="360" w:before="105" w:after="105" w:lineRule="auto"/>
      </w:pPr>
      <w:r>
        <w:rPr>
          <w:rFonts w:eastAsia="georgia" w:cs="georgia" w:ascii="georgia" w:hAnsi="georgia"/>
          <w:b/>
          <w:color w:val="000000"/>
          <w:sz w:val="21"/>
        </w:rPr>
        <w:t xml:space="preserve">Social fairness (Paris vs regions, rich vs poor hospitals):</w:t>
      </w:r>
      <w:r>
        <w:rPr>
          <w:rFonts w:eastAsia="georgia" w:cs="georgia" w:ascii="georgia" w:hAnsi="georgia"/>
          <w:color w:val="000000"/>
          <w:sz w:val="21"/>
        </w:rPr>
        <w:t xml:space="preserve"> Early pilots will naturally be in better‑resourced CHU and big private centers (often urban/Paris‑centric), potentially widening perceived inequalities in “green” infrastructure; this can be mitigated by making all technical designs, protocols and data open and reusable for regional hospitals, and by including at least one non‑Paris regional CHU among first pilots.</w:t>
      </w:r>
      <w:bookmarkStart w:id="151" w:name="fnref10_2"/>
      <w:bookmarkEnd w:id="151"/>
      <w:hyperlink w:anchor="fn10">
        <w:r>
          <w:rPr>
            <w:rFonts w:eastAsia="helvetica neue" w:cs="helvetica neue" w:ascii="helvetica neue" w:hAnsi="helvetica neue"/>
            <w:color w:val="#000"/>
            <w:sz w:val="21"/>
            <w:u w:val="single"/>
            <w:vertAlign w:val="superscript"/>
          </w:rPr>
          <w:t xml:space="preserve">[10]</w:t>
        </w:r>
      </w:hyperlink>
      <w:bookmarkStart w:id="152" w:name="fnref12_5"/>
      <w:bookmarkEnd w:id="152"/>
      <w:hyperlink w:anchor="fn12">
        <w:r>
          <w:rPr>
            <w:rFonts w:eastAsia="helvetica neue" w:cs="helvetica neue" w:ascii="helvetica neue" w:hAnsi="helvetica neue"/>
            <w:color w:val="#000"/>
            <w:sz w:val="21"/>
            <w:u w:val="single"/>
            <w:vertAlign w:val="superscript"/>
          </w:rPr>
          <w:t xml:space="preserve">[12]</w:t>
        </w:r>
      </w:hyperlink>
      <w:bookmarkStart w:id="153" w:name="fnref11_21"/>
      <w:bookmarkEnd w:id="153"/>
      <w:hyperlink w:anchor="fn11">
        <w:r>
          <w:rPr>
            <w:rFonts w:eastAsia="helvetica neue" w:cs="helvetica neue" w:ascii="helvetica neue" w:hAnsi="helvetica neue"/>
            <w:color w:val="#000"/>
            <w:sz w:val="21"/>
            <w:u w:val="single"/>
            <w:vertAlign w:val="superscript"/>
          </w:rPr>
          <w:t xml:space="preserve">[11]</w:t>
        </w:r>
      </w:hyperlink>
    </w:p>
    <w:p>
      <w:pPr>
        <w:numPr>
          <w:ilvl w:val="0"/>
          <w:numId w:val="14"/>
        </w:numPr>
        <w:spacing w:line="360" w:before="105" w:after="105" w:lineRule="auto"/>
      </w:pPr>
      <w:r>
        <w:rPr>
          <w:rFonts w:eastAsia="georgia" w:cs="georgia" w:ascii="georgia" w:hAnsi="georgia"/>
          <w:b/>
          <w:color w:val="000000"/>
          <w:sz w:val="21"/>
        </w:rPr>
        <w:t xml:space="preserve">Geographic equity and feasibility for smaller hospitals:</w:t>
      </w:r>
      <w:r>
        <w:rPr>
          <w:rFonts w:eastAsia="georgia" w:cs="georgia" w:ascii="georgia" w:hAnsi="georgia"/>
          <w:color w:val="000000"/>
          <w:sz w:val="21"/>
        </w:rPr>
        <w:t xml:space="preserve"> Smaller hospitals and rural UDMs may lack capex and engineering capacity; to avoid exclusion, regional authorities or GHT could co‑finance “template” projects and offer regional engineering support or shared maintenance contracts, enabling scaled‑down implementations where volume justifies it.</w:t>
      </w:r>
      <w:bookmarkStart w:id="154" w:name="fnref12_6"/>
      <w:bookmarkEnd w:id="154"/>
      <w:hyperlink w:anchor="fn12">
        <w:r>
          <w:rPr>
            <w:rFonts w:eastAsia="helvetica neue" w:cs="helvetica neue" w:ascii="helvetica neue" w:hAnsi="helvetica neue"/>
            <w:color w:val="#000"/>
            <w:sz w:val="21"/>
            <w:u w:val="single"/>
            <w:vertAlign w:val="superscript"/>
          </w:rPr>
          <w:t xml:space="preserve">[12]</w:t>
        </w:r>
      </w:hyperlink>
      <w:bookmarkStart w:id="155" w:name="fnref11_22"/>
      <w:bookmarkEnd w:id="155"/>
      <w:hyperlink w:anchor="fn11">
        <w:r>
          <w:rPr>
            <w:rFonts w:eastAsia="helvetica neue" w:cs="helvetica neue" w:ascii="helvetica neue" w:hAnsi="helvetica neue"/>
            <w:color w:val="#000"/>
            <w:sz w:val="21"/>
            <w:u w:val="single"/>
            <w:vertAlign w:val="superscript"/>
          </w:rPr>
          <w:t xml:space="preserve">[11]</w:t>
        </w:r>
      </w:hyperlink>
    </w:p>
    <w:p>
      <w:pPr>
        <w:spacing w:line="360" w:after="210" w:lineRule="auto"/>
      </w:pPr>
      <w:r>
        <w:rPr>
          <w:rFonts w:eastAsia="georgia" w:cs="georgia" w:ascii="georgia" w:hAnsi="georgia"/>
          <w:b/>
          <w:color w:val="000000"/>
        </w:rPr>
        <w:t xml:space="preserve">Design principles to improve, not worsen, access</w:t>
      </w:r>
    </w:p>
    <w:p>
      <w:pPr>
        <w:numPr>
          <w:ilvl w:val="0"/>
          <w:numId w:val="15"/>
        </w:numPr>
        <w:spacing w:line="360" w:before="105" w:after="105" w:lineRule="auto"/>
      </w:pPr>
      <w:r>
        <w:rPr>
          <w:rFonts w:eastAsia="georgia" w:cs="georgia" w:ascii="georgia" w:hAnsi="georgia"/>
          <w:color w:val="000000"/>
          <w:sz w:val="21"/>
        </w:rPr>
        <w:t xml:space="preserve">Make all tools (design drawings, risk assessments, monitoring dashboards) openly shareable across hospitals to reduce knowledge asymmetry.</w:t>
      </w:r>
    </w:p>
    <w:p>
      <w:pPr>
        <w:numPr>
          <w:ilvl w:val="0"/>
          <w:numId w:val="15"/>
        </w:numPr>
        <w:spacing w:line="360" w:before="105" w:after="105" w:lineRule="auto"/>
      </w:pPr>
      <w:r>
        <w:rPr>
          <w:rFonts w:eastAsia="georgia" w:cs="georgia" w:ascii="georgia" w:hAnsi="georgia"/>
          <w:color w:val="000000"/>
          <w:sz w:val="21"/>
        </w:rPr>
        <w:t xml:space="preserve">Tie funding to inclusion criteria that ensure at least some peripheral/regional hospitals participate in the second wave, once the model is proven in flagship centers.</w:t>
      </w:r>
    </w:p>
    <w:p>
      <w:pPr>
        <w:numPr>
          <w:ilvl w:val="0"/>
          <w:numId w:val="15"/>
        </w:numPr>
        <w:spacing w:line="360" w:before="105" w:after="105" w:lineRule="auto"/>
      </w:pPr>
      <w:r>
        <w:rPr>
          <w:rFonts w:eastAsia="georgia" w:cs="georgia" w:ascii="georgia" w:hAnsi="georgia"/>
          <w:color w:val="000000"/>
          <w:sz w:val="21"/>
        </w:rPr>
        <w:t xml:space="preserve">Explicitly track staff workload and maintenance burden in pilots to show that solutions are manageable for smaller teams and to refine designs where they are not.</w:t>
      </w:r>
      <w:bookmarkStart w:id="156" w:name="fnref20_16"/>
      <w:bookmarkEnd w:id="156"/>
      <w:hyperlink w:anchor="fn20">
        <w:r>
          <w:rPr>
            <w:rFonts w:eastAsia="helvetica neue" w:cs="helvetica neue" w:ascii="helvetica neue" w:hAnsi="helvetica neue"/>
            <w:color w:val="#000"/>
            <w:sz w:val="21"/>
            <w:u w:val="single"/>
            <w:vertAlign w:val="superscript"/>
          </w:rPr>
          <w:t xml:space="preserve">[20]</w:t>
        </w:r>
      </w:hyperlink>
      <w:bookmarkStart w:id="157" w:name="fnref14_32"/>
      <w:bookmarkEnd w:id="157"/>
      <w:hyperlink w:anchor="fn14">
        <w:r>
          <w:rPr>
            <w:rFonts w:eastAsia="helvetica neue" w:cs="helvetica neue" w:ascii="helvetica neue" w:hAnsi="helvetica neue"/>
            <w:color w:val="#000"/>
            <w:sz w:val="21"/>
            <w:u w:val="single"/>
            <w:vertAlign w:val="superscript"/>
          </w:rPr>
          <w:t xml:space="preserve">[14]</w:t>
        </w:r>
      </w:hyperlink>
      <w:bookmarkStart w:id="158" w:name="fnref11_23"/>
      <w:bookmarkEnd w:id="158"/>
      <w:hyperlink w:anchor="fn11">
        <w:r>
          <w:rPr>
            <w:rFonts w:eastAsia="helvetica neue" w:cs="helvetica neue" w:ascii="helvetica neue" w:hAnsi="helvetica neue"/>
            <w:color w:val="#000"/>
            <w:sz w:val="21"/>
            <w:u w:val="single"/>
            <w:vertAlign w:val="superscript"/>
          </w:rPr>
          <w:t xml:space="preserve">[11]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9" w:name="slide_7_final_pitch_message_20_30_a4b850"/>
      <w:r>
        <w:rPr>
          <w:rFonts w:eastAsia="georgia" w:cs="georgia" w:ascii="georgia" w:hAnsi="georgia"/>
          <w:b/>
          <w:color w:val="000000"/>
          <w:sz w:val="24"/>
        </w:rPr>
        <w:t xml:space="preserve">Slide 7: Final Pitch Message (20–30 seconds)</w:t>
      </w:r>
      <w:bookmarkEnd w:id="159"/>
    </w:p>
    <w:p>
      <w:pPr>
        <w:spacing w:line="360" w:after="210" w:lineRule="auto"/>
      </w:pPr>
      <w:r>
        <w:rPr>
          <w:rFonts w:eastAsia="georgia" w:cs="georgia" w:ascii="georgia" w:hAnsi="georgia"/>
          <w:color w:val="000000"/>
        </w:rPr>
        <w:t xml:space="preserve">“Dialysis keeps people alive, but every session in France wastes hundreds of liters of high‑quality water straight to the drain. By capturing this RO‑reject and reusing it for toilets and irrigation in large hospital dialysis units, we can save thousands of cubic meters of water per hospital each year, cut CO₂ emissions, and reduce utility costs—without touching the clinical circuit. Our proposal is to pilot this in a small group of CHU and large dialysis centers, generate robust operational and economic data, then scale a standard, equity‑minded model across France’s hospital networks.”</w:t>
      </w:r>
      <w:bookmarkStart w:id="160" w:name="fnref2_8"/>
      <w:bookmarkEnd w:id="160"/>
      <w:hyperlink w:anchor="fn2">
        <w:r>
          <w:rPr>
            <w:rFonts w:eastAsia="helvetica neue" w:cs="helvetica neue" w:ascii="helvetica neue" w:hAnsi="helvetica neue"/>
            <w:color w:val="#000"/>
            <w:u w:val="single"/>
            <w:vertAlign w:val="superscript"/>
          </w:rPr>
          <w:t xml:space="preserve">[2]</w:t>
        </w:r>
      </w:hyperlink>
      <w:bookmarkStart w:id="161" w:name="fnref8_3"/>
      <w:bookmarkEnd w:id="161"/>
      <w:hyperlink w:anchor="fn8">
        <w:r>
          <w:rPr>
            <w:rFonts w:eastAsia="helvetica neue" w:cs="helvetica neue" w:ascii="helvetica neue" w:hAnsi="helvetica neue"/>
            <w:color w:val="#000"/>
            <w:u w:val="single"/>
            <w:vertAlign w:val="superscript"/>
          </w:rPr>
          <w:t xml:space="preserve">[8]</w:t>
        </w:r>
      </w:hyperlink>
      <w:bookmarkStart w:id="162" w:name="fnref10_3"/>
      <w:bookmarkEnd w:id="162"/>
      <w:hyperlink w:anchor="fn10">
        <w:r>
          <w:rPr>
            <w:rFonts w:eastAsia="helvetica neue" w:cs="helvetica neue" w:ascii="helvetica neue" w:hAnsi="helvetica neue"/>
            <w:color w:val="#000"/>
            <w:u w:val="single"/>
            <w:vertAlign w:val="superscript"/>
          </w:rPr>
          <w:t xml:space="preserve">[10]</w:t>
        </w:r>
      </w:hyperlink>
      <w:bookmarkStart w:id="163" w:name="fnref6_9"/>
      <w:bookmarkEnd w:id="163"/>
      <w:hyperlink w:anchor="fn6">
        <w:r>
          <w:rPr>
            <w:rFonts w:eastAsia="helvetica neue" w:cs="helvetica neue" w:ascii="helvetica neue" w:hAnsi="helvetica neue"/>
            <w:color w:val="#000"/>
            <w:u w:val="single"/>
            <w:vertAlign w:val="superscript"/>
          </w:rPr>
          <w:t xml:space="preserve">[6]</w:t>
        </w:r>
      </w:hyperlink>
      <w:bookmarkStart w:id="164" w:name="fnref9_19"/>
      <w:bookmarkEnd w:id="164"/>
      <w:hyperlink w:anchor="fn9">
        <w:r>
          <w:rPr>
            <w:rFonts w:eastAsia="helvetica neue" w:cs="helvetica neue" w:ascii="helvetica neue" w:hAnsi="helvetica neue"/>
            <w:color w:val="#000"/>
            <w:u w:val="single"/>
            <w:vertAlign w:val="superscript"/>
          </w:rPr>
          <w:t xml:space="preserve">[9]</w:t>
        </w:r>
      </w:hyperlink>
      <w:bookmarkStart w:id="165" w:name="fnref15_6"/>
      <w:bookmarkEnd w:id="165"/>
      <w:hyperlink w:anchor="fn15">
        <w:r>
          <w:rPr>
            <w:rFonts w:eastAsia="helvetica neue" w:cs="helvetica neue" w:ascii="helvetica neue" w:hAnsi="helvetica neue"/>
            <w:color w:val="#000"/>
            <w:u w:val="single"/>
            <w:vertAlign w:val="superscript"/>
          </w:rPr>
          <w:t xml:space="preserve">[15]</w:t>
        </w:r>
      </w:hyperlink>
      <w:bookmarkStart w:id="166" w:name="fnref14_33"/>
      <w:bookmarkEnd w:id="166"/>
      <w:hyperlink w:anchor="fn14">
        <w:r>
          <w:rPr>
            <w:rFonts w:eastAsia="helvetica neue" w:cs="helvetica neue" w:ascii="helvetica neue" w:hAnsi="helvetica neue"/>
            <w:color w:val="#000"/>
            <w:u w:val="single"/>
            <w:vertAlign w:val="superscript"/>
          </w:rPr>
          <w:t xml:space="preserve">[14]</w:t>
        </w:r>
      </w:hyperlink>
      <w:bookmarkStart w:id="167" w:name="fnref11_24"/>
      <w:bookmarkEnd w:id="167"/>
      <w:hyperlink w:anchor="fn11">
        <w:r>
          <w:rPr>
            <w:rFonts w:eastAsia="helvetica neue" w:cs="helvetica neue" w:ascii="helvetica neue" w:hAnsi="helvetica neue"/>
            <w:color w:val="#000"/>
            <w:u w:val="single"/>
            <w:vertAlign w:val="superscript"/>
          </w:rPr>
          <w:t xml:space="preserve">[11]</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68" w:name="fn1"/>
    <w:bookmarkEnd w:id="168"/>
    <w:p>
      <w:pPr>
        <w:numPr>
          <w:ilvl w:val="0"/>
          <w:numId w:val="17"/>
        </w:numPr>
        <w:spacing w:line="360" w:after="210" w:lineRule="auto"/>
      </w:pPr>
      <w:hyperlink r:id="rId6">
        <w:r>
          <w:rPr>
            <w:rFonts w:eastAsia="helvetica neue" w:cs="helvetica neue" w:ascii="helvetica neue" w:hAnsi="helvetica neue"/>
            <w:color w:val="#000"/>
            <w:sz w:val="18"/>
            <w:u w:val="single"/>
          </w:rPr>
          <w:t xml:space="preserve">https://www.agence-biomedecine.fr/IMG/pdf/rapport_2022_-_20241128.pdf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69" w:name="fn2"/>
    <w:bookmarkEnd w:id="169"/>
    <w:p>
      <w:pPr>
        <w:numPr>
          <w:ilvl w:val="0"/>
          <w:numId w:val="17"/>
        </w:numPr>
        <w:spacing w:line="360" w:after="210" w:lineRule="auto"/>
      </w:pPr>
      <w:hyperlink r:id="rId7">
        <w:r>
          <w:rPr>
            <w:rFonts w:eastAsia="helvetica neue" w:cs="helvetica neue" w:ascii="helvetica neue" w:hAnsi="helvetica neue"/>
            <w:color w:val="#000"/>
            <w:sz w:val="18"/>
            <w:u w:val="single"/>
          </w:rPr>
          <w:t xml:space="preserve">https://renaloo.com/rapport-rein-qui-sont-les-patients-dialyses-et-greffes-en-france-et-comment-sont-ils-soignes/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0" w:name="fn3"/>
    <w:bookmarkEnd w:id="170"/>
    <w:p>
      <w:pPr>
        <w:numPr>
          <w:ilvl w:val="0"/>
          <w:numId w:val="17"/>
        </w:numPr>
        <w:spacing w:line="360" w:after="210" w:lineRule="auto"/>
      </w:pPr>
      <w:hyperlink r:id="rId8">
        <w:r>
          <w:rPr>
            <w:rFonts w:eastAsia="helvetica neue" w:cs="helvetica neue" w:ascii="helvetica neue" w:hAnsi="helvetica neue"/>
            <w:color w:val="#000"/>
            <w:sz w:val="18"/>
            <w:u w:val="single"/>
          </w:rPr>
          <w:t xml:space="preserve">https://www.agence-biomedecine.fr/IMG/pdf/rapport_2022_-_202400905.pdf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1" w:name="fn4"/>
    <w:bookmarkEnd w:id="171"/>
    <w:p>
      <w:pPr>
        <w:numPr>
          <w:ilvl w:val="0"/>
          <w:numId w:val="17"/>
        </w:numPr>
        <w:spacing w:line="360" w:after="210" w:lineRule="auto"/>
      </w:pPr>
      <w:hyperlink r:id="rId9">
        <w:r>
          <w:rPr>
            <w:rFonts w:eastAsia="helvetica neue" w:cs="helvetica neue" w:ascii="helvetica neue" w:hAnsi="helvetica neue"/>
            <w:color w:val="#000"/>
            <w:sz w:val="18"/>
            <w:u w:val="single"/>
          </w:rPr>
          <w:t xml:space="preserve">https://objectifreinsante.org/les-chiffres-cles-du-rein-en-france/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2" w:name="fn5"/>
    <w:bookmarkEnd w:id="172"/>
    <w:p>
      <w:pPr>
        <w:numPr>
          <w:ilvl w:val="0"/>
          <w:numId w:val="17"/>
        </w:numPr>
        <w:spacing w:line="360" w:after="210" w:lineRule="auto"/>
      </w:pPr>
      <w:hyperlink r:id="rId10">
        <w:r>
          <w:rPr>
            <w:rFonts w:eastAsia="helvetica neue" w:cs="helvetica neue" w:ascii="helvetica neue" w:hAnsi="helvetica neue"/>
            <w:color w:val="#000"/>
            <w:sz w:val="18"/>
            <w:u w:val="single"/>
          </w:rPr>
          <w:t xml:space="preserve">https://www.francerein.org/actualites/les-chiffres-cles-de-la-maladie-renale/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3" w:name="fn6"/>
    <w:bookmarkEnd w:id="173"/>
    <w:p>
      <w:pPr>
        <w:numPr>
          <w:ilvl w:val="0"/>
          <w:numId w:val="17"/>
        </w:numPr>
        <w:spacing w:line="360" w:after="210" w:lineRule="auto"/>
      </w:pPr>
      <w:hyperlink r:id="rId11">
        <w:r>
          <w:rPr>
            <w:rFonts w:eastAsia="helvetica neue" w:cs="helvetica neue" w:ascii="helvetica neue" w:hAnsi="helvetica neue"/>
            <w:color w:val="#000"/>
            <w:sz w:val="18"/>
            <w:u w:val="single"/>
          </w:rPr>
          <w:t xml:space="preserve">https://bulletin-usf.info/wp-content/uploads/2023/05/Water-implications-in-dialysis-therapy-threats-and-opportunities-to-reduce-water-consumption-a-call-for-the-planet.pdf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4" w:name="fn7"/>
    <w:bookmarkEnd w:id="174"/>
    <w:p>
      <w:pPr>
        <w:numPr>
          <w:ilvl w:val="0"/>
          <w:numId w:val="17"/>
        </w:numPr>
        <w:spacing w:line="360" w:after="210" w:lineRule="auto"/>
      </w:pPr>
      <w:hyperlink r:id="rId12">
        <w:r>
          <w:rPr>
            <w:rFonts w:eastAsia="helvetica neue" w:cs="helvetica neue" w:ascii="helvetica neue" w:hAnsi="helvetica neue"/>
            <w:color w:val="#000"/>
            <w:sz w:val="18"/>
            <w:u w:val="single"/>
          </w:rPr>
          <w:t xml:space="preserve">https://www.isn-online.org/education/education-topics/hemodialysis/item/2281-reusing-and-recycling-dialysis-reverse-osmosis-system-reject-water/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5" w:name="fn8"/>
    <w:bookmarkEnd w:id="175"/>
    <w:p>
      <w:pPr>
        <w:numPr>
          <w:ilvl w:val="0"/>
          <w:numId w:val="17"/>
        </w:numPr>
        <w:spacing w:line="360" w:after="210" w:lineRule="auto"/>
      </w:pPr>
      <w:hyperlink r:id="rId13">
        <w:r>
          <w:rPr>
            <w:rFonts w:eastAsia="helvetica neue" w:cs="helvetica neue" w:ascii="helvetica neue" w:hAnsi="helvetica neue"/>
            <w:color w:val="#000"/>
            <w:sz w:val="18"/>
            <w:u w:val="single"/>
          </w:rPr>
          <w:t xml:space="preserve">http://networks.sustainablehealthcare.org.uk/sites/default/files/resources/case_study_conserving_water_in_haemodialysis_v1.0_1_0.pdf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6" w:name="fn9"/>
    <w:bookmarkEnd w:id="176"/>
    <w:p>
      <w:pPr>
        <w:numPr>
          <w:ilvl w:val="0"/>
          <w:numId w:val="17"/>
        </w:numPr>
        <w:spacing w:line="360" w:after="210" w:lineRule="auto"/>
      </w:pPr>
      <w:hyperlink r:id="rId14">
        <w:r>
          <w:rPr>
            <w:rFonts w:eastAsia="helvetica neue" w:cs="helvetica neue" w:ascii="helvetica neue" w:hAnsi="helvetica neue"/>
            <w:color w:val="#000"/>
            <w:sz w:val="18"/>
            <w:u w:val="single"/>
          </w:rPr>
          <w:t xml:space="preserve">https://map.sustainablehealthcare.org.uk/east-kent-hospitals-university-nhs-trust/conserving-water-haemodialysis-case-study-and-how-guide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7" w:name="fn10"/>
    <w:bookmarkEnd w:id="177"/>
    <w:p>
      <w:pPr>
        <w:numPr>
          <w:ilvl w:val="0"/>
          <w:numId w:val="17"/>
        </w:numPr>
        <w:spacing w:line="360" w:after="210" w:lineRule="auto"/>
      </w:pPr>
      <w:hyperlink r:id="rId15">
        <w:r>
          <w:rPr>
            <w:rFonts w:eastAsia="helvetica neue" w:cs="helvetica neue" w:ascii="helvetica neue" w:hAnsi="helvetica neue"/>
            <w:color w:val="#000"/>
            <w:sz w:val="18"/>
            <w:u w:val="single"/>
          </w:rPr>
          <w:t xml:space="preserve">https://frenchhealthcare.com/expertises/france-hospital-ecosystem/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8" w:name="fn11"/>
    <w:bookmarkEnd w:id="178"/>
    <w:p>
      <w:pPr>
        <w:numPr>
          <w:ilvl w:val="0"/>
          <w:numId w:val="17"/>
        </w:numPr>
        <w:spacing w:line="360" w:after="210" w:lineRule="auto"/>
      </w:pPr>
      <w:hyperlink r:id="rId16">
        <w:r>
          <w:rPr>
            <w:rFonts w:eastAsia="helvetica neue" w:cs="helvetica neue" w:ascii="helvetica neue" w:hAnsi="helvetica neue"/>
            <w:color w:val="#000"/>
            <w:sz w:val="18"/>
            <w:u w:val="single"/>
          </w:rPr>
          <w:t xml:space="preserve">https://academic.oup.com/ckj/article/18/2/sfae407/7929886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79" w:name="fn12"/>
    <w:bookmarkEnd w:id="179"/>
    <w:p>
      <w:pPr>
        <w:numPr>
          <w:ilvl w:val="0"/>
          <w:numId w:val="17"/>
        </w:numPr>
        <w:spacing w:line="360" w:after="210" w:lineRule="auto"/>
      </w:pPr>
      <w:hyperlink r:id="rId17">
        <w:r>
          <w:rPr>
            <w:rFonts w:eastAsia="helvetica neue" w:cs="helvetica neue" w:ascii="helvetica neue" w:hAnsi="helvetica neue"/>
            <w:color w:val="#000"/>
            <w:sz w:val="18"/>
            <w:u w:val="single"/>
          </w:rPr>
          <w:t xml:space="preserve">https://journals.plos.org/plosone/article?id=10.1371%2Fjournal.pone.0276068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0" w:name="fn13"/>
    <w:bookmarkEnd w:id="180"/>
    <w:p>
      <w:pPr>
        <w:numPr>
          <w:ilvl w:val="0"/>
          <w:numId w:val="17"/>
        </w:numPr>
        <w:spacing w:line="360" w:after="210" w:lineRule="auto"/>
      </w:pPr>
      <w:hyperlink r:id="rId18">
        <w:r>
          <w:rPr>
            <w:rFonts w:eastAsia="helvetica neue" w:cs="helvetica neue" w:ascii="helvetica neue" w:hAnsi="helvetica neue"/>
            <w:color w:val="#000"/>
            <w:sz w:val="18"/>
            <w:u w:val="single"/>
          </w:rPr>
          <w:t xml:space="preserve">https://production.networks.sustainablehealthcare.org.uk/resources/case-study-reuse-ro-reject-water-two-haemodialysis-units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1" w:name="fn14"/>
    <w:bookmarkEnd w:id="181"/>
    <w:p>
      <w:pPr>
        <w:numPr>
          <w:ilvl w:val="0"/>
          <w:numId w:val="17"/>
        </w:numPr>
        <w:spacing w:line="360" w:after="210" w:lineRule="auto"/>
      </w:pPr>
      <w:hyperlink r:id="rId19">
        <w:r>
          <w:rPr>
            <w:rFonts w:eastAsia="helvetica neue" w:cs="helvetica neue" w:ascii="helvetica neue" w:hAnsi="helvetica neue"/>
            <w:color w:val="#000"/>
            <w:sz w:val="18"/>
            <w:u w:val="single"/>
          </w:rPr>
          <w:t xml:space="preserve">https://www.springermedizin.de/hemodialysis-water-reuse-within-a-circular-economy-approach-what/27169606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2" w:name="fn15"/>
    <w:bookmarkEnd w:id="182"/>
    <w:p>
      <w:pPr>
        <w:numPr>
          <w:ilvl w:val="0"/>
          <w:numId w:val="17"/>
        </w:numPr>
        <w:spacing w:line="360" w:after="210" w:lineRule="auto"/>
      </w:pPr>
      <w:hyperlink r:id="rId20">
        <w:r>
          <w:rPr>
            <w:rFonts w:eastAsia="helvetica neue" w:cs="helvetica neue" w:ascii="helvetica neue" w:hAnsi="helvetica neue"/>
            <w:color w:val="#000"/>
            <w:sz w:val="18"/>
            <w:u w:val="single"/>
          </w:rPr>
          <w:t xml:space="preserve">https://www.aiche.org/sites/default/files/community/173431/aiche-community-site-event/205166/mihelcic-3.2.pdf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3" w:name="fn16"/>
    <w:bookmarkEnd w:id="183"/>
    <w:p>
      <w:pPr>
        <w:numPr>
          <w:ilvl w:val="0"/>
          <w:numId w:val="17"/>
        </w:numPr>
        <w:spacing w:line="360" w:after="210" w:lineRule="auto"/>
      </w:pPr>
      <w:hyperlink r:id="rId21">
        <w:r>
          <w:rPr>
            <w:rFonts w:eastAsia="helvetica neue" w:cs="helvetica neue" w:ascii="helvetica neue" w:hAnsi="helvetica neue"/>
            <w:color w:val="#000"/>
            <w:sz w:val="18"/>
            <w:u w:val="single"/>
          </w:rPr>
          <w:t xml:space="preserve">https://drees.solidarites-sante.gouv.fr/sites/default/files/2025-11/ER1353 - SAE - MEL2.pdf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4" w:name="fn17"/>
    <w:bookmarkEnd w:id="184"/>
    <w:p>
      <w:pPr>
        <w:numPr>
          <w:ilvl w:val="0"/>
          <w:numId w:val="17"/>
        </w:numPr>
        <w:spacing w:line="360" w:after="210" w:lineRule="auto"/>
      </w:pPr>
      <w:hyperlink r:id="rId22">
        <w:r>
          <w:rPr>
            <w:rFonts w:eastAsia="helvetica neue" w:cs="helvetica neue" w:ascii="helvetica neue" w:hAnsi="helvetica neue"/>
            <w:color w:val="#000"/>
            <w:sz w:val="18"/>
            <w:u w:val="single"/>
          </w:rPr>
          <w:t xml:space="preserve">https://pmc.ncbi.nlm.nih.gov/articles/PMC8967594/pdf/KID.0003722021.pdf</w:t>
        </w:r>
      </w:hyperlink>
      <w:r>
        <w:rPr>
          <w:rFonts w:eastAsia="georgia" w:cs="georgia" w:ascii="georgia" w:hAnsi="georgia"/>
          <w:color w:val="000000"/>
          <w:sz w:val="18"/>
        </w:rPr>
        <w:t xml:space="preserve"> </w:t>
      </w:r>
    </w:p>
    <w:bookmarkStart w:id="185" w:name="fn18"/>
    <w:bookmarkEnd w:id="185"/>
    <w:p>
      <w:pPr>
        <w:numPr>
          <w:ilvl w:val="0"/>
          <w:numId w:val="17"/>
        </w:numPr>
        <w:spacing w:line="360" w:after="210" w:lineRule="auto"/>
      </w:pPr>
      <w:hyperlink r:id="rId23">
        <w:r>
          <w:rPr>
            <w:rFonts w:eastAsia="helvetica neue" w:cs="helvetica neue" w:ascii="helvetica neue" w:hAnsi="helvetica neue"/>
            <w:color w:val="#000"/>
            <w:sz w:val="18"/>
            <w:u w:val="single"/>
          </w:rPr>
          <w:t xml:space="preserve">https://networks.sustainablehealthcare.org.uk/sites/default/files/2023-04/Water implications in Dialysis Therapy, Threats and Opportunities to Reduce Water.pdf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6" w:name="fn19"/>
    <w:bookmarkEnd w:id="186"/>
    <w:p>
      <w:pPr>
        <w:numPr>
          <w:ilvl w:val="0"/>
          <w:numId w:val="17"/>
        </w:numPr>
        <w:spacing w:line="360" w:after="210" w:lineRule="auto"/>
      </w:pPr>
      <w:hyperlink r:id="rId24">
        <w:r>
          <w:rPr>
            <w:rFonts w:eastAsia="helvetica neue" w:cs="helvetica neue" w:ascii="helvetica neue" w:hAnsi="helvetica neue"/>
            <w:color w:val="#000"/>
            <w:sz w:val="18"/>
            <w:u w:val="single"/>
          </w:rPr>
          <w:t xml:space="preserve">https://www.deswater.com/DWT_articles/vol_193_papers/193_2020_274.pdf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7" w:name="fn20"/>
    <w:bookmarkEnd w:id="187"/>
    <w:p>
      <w:pPr>
        <w:numPr>
          <w:ilvl w:val="0"/>
          <w:numId w:val="17"/>
        </w:numPr>
        <w:spacing w:line="360" w:after="210" w:lineRule="auto"/>
      </w:pPr>
      <w:hyperlink r:id="rId25">
        <w:r>
          <w:rPr>
            <w:rFonts w:eastAsia="helvetica neue" w:cs="helvetica neue" w:ascii="helvetica neue" w:hAnsi="helvetica neue"/>
            <w:color w:val="#000"/>
            <w:sz w:val="18"/>
            <w:u w:val="single"/>
          </w:rPr>
          <w:t xml:space="preserve">https://pmc.ncbi.nlm.nih.gov/articles/PMC11519137/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8" w:name="fn21"/>
    <w:bookmarkEnd w:id="188"/>
    <w:p>
      <w:pPr>
        <w:numPr>
          <w:ilvl w:val="0"/>
          <w:numId w:val="17"/>
        </w:numPr>
        <w:spacing w:line="360" w:after="210" w:lineRule="auto"/>
      </w:pPr>
      <w:hyperlink r:id="rId26">
        <w:r>
          <w:rPr>
            <w:rFonts w:eastAsia="helvetica neue" w:cs="helvetica neue" w:ascii="helvetica neue" w:hAnsi="helvetica neue"/>
            <w:color w:val="#000"/>
            <w:sz w:val="18"/>
            <w:u w:val="single"/>
          </w:rPr>
          <w:t xml:space="preserve">https://d-nb.info/1338545728/34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9" w:name="fn22"/>
    <w:bookmarkEnd w:id="189"/>
    <w:p>
      <w:pPr>
        <w:numPr>
          <w:ilvl w:val="0"/>
          <w:numId w:val="17"/>
        </w:numPr>
        <w:spacing w:line="360" w:after="210" w:lineRule="auto"/>
      </w:pPr>
      <w:hyperlink r:id="rId27">
        <w:r>
          <w:rPr>
            <w:rFonts w:eastAsia="helvetica neue" w:cs="helvetica neue" w:ascii="helvetica neue" w:hAnsi="helvetica neue"/>
            <w:color w:val="#000"/>
            <w:sz w:val="18"/>
            <w:u w:val="single"/>
          </w:rPr>
          <w:t xml:space="preserve">https://www.academia.edu/47824919/Wastewater_reuse_from_hemodialysis_section_by_combination_of_coagulation_and_ultrafiltration_processes_case_study_in_Saveh_Iran_Hospital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0" w:name="fn23"/>
    <w:bookmarkEnd w:id="190"/>
    <w:p>
      <w:pPr>
        <w:numPr>
          <w:ilvl w:val="0"/>
          <w:numId w:val="17"/>
        </w:numPr>
        <w:spacing w:line="360" w:after="210" w:lineRule="auto"/>
      </w:pPr>
      <w:hyperlink r:id="rId28">
        <w:r>
          <w:rPr>
            <w:rFonts w:eastAsia="helvetica neue" w:cs="helvetica neue" w:ascii="helvetica neue" w:hAnsi="helvetica neue"/>
            <w:color w:val="#000"/>
            <w:sz w:val="18"/>
            <w:u w:val="single"/>
          </w:rPr>
          <w:t xml:space="preserve">https://fundacionrenal.com/wp-content/uploads/2025/02/sfae407-1.pdf</w:t>
        </w:r>
      </w:hyperlink>
      <w:r>
        <w:rPr>
          <w:rFonts w:eastAsia="georgia" w:cs="georgia" w:ascii="georgia" w:hAnsi="georgia"/>
          <w:color w:val="000000"/>
          <w:sz w:val="18"/>
        </w:rPr>
        <w:t xml:space="preserve"> </w:t>
      </w:r>
    </w:p>
    <w:bookmarkStart w:id="191" w:name="fn24"/>
    <w:bookmarkEnd w:id="191"/>
    <w:p>
      <w:pPr>
        <w:numPr>
          <w:ilvl w:val="0"/>
          <w:numId w:val="17"/>
        </w:numPr>
        <w:spacing w:line="360" w:after="210" w:lineRule="auto"/>
      </w:pPr>
      <w:hyperlink r:id="rId29">
        <w:r>
          <w:rPr>
            <w:rFonts w:eastAsia="helvetica neue" w:cs="helvetica neue" w:ascii="helvetica neue" w:hAnsi="helvetica neue"/>
            <w:color w:val="#000"/>
            <w:sz w:val="18"/>
            <w:u w:val="single"/>
          </w:rPr>
          <w:t xml:space="preserve">https://www.ccomptes.fr/sites/default/files/2024-02/20231012-summary-Public-and-private-acute-hospitals-between-competition-and-cooperation.pdf</w:t>
        </w:r>
      </w:hyperlink>
      <w:r>
        <w:rPr>
          <w:rFonts w:eastAsia="georgia" w:cs="georgia" w:ascii="georgia" w:hAnsi="georgia"/>
          <w:color w:val="000000"/>
          <w:sz w:val="18"/>
        </w:rPr>
        <w:t xml:space="preserve"> </w:t>
      </w:r>
    </w:p>
    <w:bookmarkStart w:id="192" w:name="fn25"/>
    <w:bookmarkEnd w:id="192"/>
    <w:p>
      <w:pPr>
        <w:numPr>
          <w:ilvl w:val="0"/>
          <w:numId w:val="17"/>
        </w:numPr>
        <w:spacing w:line="360" w:after="210" w:lineRule="auto"/>
      </w:pPr>
      <w:hyperlink r:id="rId30">
        <w:r>
          <w:rPr>
            <w:rFonts w:eastAsia="helvetica neue" w:cs="helvetica neue" w:ascii="helvetica neue" w:hAnsi="helvetica neue"/>
            <w:color w:val="#000"/>
            <w:sz w:val="18"/>
            <w:u w:val="single"/>
          </w:rPr>
          <w:t xml:space="preserve">https://drees.solidarites-sante.gouv.fr/sites/default/files/2025-07/ES 2025 - Vue d'ensemble.pdf</w:t>
        </w:r>
      </w:hyperlink>
      <w:r>
        <w:rPr>
          <w:rFonts w:eastAsia="georgia" w:cs="georgia" w:ascii="georgia" w:hAnsi="georgia"/>
          <w:color w:val="000000"/>
          <w:sz w:val="18"/>
        </w:rPr>
        <w:t xml:space="preserve"> </w:t>
      </w:r>
    </w:p>
    <w:bookmarkStart w:id="193" w:name="fn26"/>
    <w:bookmarkEnd w:id="193"/>
    <w:p>
      <w:pPr>
        <w:numPr>
          <w:ilvl w:val="0"/>
          <w:numId w:val="17"/>
        </w:numPr>
        <w:spacing w:line="360" w:after="210" w:lineRule="auto"/>
      </w:pPr>
      <w:hyperlink r:id="rId31">
        <w:r>
          <w:rPr>
            <w:rFonts w:eastAsia="helvetica neue" w:cs="helvetica neue" w:ascii="helvetica neue" w:hAnsi="helvetica neue"/>
            <w:color w:val="#000"/>
            <w:sz w:val="18"/>
            <w:u w:val="single"/>
          </w:rPr>
          <w:t xml:space="preserve">https://www.bdd.rdplf.org/index.php/bdd/article/download/79033/69973/149143</w:t>
        </w:r>
      </w:hyperlink>
      <w:r>
        <w:rPr>
          <w:rFonts w:eastAsia="georgia" w:cs="georgia" w:ascii="georgia" w:hAnsi="georgia"/>
          <w:color w:val="000000"/>
          <w:sz w:val="18"/>
        </w:rPr>
        <w:t xml:space="preserve"> </w:t>
      </w:r>
    </w:p>
    <w:bookmarkStart w:id="194" w:name="fn27"/>
    <w:bookmarkEnd w:id="194"/>
    <w:p>
      <w:pPr>
        <w:numPr>
          <w:ilvl w:val="0"/>
          <w:numId w:val="17"/>
        </w:numPr>
        <w:spacing w:line="360" w:after="210" w:lineRule="auto"/>
      </w:pPr>
      <w:hyperlink r:id="rId32">
        <w:r>
          <w:rPr>
            <w:rFonts w:eastAsia="helvetica neue" w:cs="helvetica neue" w:ascii="helvetica neue" w:hAnsi="helvetica neue"/>
            <w:color w:val="#000"/>
            <w:sz w:val="18"/>
            <w:u w:val="single"/>
          </w:rPr>
          <w:t xml:space="preserve">https://www.francerein.org/wp-content/uploads/2024/10/rapport_rein_v2022.pdf</w:t>
        </w:r>
      </w:hyperlink>
      <w:r>
        <w:rPr>
          <w:rFonts w:eastAsia="georgia" w:cs="georgia" w:ascii="georgia" w:hAnsi="georgia"/>
          <w:color w:val="000000"/>
          <w:sz w:val="18"/>
        </w:rPr>
        <w:t xml:space="preserve"> </w:t>
      </w:r>
    </w:p>
    <w:bookmarkStart w:id="195" w:name="fn28"/>
    <w:bookmarkEnd w:id="195"/>
    <w:p>
      <w:pPr>
        <w:numPr>
          <w:ilvl w:val="0"/>
          <w:numId w:val="17"/>
        </w:numPr>
        <w:spacing w:line="360" w:after="210" w:lineRule="auto"/>
      </w:pPr>
      <w:hyperlink r:id="rId33">
        <w:r>
          <w:rPr>
            <w:rFonts w:eastAsia="helvetica neue" w:cs="helvetica neue" w:ascii="helvetica neue" w:hAnsi="helvetica neue"/>
            <w:color w:val="#000"/>
            <w:sz w:val="18"/>
            <w:u w:val="single"/>
          </w:rPr>
          <w:t xml:space="preserve">https://healthsystemsfacts.org/france/france-health-system-physical-resources-and-utilization/</w:t>
        </w:r>
      </w:hyperlink>
      <w:r>
        <w:rPr>
          <w:rFonts w:eastAsia="georgia" w:cs="georgia" w:ascii="georgia" w:hAnsi="georgia"/>
          <w:color w:val="000000"/>
          <w:sz w:val="18"/>
        </w:rPr>
        <w:t xml:space="preserve"> </w:t>
      </w:r>
    </w:p>
    <w:bookmarkStart w:id="196" w:name="fn29"/>
    <w:bookmarkEnd w:id="196"/>
    <w:p>
      <w:pPr>
        <w:numPr>
          <w:ilvl w:val="0"/>
          <w:numId w:val="17"/>
        </w:numPr>
        <w:spacing w:line="360" w:after="210" w:lineRule="auto"/>
      </w:pPr>
      <w:hyperlink r:id="rId34">
        <w:r>
          <w:rPr>
            <w:rFonts w:eastAsia="helvetica neue" w:cs="helvetica neue" w:ascii="helvetica neue" w:hAnsi="helvetica neue"/>
            <w:color w:val="#000"/>
            <w:sz w:val="18"/>
            <w:u w:val="single"/>
          </w:rPr>
          <w:t xml:space="preserve">https://pmc.ncbi.nlm.nih.gov/articles/PMC8967594/</w:t>
        </w:r>
      </w:hyperlink>
      <w:r>
        <w:rPr>
          <w:rFonts w:eastAsia="georgia" w:cs="georgia" w:ascii="georgia" w:hAnsi="georgia"/>
          <w:color w:val="000000"/>
          <w:sz w:val="18"/>
        </w:rPr>
        <w:t xml:space="preserve"> </w:t>
      </w:r>
    </w:p>
    <w:bookmarkStart w:id="197" w:name="fn30"/>
    <w:bookmarkEnd w:id="197"/>
    <w:p>
      <w:pPr>
        <w:numPr>
          <w:ilvl w:val="0"/>
          <w:numId w:val="17"/>
        </w:numPr>
        <w:spacing w:line="360" w:after="210" w:lineRule="auto"/>
      </w:pPr>
      <w:hyperlink r:id="rId35">
        <w:r>
          <w:rPr>
            <w:rFonts w:eastAsia="helvetica neue" w:cs="helvetica neue" w:ascii="helvetica neue" w:hAnsi="helvetica neue"/>
            <w:color w:val="#000"/>
            <w:sz w:val="18"/>
            <w:u w:val="single"/>
          </w:rPr>
          <w:t xml:space="preserve">https://karger.com/bpu/article/54/7/447/926560/Perspectives-on-Water-Utilization-in-Hemodialysis</w:t>
        </w:r>
      </w:hyperlink>
      <w:r>
        <w:rPr>
          <w:rFonts w:eastAsia="georgia" w:cs="georgia" w:ascii="georgia" w:hAnsi="georgia"/>
          <w:color w:val="000000"/>
          <w:sz w:val="18"/>
        </w:rPr>
        <w:t xml:space="preserve"> </w:t>
      </w:r>
    </w:p>
    <w:bookmarkStart w:id="198" w:name="fn31"/>
    <w:bookmarkEnd w:id="198"/>
    <w:p>
      <w:pPr>
        <w:numPr>
          <w:ilvl w:val="0"/>
          <w:numId w:val="17"/>
        </w:numPr>
        <w:spacing w:line="360" w:after="210" w:lineRule="auto"/>
      </w:pPr>
      <w:hyperlink r:id="rId36">
        <w:r>
          <w:rPr>
            <w:rFonts w:eastAsia="helvetica neue" w:cs="helvetica neue" w:ascii="helvetica neue" w:hAnsi="helvetica neue"/>
            <w:color w:val="#000"/>
            <w:sz w:val="18"/>
            <w:u w:val="single"/>
          </w:rPr>
          <w:t xml:space="preserve">https://bdd.rdplf.org/index.php/bdd/article/download/77293/68473/145043</w:t>
        </w:r>
      </w:hyperlink>
      <w:r>
        <w:rPr>
          <w:rFonts w:eastAsia="georgia" w:cs="georgia" w:ascii="georgia" w:hAnsi="georgia"/>
          <w:color w:val="000000"/>
          <w:sz w:val="18"/>
        </w:rPr>
        <w:t xml:space="preserve"> </w:t>
      </w:r>
    </w:p>
    <w:bookmarkStart w:id="199" w:name="fn32"/>
    <w:bookmarkEnd w:id="199"/>
    <w:p>
      <w:pPr>
        <w:numPr>
          <w:ilvl w:val="0"/>
          <w:numId w:val="17"/>
        </w:numPr>
        <w:spacing w:line="360" w:after="210" w:lineRule="auto"/>
      </w:pPr>
      <w:hyperlink r:id="rId37">
        <w:r>
          <w:rPr>
            <w:rFonts w:eastAsia="helvetica neue" w:cs="helvetica neue" w:ascii="helvetica neue" w:hAnsi="helvetica neue"/>
            <w:color w:val="#000"/>
            <w:sz w:val="18"/>
            <w:u w:val="single"/>
          </w:rPr>
          <w:t xml:space="preserve">https://www.sfndt.org/files/medias/documents/livre-blanc-dialyse-a-domicile-190528.pdf</w:t>
        </w:r>
      </w:hyperlink>
      <w:r>
        <w:rPr>
          <w:rFonts w:eastAsia="georgia" w:cs="georgia" w:ascii="georgia" w:hAnsi="georgia"/>
          <w:color w:val="000000"/>
          <w:sz w:val="18"/>
        </w:rPr>
        <w:t xml:space="preserve"> </w:t>
      </w:r>
    </w:p>
    <w:bookmarkStart w:id="200" w:name="fn33"/>
    <w:bookmarkEnd w:id="200"/>
    <w:p>
      <w:pPr>
        <w:numPr>
          <w:ilvl w:val="0"/>
          <w:numId w:val="17"/>
        </w:numPr>
        <w:spacing w:line="360" w:after="210" w:lineRule="auto"/>
      </w:pPr>
      <w:hyperlink r:id="rId38">
        <w:r>
          <w:rPr>
            <w:rFonts w:eastAsia="helvetica neue" w:cs="helvetica neue" w:ascii="helvetica neue" w:hAnsi="helvetica neue"/>
            <w:color w:val="#000"/>
            <w:sz w:val="18"/>
            <w:u w:val="single"/>
          </w:rPr>
          <w:t xml:space="preserve">https://www.ncbi.nlm.nih.gov/pmc/articles/PMC4881796/</w:t>
        </w:r>
      </w:hyperlink>
      <w:r>
        <w:rPr>
          <w:rFonts w:eastAsia="georgia" w:cs="georgia" w:ascii="georgia" w:hAnsi="georgia"/>
          <w:color w:val="000000"/>
          <w:sz w:val="18"/>
        </w:rPr>
        <w:t xml:space="preserve"> </w:t>
      </w:r>
    </w:p>
    <w:bookmarkStart w:id="201" w:name="fn34"/>
    <w:bookmarkEnd w:id="201"/>
    <w:p>
      <w:pPr>
        <w:numPr>
          <w:ilvl w:val="0"/>
          <w:numId w:val="17"/>
        </w:numPr>
        <w:spacing w:line="360" w:after="210" w:lineRule="auto"/>
      </w:pPr>
      <w:hyperlink r:id="rId39">
        <w:r>
          <w:rPr>
            <w:rFonts w:eastAsia="helvetica neue" w:cs="helvetica neue" w:ascii="helvetica neue" w:hAnsi="helvetica neue"/>
            <w:color w:val="#000"/>
            <w:sz w:val="18"/>
            <w:u w:val="single"/>
          </w:rPr>
          <w:t xml:space="preserve">https://bdd.rdplf.org/index.php/bdd/article/view/79033</w:t>
        </w:r>
      </w:hyperlink>
      <w:r>
        <w:rPr>
          <w:rFonts w:eastAsia="georgia" w:cs="georgia" w:ascii="georgia" w:hAnsi="georgia"/>
          <w:color w:val="000000"/>
          <w:sz w:val="18"/>
        </w:rPr>
        <w:t xml:space="preserve"> </w:t>
      </w:r>
    </w:p>
    <w:bookmarkStart w:id="202" w:name="fn35"/>
    <w:bookmarkEnd w:id="202"/>
    <w:p>
      <w:pPr>
        <w:numPr>
          <w:ilvl w:val="0"/>
          <w:numId w:val="17"/>
        </w:numPr>
        <w:spacing w:line="360" w:after="210" w:lineRule="auto"/>
      </w:pPr>
      <w:hyperlink r:id="rId40">
        <w:r>
          <w:rPr>
            <w:rFonts w:eastAsia="helvetica neue" w:cs="helvetica neue" w:ascii="helvetica neue" w:hAnsi="helvetica neue"/>
            <w:color w:val="#000"/>
            <w:sz w:val="18"/>
            <w:u w:val="single"/>
          </w:rPr>
          <w:t xml:space="preserve">https://www.francerein.org/wp-content/uploads/2024/10/resultats-cles-du-rapport_rein_v2022.pdf</w:t>
        </w:r>
      </w:hyperlink>
      <w:r>
        <w:rPr>
          <w:rFonts w:eastAsia="georgia" w:cs="georgia" w:ascii="georgia" w:hAnsi="georgia"/>
          <w:color w:val="000000"/>
          <w:sz w:val="18"/>
        </w:rPr>
        <w:t xml:space="preserve"> </w:t>
      </w:r>
    </w:p>
    <w:bookmarkStart w:id="203" w:name="fn36"/>
    <w:bookmarkEnd w:id="203"/>
    <w:p>
      <w:pPr>
        <w:numPr>
          <w:ilvl w:val="0"/>
          <w:numId w:val="17"/>
        </w:numPr>
        <w:spacing w:line="360" w:after="210" w:lineRule="auto"/>
      </w:pPr>
      <w:hyperlink r:id="rId41">
        <w:r>
          <w:rPr>
            <w:rFonts w:eastAsia="helvetica neue" w:cs="helvetica neue" w:ascii="helvetica neue" w:hAnsi="helvetica neue"/>
            <w:color w:val="#000"/>
            <w:sz w:val="18"/>
            <w:u w:val="single"/>
          </w:rPr>
          <w:t xml:space="preserve">https://www.theisn.org/wcn/wp-content/uploads/sites/8/2026/03/WCN26-AB-4496.pdf</w:t>
        </w:r>
      </w:hyperlink>
      <w:r>
        <w:rPr>
          <w:rFonts w:eastAsia="georgia" w:cs="georgia" w:ascii="georgia" w:hAnsi="georgia"/>
          <w:color w:val="000000"/>
          <w:sz w:val="18"/>
        </w:rPr>
        <w:t xml:space="preserve"> </w:t>
      </w:r>
    </w:p>
    <w:bookmarkStart w:id="204" w:name="fn37"/>
    <w:bookmarkEnd w:id="204"/>
    <w:p>
      <w:pPr>
        <w:numPr>
          <w:ilvl w:val="0"/>
          <w:numId w:val="17"/>
        </w:numPr>
        <w:spacing w:line="360" w:after="210" w:lineRule="auto"/>
      </w:pPr>
      <w:hyperlink r:id="rId42">
        <w:r>
          <w:rPr>
            <w:rFonts w:eastAsia="helvetica neue" w:cs="helvetica neue" w:ascii="helvetica neue" w:hAnsi="helvetica neue"/>
            <w:color w:val="#000"/>
            <w:sz w:val="18"/>
            <w:u w:val="single"/>
          </w:rPr>
          <w:t xml:space="preserve">https://www.climatiq.io/data/emission-factor/884eec79-2ec7-4da4-bc6e-36499edfaf8a</w:t>
        </w:r>
      </w:hyperlink>
      <w:r>
        <w:rPr>
          <w:rFonts w:eastAsia="georgia" w:cs="georgia" w:ascii="georgia" w:hAnsi="georgia"/>
          <w:color w:val="000000"/>
          <w:sz w:val="18"/>
        </w:rPr>
        <w:t xml:space="preserve"> </w:t>
      </w:r>
    </w:p>
    <w:bookmarkStart w:id="205" w:name="fn38"/>
    <w:bookmarkEnd w:id="205"/>
    <w:p>
      <w:pPr>
        <w:numPr>
          <w:ilvl w:val="0"/>
          <w:numId w:val="17"/>
        </w:numPr>
        <w:spacing w:line="360" w:after="210" w:lineRule="auto"/>
      </w:pPr>
      <w:hyperlink r:id="rId43">
        <w:r>
          <w:rPr>
            <w:rFonts w:eastAsia="helvetica neue" w:cs="helvetica neue" w:ascii="helvetica neue" w:hAnsi="helvetica neue"/>
            <w:color w:val="#000"/>
            <w:sz w:val="18"/>
            <w:u w:val="single"/>
          </w:rPr>
          <w:t xml:space="preserve">https://edepot.wur.nl/571197</w:t>
        </w:r>
      </w:hyperlink>
      <w:r>
        <w:rPr>
          <w:rFonts w:eastAsia="georgia" w:cs="georgia" w:ascii="georgia" w:hAnsi="georgia"/>
          <w:color w:val="000000"/>
          <w:sz w:val="18"/>
        </w:rPr>
        <w:t xml:space="preserve"> </w:t>
      </w:r>
    </w:p>
    <w:bookmarkStart w:id="206" w:name="fn39"/>
    <w:bookmarkEnd w:id="206"/>
    <w:p>
      <w:pPr>
        <w:numPr>
          <w:ilvl w:val="0"/>
          <w:numId w:val="17"/>
        </w:numPr>
        <w:spacing w:line="360" w:after="210" w:lineRule="auto"/>
      </w:pPr>
      <w:hyperlink r:id="rId44">
        <w:r>
          <w:rPr>
            <w:rFonts w:eastAsia="helvetica neue" w:cs="helvetica neue" w:ascii="helvetica neue" w:hAnsi="helvetica neue"/>
            <w:color w:val="#000"/>
            <w:sz w:val="18"/>
            <w:u w:val="single"/>
          </w:rPr>
          <w:t xml:space="preserve">https://uwe-repository.worktribe.com/index.php/preview/872128/1-s2.0-S0959652617328718-main.pdf</w:t>
        </w:r>
      </w:hyperlink>
      <w:r>
        <w:rPr>
          <w:rFonts w:eastAsia="georgia" w:cs="georgia" w:ascii="georgia" w:hAnsi="georgia"/>
          <w:color w:val="000000"/>
          <w:sz w:val="18"/>
        </w:rPr>
        <w:t xml:space="preserve"> </w:t>
      </w:r>
    </w:p>
    <w:bookmarkStart w:id="207" w:name="fn40"/>
    <w:bookmarkEnd w:id="207"/>
    <w:p>
      <w:pPr>
        <w:numPr>
          <w:ilvl w:val="0"/>
          <w:numId w:val="17"/>
        </w:numPr>
        <w:spacing w:line="360" w:after="210" w:lineRule="auto"/>
      </w:pPr>
      <w:hyperlink r:id="rId45">
        <w:r>
          <w:rPr>
            <w:rFonts w:eastAsia="helvetica neue" w:cs="helvetica neue" w:ascii="helvetica neue" w:hAnsi="helvetica neue"/>
            <w:color w:val="#000"/>
            <w:sz w:val="18"/>
            <w:u w:val="single"/>
          </w:rPr>
          <w:t xml:space="preserve">https://www.statistiques.developpement-durable.gouv.fr/media/631/download?inline</w:t>
        </w:r>
      </w:hyperlink>
      <w:r>
        <w:rPr>
          <w:rFonts w:eastAsia="georgia" w:cs="georgia" w:ascii="georgia" w:hAnsi="georgia"/>
          <w:color w:val="000000"/>
          <w:sz w:val="18"/>
        </w:rPr>
        <w:t xml:space="preserve"> </w:t>
      </w:r>
    </w:p>
    <w:bookmarkStart w:id="208" w:name="fn41"/>
    <w:bookmarkEnd w:id="208"/>
    <w:p>
      <w:pPr>
        <w:numPr>
          <w:ilvl w:val="0"/>
          <w:numId w:val="17"/>
        </w:numPr>
        <w:spacing w:line="360" w:after="210" w:lineRule="auto"/>
      </w:pPr>
      <w:hyperlink r:id="rId46">
        <w:r>
          <w:rPr>
            <w:rFonts w:eastAsia="helvetica neue" w:cs="helvetica neue" w:ascii="helvetica neue" w:hAnsi="helvetica neue"/>
            <w:color w:val="#000"/>
            <w:sz w:val="18"/>
            <w:u w:val="single"/>
          </w:rPr>
          <w:t xml:space="preserve">https://www.annualdialysisconference.org/wp-content/uploads/2025/03/Schaeffer-ADC-2025-RO-presentation.pdf</w:t>
        </w:r>
      </w:hyperlink>
      <w:r>
        <w:rPr>
          <w:rFonts w:eastAsia="georgia" w:cs="georgia" w:ascii="georgia" w:hAnsi="georgia"/>
          <w:color w:val="000000"/>
          <w:sz w:val="18"/>
        </w:rPr>
        <w:t xml:space="preserve"> </w:t>
      </w:r>
    </w:p>
    <w:bookmarkStart w:id="209" w:name="fn42"/>
    <w:bookmarkEnd w:id="209"/>
    <w:p>
      <w:pPr>
        <w:numPr>
          <w:ilvl w:val="0"/>
          <w:numId w:val="17"/>
        </w:numPr>
        <w:spacing w:line="360" w:after="210" w:lineRule="auto"/>
      </w:pPr>
      <w:hyperlink r:id="rId47">
        <w:r>
          <w:rPr>
            <w:rFonts w:eastAsia="helvetica neue" w:cs="helvetica neue" w:ascii="helvetica neue" w:hAnsi="helvetica neue"/>
            <w:color w:val="#000"/>
            <w:sz w:val="18"/>
            <w:u w:val="single"/>
          </w:rPr>
          <w:t xml:space="preserve">https://www.agence-biomedecine.fr/IMG/pdf/rapport_rhone_alpes_rein_2022.pdf</w:t>
        </w:r>
      </w:hyperlink>
      <w:r>
        <w:rPr>
          <w:rFonts w:eastAsia="georgia" w:cs="georgia" w:ascii="georgia" w:hAnsi="georgia"/>
          <w:color w:val="000000"/>
          <w:sz w:val="18"/>
        </w:rPr>
        <w:t xml:space="preserve"> </w:t>
      </w:r>
    </w:p>
    <w:bookmarkStart w:id="210" w:name="fn43"/>
    <w:bookmarkEnd w:id="210"/>
    <w:p>
      <w:pPr>
        <w:numPr>
          <w:ilvl w:val="0"/>
          <w:numId w:val="17"/>
        </w:numPr>
        <w:spacing w:line="360" w:after="210" w:lineRule="auto"/>
      </w:pPr>
      <w:hyperlink r:id="rId48">
        <w:r>
          <w:rPr>
            <w:rFonts w:eastAsia="helvetica neue" w:cs="helvetica neue" w:ascii="helvetica neue" w:hAnsi="helvetica neue"/>
            <w:color w:val="#000"/>
            <w:sz w:val="18"/>
            <w:u w:val="single"/>
          </w:rPr>
          <w:t xml:space="preserve">https://academic.oup.com/ndt/article-abstract/21/2/411/1850675</w:t>
        </w:r>
      </w:hyperlink>
      <w:r>
        <w:rPr>
          <w:rFonts w:eastAsia="georgia" w:cs="georgia" w:ascii="georgia" w:hAnsi="georgia"/>
          <w:color w:val="000000"/>
          <w:sz w:val="18"/>
        </w:rPr>
        <w:t xml:space="preserve"> </w:t>
      </w:r>
    </w:p>
    <w:bookmarkStart w:id="211" w:name="fn44"/>
    <w:bookmarkEnd w:id="211"/>
    <w:p>
      <w:pPr>
        <w:numPr>
          <w:ilvl w:val="0"/>
          <w:numId w:val="17"/>
        </w:numPr>
        <w:spacing w:line="360" w:after="210" w:lineRule="auto"/>
      </w:pPr>
      <w:hyperlink r:id="rId49">
        <w:r>
          <w:rPr>
            <w:rFonts w:eastAsia="helvetica neue" w:cs="helvetica neue" w:ascii="helvetica neue" w:hAnsi="helvetica neue"/>
            <w:color w:val="#000"/>
            <w:sz w:val="18"/>
            <w:u w:val="single"/>
          </w:rPr>
          <w:t xml:space="preserve">https://renaloo.com/wp-content/uploads/2023/09/RapportdActivite2022_Renaloo.pdf</w:t>
        </w:r>
      </w:hyperlink>
      <w:r>
        <w:rPr>
          <w:rFonts w:eastAsia="georgia" w:cs="georgia" w:ascii="georgia" w:hAnsi="georgia"/>
          <w:color w:val="000000"/>
          <w:sz w:val="18"/>
        </w:rPr>
        <w:t xml:space="preserve"> </w:t>
      </w:r>
    </w:p>
    <w:bookmarkStart w:id="212" w:name="fn45"/>
    <w:bookmarkEnd w:id="212"/>
    <w:p>
      <w:pPr>
        <w:numPr>
          <w:ilvl w:val="0"/>
          <w:numId w:val="17"/>
        </w:numPr>
        <w:spacing w:line="360" w:after="210" w:lineRule="auto"/>
      </w:pPr>
      <w:hyperlink r:id="rId50">
        <w:r>
          <w:rPr>
            <w:rFonts w:eastAsia="helvetica neue" w:cs="helvetica neue" w:ascii="helvetica neue" w:hAnsi="helvetica neue"/>
            <w:color w:val="#000"/>
            <w:sz w:val="18"/>
            <w:u w:val="single"/>
          </w:rPr>
          <w:t xml:space="preserve">https://pmc.ncbi.nlm.nih.gov/articles/PMC10768769/</w:t>
        </w:r>
      </w:hyperlink>
      <w:r>
        <w:rPr>
          <w:rFonts w:eastAsia="georgia" w:cs="georgia" w:ascii="georgia" w:hAnsi="georgia"/>
          <w:color w:val="000000"/>
          <w:sz w:val="18"/>
        </w:rPr>
        <w:t xml:space="preserve"> </w:t>
      </w:r>
    </w:p>
    <w:bookmarkStart w:id="213" w:name="fn46"/>
    <w:bookmarkEnd w:id="213"/>
    <w:p>
      <w:pPr>
        <w:numPr>
          <w:ilvl w:val="0"/>
          <w:numId w:val="17"/>
        </w:numPr>
        <w:spacing w:line="360" w:after="210" w:lineRule="auto"/>
      </w:pPr>
      <w:hyperlink r:id="rId51">
        <w:r>
          <w:rPr>
            <w:rFonts w:eastAsia="helvetica neue" w:cs="helvetica neue" w:ascii="helvetica neue" w:hAnsi="helvetica neue"/>
            <w:color w:val="#000"/>
            <w:sz w:val="18"/>
            <w:u w:val="single"/>
          </w:rPr>
          <w:t xml:space="preserve">https://fr.scribd.com/document/844044863/rapport-2022-20241128</w:t>
        </w:r>
      </w:hyperlink>
      <w:r>
        <w:rPr>
          <w:rFonts w:eastAsia="georgia" w:cs="georgia" w:ascii="georgia" w:hAnsi="georgia"/>
          <w:color w:val="000000"/>
          <w:sz w:val="18"/>
        </w:rPr>
        <w:t xml:space="preserve"> </w:t>
      </w:r>
    </w:p>
    <w:bookmarkStart w:id="214" w:name="fn47"/>
    <w:bookmarkEnd w:id="214"/>
    <w:p>
      <w:pPr>
        <w:numPr>
          <w:ilvl w:val="0"/>
          <w:numId w:val="17"/>
        </w:numPr>
        <w:spacing w:line="360" w:after="210" w:lineRule="auto"/>
      </w:pPr>
      <w:hyperlink r:id="rId52">
        <w:r>
          <w:rPr>
            <w:rFonts w:eastAsia="helvetica neue" w:cs="helvetica neue" w:ascii="helvetica neue" w:hAnsi="helvetica neue"/>
            <w:color w:val="#000"/>
            <w:sz w:val="18"/>
            <w:u w:val="single"/>
          </w:rPr>
          <w:t xml:space="preserve">https://u-bordeaux.hal.science/hal-05519625/document</w:t>
        </w:r>
      </w:hyperlink>
      <w:r>
        <w:rPr>
          <w:rFonts w:eastAsia="georgia" w:cs="georgia" w:ascii="georgia" w:hAnsi="georgia"/>
          <w:color w:val="000000"/>
          <w:sz w:val="18"/>
        </w:rPr>
        <w:t xml:space="preserve"> </w:t>
      </w:r>
    </w:p>
    <w:bookmarkStart w:id="215" w:name="fn48"/>
    <w:bookmarkEnd w:id="215"/>
    <w:p>
      <w:pPr>
        <w:numPr>
          <w:ilvl w:val="0"/>
          <w:numId w:val="17"/>
        </w:numPr>
        <w:spacing w:line="360" w:after="210" w:lineRule="auto"/>
      </w:pPr>
      <w:hyperlink r:id="rId53">
        <w:r>
          <w:rPr>
            <w:rFonts w:eastAsia="helvetica neue" w:cs="helvetica neue" w:ascii="helvetica neue" w:hAnsi="helvetica neue"/>
            <w:color w:val="#000"/>
            <w:sz w:val="18"/>
            <w:u w:val="single"/>
          </w:rPr>
          <w:t xml:space="preserve">https://statistiques.msa.fr/wp-content/uploads/2025/03/8_Insuffisance-renale-chronique-terminale.pdf</w:t>
        </w:r>
      </w:hyperlink>
      <w:r>
        <w:rPr>
          <w:rFonts w:eastAsia="georgia" w:cs="georgia" w:ascii="georgia" w:hAnsi="georgia"/>
          <w:color w:val="000000"/>
          <w:sz w:val="18"/>
        </w:rPr>
        <w:t xml:space="preserve"> </w:t>
      </w:r>
    </w:p>
    <w:bookmarkStart w:id="216" w:name="fn49"/>
    <w:bookmarkEnd w:id="216"/>
    <w:p>
      <w:pPr>
        <w:numPr>
          <w:ilvl w:val="0"/>
          <w:numId w:val="17"/>
        </w:numPr>
        <w:spacing w:line="360" w:after="210" w:lineRule="auto"/>
      </w:pPr>
      <w:hyperlink r:id="rId54">
        <w:r>
          <w:rPr>
            <w:rFonts w:eastAsia="helvetica neue" w:cs="helvetica neue" w:ascii="helvetica neue" w:hAnsi="helvetica neue"/>
            <w:color w:val="#000"/>
            <w:sz w:val="18"/>
            <w:u w:val="single"/>
          </w:rPr>
          <w:t xml:space="preserve">https://www.frontiersin.org/journals/nephrology/articles/10.3389/fneph.2022.1026874/full</w:t>
        </w:r>
      </w:hyperlink>
      <w:r>
        <w:rPr>
          <w:rFonts w:eastAsia="georgia" w:cs="georgia" w:ascii="georgia" w:hAnsi="georgia"/>
          <w:color w:val="000000"/>
          <w:sz w:val="18"/>
        </w:rPr>
        <w:t xml:space="preserve"> </w:t>
      </w:r>
    </w:p>
    <w:bookmarkStart w:id="217" w:name="fn50"/>
    <w:bookmarkEnd w:id="217"/>
    <w:p>
      <w:pPr>
        <w:numPr>
          <w:ilvl w:val="0"/>
          <w:numId w:val="17"/>
        </w:numPr>
        <w:spacing w:line="360" w:after="210" w:lineRule="auto"/>
      </w:pPr>
      <w:hyperlink r:id="rId55">
        <w:r>
          <w:rPr>
            <w:rFonts w:eastAsia="helvetica neue" w:cs="helvetica neue" w:ascii="helvetica neue" w:hAnsi="helvetica neue"/>
            <w:color w:val="#000"/>
            <w:sz w:val="18"/>
            <w:u w:val="single"/>
          </w:rPr>
          <w:t xml:space="preserve">https://bdd.rdplf.org/index.php/bdd/article/download/77293/68463</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abstractNum>
  <w:abstractNum w:abstractNumId="1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9d605043fcf890d296cdb6d28b4ca21e7b80541.png" TargetMode="Internal"/><Relationship Id="rId6" Type="http://schemas.openxmlformats.org/officeDocument/2006/relationships/hyperlink" Target="https://www.agence-biomedecine.fr/IMG/pdf/rapport_2022_-_20241128.pdf" TargetMode="External"/><Relationship Id="rId7" Type="http://schemas.openxmlformats.org/officeDocument/2006/relationships/hyperlink" Target="https://renaloo.com/rapport-rein-qui-sont-les-patients-dialyses-et-greffes-en-france-et-comment-sont-ils-soignes/" TargetMode="External"/><Relationship Id="rId8" Type="http://schemas.openxmlformats.org/officeDocument/2006/relationships/hyperlink" Target="https://www.agence-biomedecine.fr/IMG/pdf/rapport_2022_-_202400905.pdf" TargetMode="External"/><Relationship Id="rId9" Type="http://schemas.openxmlformats.org/officeDocument/2006/relationships/hyperlink" Target="https://objectifreinsante.org/les-chiffres-cles-du-rein-en-france/" TargetMode="External"/><Relationship Id="rId10" Type="http://schemas.openxmlformats.org/officeDocument/2006/relationships/hyperlink" Target="https://www.francerein.org/actualites/les-chiffres-cles-de-la-maladie-renale/" TargetMode="External"/><Relationship Id="rId11" Type="http://schemas.openxmlformats.org/officeDocument/2006/relationships/hyperlink" Target="https://bulletin-usf.info/wp-content/uploads/2023/05/Water-implications-in-dialysis-therapy-threats-and-opportunities-to-reduce-water-consumption-a-call-for-the-planet.pdf" TargetMode="External"/><Relationship Id="rId12" Type="http://schemas.openxmlformats.org/officeDocument/2006/relationships/hyperlink" Target="https://www.isn-online.org/education/education-topics/hemodialysis/item/2281-reusing-and-recycling-dialysis-reverse-osmosis-system-reject-water/" TargetMode="External"/><Relationship Id="rId13" Type="http://schemas.openxmlformats.org/officeDocument/2006/relationships/hyperlink" Target="http://networks.sustainablehealthcare.org.uk/sites/default/files/resources/case_study_conserving_water_in_haemodialysis_v1.0_1_0.pdf" TargetMode="External"/><Relationship Id="rId14" Type="http://schemas.openxmlformats.org/officeDocument/2006/relationships/hyperlink" Target="https://map.sustainablehealthcare.org.uk/east-kent-hospitals-university-nhs-trust/conserving-water-haemodialysis-case-study-and-how-guide" TargetMode="External"/><Relationship Id="rId15" Type="http://schemas.openxmlformats.org/officeDocument/2006/relationships/hyperlink" Target="https://frenchhealthcare.com/expertises/france-hospital-ecosystem/" TargetMode="External"/><Relationship Id="rId16" Type="http://schemas.openxmlformats.org/officeDocument/2006/relationships/hyperlink" Target="https://academic.oup.com/ckj/article/18/2/sfae407/7929886" TargetMode="External"/><Relationship Id="rId17" Type="http://schemas.openxmlformats.org/officeDocument/2006/relationships/hyperlink" Target="https://journals.plos.org/plosone/article?id=10.1371%2Fjournal.pone.0276068" TargetMode="External"/><Relationship Id="rId18" Type="http://schemas.openxmlformats.org/officeDocument/2006/relationships/hyperlink" Target="https://production.networks.sustainablehealthcare.org.uk/resources/case-study-reuse-ro-reject-water-two-haemodialysis-units" TargetMode="External"/><Relationship Id="rId19" Type="http://schemas.openxmlformats.org/officeDocument/2006/relationships/hyperlink" Target="https://www.springermedizin.de/hemodialysis-water-reuse-within-a-circular-economy-approach-what/27169606" TargetMode="External"/><Relationship Id="rId20" Type="http://schemas.openxmlformats.org/officeDocument/2006/relationships/hyperlink" Target="https://www.aiche.org/sites/default/files/community/173431/aiche-community-site-event/205166/mihelcic-3.2.pdf" TargetMode="External"/><Relationship Id="rId21" Type="http://schemas.openxmlformats.org/officeDocument/2006/relationships/hyperlink" Target="https://drees.solidarites-sante.gouv.fr/sites/default/files/2025-11/ER1353%20-%20SAE%20-%20MEL2.pdf" TargetMode="External"/><Relationship Id="rId22" Type="http://schemas.openxmlformats.org/officeDocument/2006/relationships/hyperlink" Target="https://pmc.ncbi.nlm.nih.gov/articles/PMC8967594/pdf/KID.0003722021.pdf" TargetMode="External"/><Relationship Id="rId23" Type="http://schemas.openxmlformats.org/officeDocument/2006/relationships/hyperlink" Target="https://networks.sustainablehealthcare.org.uk/sites/default/files/2023-04/Water%20implications%20in%20Dialysis%20Therapy,%20Threats%20and%20Opportunities%20to%20Reduce%20Water.pdf" TargetMode="External"/><Relationship Id="rId24" Type="http://schemas.openxmlformats.org/officeDocument/2006/relationships/hyperlink" Target="https://www.deswater.com/DWT_articles/vol_193_papers/193_2020_274.pdf" TargetMode="External"/><Relationship Id="rId25" Type="http://schemas.openxmlformats.org/officeDocument/2006/relationships/hyperlink" Target="https://pmc.ncbi.nlm.nih.gov/articles/PMC11519137/" TargetMode="External"/><Relationship Id="rId26" Type="http://schemas.openxmlformats.org/officeDocument/2006/relationships/hyperlink" Target="https://d-nb.info/1338545728/34" TargetMode="External"/><Relationship Id="rId27" Type="http://schemas.openxmlformats.org/officeDocument/2006/relationships/hyperlink" Target="https://www.academia.edu/47824919/Wastewater_reuse_from_hemodialysis_section_by_combination_of_coagulation_and_ultrafiltration_processes_case_study_in_Saveh_Iran_Hospital" TargetMode="External"/><Relationship Id="rId28" Type="http://schemas.openxmlformats.org/officeDocument/2006/relationships/hyperlink" Target="https://fundacionrenal.com/wp-content/uploads/2025/02/sfae407-1.pdf" TargetMode="External"/><Relationship Id="rId29" Type="http://schemas.openxmlformats.org/officeDocument/2006/relationships/hyperlink" Target="https://www.ccomptes.fr/sites/default/files/2024-02/20231012-summary-Public-and-private-acute-hospitals-between-competition-and-cooperation.pdf" TargetMode="External"/><Relationship Id="rId30" Type="http://schemas.openxmlformats.org/officeDocument/2006/relationships/hyperlink" Target="https://drees.solidarites-sante.gouv.fr/sites/default/files/2025-07/ES%202025%20-%20Vue%20d'ensemble.pdf" TargetMode="External"/><Relationship Id="rId31" Type="http://schemas.openxmlformats.org/officeDocument/2006/relationships/hyperlink" Target="https://www.bdd.rdplf.org/index.php/bdd/article/download/79033/69973/149143" TargetMode="External"/><Relationship Id="rId32" Type="http://schemas.openxmlformats.org/officeDocument/2006/relationships/hyperlink" Target="https://www.francerein.org/wp-content/uploads/2024/10/rapport_rein_v2022.pdf" TargetMode="External"/><Relationship Id="rId33" Type="http://schemas.openxmlformats.org/officeDocument/2006/relationships/hyperlink" Target="https://healthsystemsfacts.org/france/france-health-system-physical-resources-and-utilization/" TargetMode="External"/><Relationship Id="rId34" Type="http://schemas.openxmlformats.org/officeDocument/2006/relationships/hyperlink" Target="https://pmc.ncbi.nlm.nih.gov/articles/PMC8967594/" TargetMode="External"/><Relationship Id="rId35" Type="http://schemas.openxmlformats.org/officeDocument/2006/relationships/hyperlink" Target="https://karger.com/bpu/article/54/7/447/926560/Perspectives-on-Water-Utilization-in-Hemodialysis" TargetMode="External"/><Relationship Id="rId36" Type="http://schemas.openxmlformats.org/officeDocument/2006/relationships/hyperlink" Target="https://bdd.rdplf.org/index.php/bdd/article/download/77293/68473/145043" TargetMode="External"/><Relationship Id="rId37" Type="http://schemas.openxmlformats.org/officeDocument/2006/relationships/hyperlink" Target="https://www.sfndt.org/files/medias/documents/livre-blanc-dialyse-a-domicile-190528.pdf" TargetMode="External"/><Relationship Id="rId38" Type="http://schemas.openxmlformats.org/officeDocument/2006/relationships/hyperlink" Target="https://www.ncbi.nlm.nih.gov/pmc/articles/PMC4881796/" TargetMode="External"/><Relationship Id="rId39" Type="http://schemas.openxmlformats.org/officeDocument/2006/relationships/hyperlink" Target="https://bdd.rdplf.org/index.php/bdd/article/view/79033" TargetMode="External"/><Relationship Id="rId40" Type="http://schemas.openxmlformats.org/officeDocument/2006/relationships/hyperlink" Target="https://www.francerein.org/wp-content/uploads/2024/10/resultats-cles-du-rapport_rein_v2022.pdf" TargetMode="External"/><Relationship Id="rId41" Type="http://schemas.openxmlformats.org/officeDocument/2006/relationships/hyperlink" Target="https://www.theisn.org/wcn/wp-content/uploads/sites/8/2026/03/WCN26-AB-4496.pdf" TargetMode="External"/><Relationship Id="rId42" Type="http://schemas.openxmlformats.org/officeDocument/2006/relationships/hyperlink" Target="https://www.climatiq.io/data/emission-factor/884eec79-2ec7-4da4-bc6e-36499edfaf8a" TargetMode="External"/><Relationship Id="rId43" Type="http://schemas.openxmlformats.org/officeDocument/2006/relationships/hyperlink" Target="https://edepot.wur.nl/571197" TargetMode="External"/><Relationship Id="rId44" Type="http://schemas.openxmlformats.org/officeDocument/2006/relationships/hyperlink" Target="https://uwe-repository.worktribe.com/index.php/preview/872128/1-s2.0-S0959652617328718-main.pdf" TargetMode="External"/><Relationship Id="rId45" Type="http://schemas.openxmlformats.org/officeDocument/2006/relationships/hyperlink" Target="https://www.statistiques.developpement-durable.gouv.fr/media/631/download?inline" TargetMode="External"/><Relationship Id="rId46" Type="http://schemas.openxmlformats.org/officeDocument/2006/relationships/hyperlink" Target="https://www.annualdialysisconference.org/wp-content/uploads/2025/03/Schaeffer-ADC-2025-RO-presentation.pdf" TargetMode="External"/><Relationship Id="rId47" Type="http://schemas.openxmlformats.org/officeDocument/2006/relationships/hyperlink" Target="https://www.agence-biomedecine.fr/IMG/pdf/rapport_rhone_alpes_rein_2022.pdf" TargetMode="External"/><Relationship Id="rId48" Type="http://schemas.openxmlformats.org/officeDocument/2006/relationships/hyperlink" Target="https://academic.oup.com/ndt/article-abstract/21/2/411/1850675" TargetMode="External"/><Relationship Id="rId49" Type="http://schemas.openxmlformats.org/officeDocument/2006/relationships/hyperlink" Target="https://renaloo.com/wp-content/uploads/2023/09/RapportdActivite2022_Renaloo.pdf" TargetMode="External"/><Relationship Id="rId50" Type="http://schemas.openxmlformats.org/officeDocument/2006/relationships/hyperlink" Target="https://pmc.ncbi.nlm.nih.gov/articles/PMC10768769/" TargetMode="External"/><Relationship Id="rId51" Type="http://schemas.openxmlformats.org/officeDocument/2006/relationships/hyperlink" Target="https://fr.scribd.com/document/844044863/rapport-2022-20241128" TargetMode="External"/><Relationship Id="rId52" Type="http://schemas.openxmlformats.org/officeDocument/2006/relationships/hyperlink" Target="https://u-bordeaux.hal.science/hal-05519625/document" TargetMode="External"/><Relationship Id="rId53" Type="http://schemas.openxmlformats.org/officeDocument/2006/relationships/hyperlink" Target="https://statistiques.msa.fr/wp-content/uploads/2025/03/8_Insuffisance-renale-chronique-terminale.pdf" TargetMode="External"/><Relationship Id="rId54" Type="http://schemas.openxmlformats.org/officeDocument/2006/relationships/hyperlink" Target="https://www.frontiersin.org/journals/nephrology/articles/10.3389/fneph.2022.1026874/full" TargetMode="External"/><Relationship Id="rId55" Type="http://schemas.openxmlformats.org/officeDocument/2006/relationships/hyperlink" Target="https://bdd.rdplf.org/index.php/bdd/article/download/77293/68463"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2026-04-18T15:58:03.243Z</dcterms:created>
  <dcterms:modified xsi:type="dcterms:W3CDTF">2026-04-18T15:58:03.243Z</dcterms:modified>
</cp:coreProperties>
</file>