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1B4F72"/>
          <w:sz w:val="40"/>
          <w:szCs w:val="40"/>
        </w:rPr>
        <w:t xml:space="preserve">AI PATENT LANGUAGE GUIDE</w:t>
      </w:r>
    </w:p>
    <w:p>
      <w:pPr>
        <w:pBdr>
          <w:bottom w:val="single" w:color="85C1E9" w:sz="6" w:space="8"/>
        </w:pBdr>
        <w:spacing w:after="60"/>
        <w:jc w:val="center"/>
      </w:pPr>
      <w:r>
        <w:rPr>
          <w:rFonts w:ascii="Arial" w:cs="Arial" w:eastAsia="Arial" w:hAnsi="Arial"/>
          <w:color w:val="666666"/>
          <w:sz w:val="24"/>
          <w:szCs w:val="24"/>
        </w:rPr>
        <w:t xml:space="preserve">Compact Reference for Claude.ai Patent Drafting</w:t>
      </w:r>
    </w:p>
    <w:p>
      <w:pPr>
        <w:spacing w:after="300"/>
      </w:pPr>
    </w:p>
    <w:p>
      <w:pPr>
        <w:spacing w:after="60"/>
        <w:jc w:val="center"/>
      </w:pPr>
      <w:r>
        <w:rPr>
          <w:rFonts w:ascii="Arial" w:cs="Arial" w:eastAsia="Arial" w:hAnsi="Arial"/>
          <w:color w:val="666666"/>
          <w:sz w:val="16"/>
          <w:szCs w:val="16"/>
        </w:rPr>
        <w:t xml:space="preserve">Synthesized from:</w:t>
      </w:r>
    </w:p>
    <w:p>
      <w:pPr>
        <w:spacing w:after="40"/>
        <w:jc w:val="center"/>
      </w:pPr>
      <w:r>
        <w:rPr>
          <w:rFonts w:ascii="Arial" w:cs="Arial" w:eastAsia="Arial" w:hAnsi="Arial"/>
          <w:color w:val="000000"/>
          <w:sz w:val="16"/>
          <w:szCs w:val="16"/>
        </w:rPr>
        <w:t xml:space="preserve">Patent Language Analysis Report (39 USPTO Filings, ~315,700 words)</w:t>
      </w:r>
    </w:p>
    <w:p>
      <w:pPr>
        <w:spacing w:after="40"/>
        <w:jc w:val="center"/>
      </w:pPr>
      <w:r>
        <w:rPr>
          <w:rFonts w:ascii="Arial" w:cs="Arial" w:eastAsia="Arial" w:hAnsi="Arial"/>
          <w:color w:val="000000"/>
          <w:sz w:val="16"/>
          <w:szCs w:val="16"/>
        </w:rPr>
        <w:t xml:space="preserve">AI Patent Drafting Consolidated Recommendations</w:t>
      </w:r>
    </w:p>
    <w:p>
      <w:pPr>
        <w:spacing w:after="40"/>
        <w:jc w:val="center"/>
      </w:pPr>
      <w:r>
        <w:rPr>
          <w:rFonts w:ascii="Arial" w:cs="Arial" w:eastAsia="Arial" w:hAnsi="Arial"/>
          <w:color w:val="000000"/>
          <w:sz w:val="16"/>
          <w:szCs w:val="16"/>
        </w:rPr>
        <w:t xml:space="preserve">AI Patent Drafting Analysis &amp; Recommendations</w:t>
      </w:r>
    </w:p>
    <w:p>
      <w:pPr>
        <w:spacing w:after="200"/>
      </w:pPr>
    </w:p>
    <w:p>
      <w:pPr>
        <w:spacing w:after="40"/>
        <w:jc w:val="center"/>
      </w:pPr>
      <w:r>
        <w:rPr>
          <w:rFonts w:ascii="Arial" w:cs="Arial" w:eastAsia="Arial" w:hAnsi="Arial"/>
          <w:color w:val="666666"/>
          <w:sz w:val="16"/>
          <w:szCs w:val="16"/>
        </w:rPr>
        <w:t xml:space="preserve">Domain: Advanced Materials, Nuclear Fusion, Superconductors</w:t>
      </w:r>
    </w:p>
    <w:p>
      <w:pPr>
        <w:spacing w:after="40"/>
        <w:jc w:val="center"/>
      </w:pPr>
      <w:r>
        <w:rPr>
          <w:rFonts w:ascii="Arial" w:cs="Arial" w:eastAsia="Arial" w:hAnsi="Arial"/>
          <w:color w:val="666666"/>
          <w:sz w:val="16"/>
          <w:szCs w:val="16"/>
        </w:rPr>
        <w:t xml:space="preserve">Benchmarked Against: CFS, Tokamak Energy, ITER/CEA, IEE-CAS, SUNY, IHI Corp.</w:t>
      </w:r>
    </w:p>
    <w:p>
      <w:pPr>
        <w:spacing w:after="40"/>
        <w:jc w:val="center"/>
      </w:pPr>
      <w:r>
        <w:rPr>
          <w:rFonts w:ascii="Arial" w:cs="Arial" w:eastAsia="Arial" w:hAnsi="Arial"/>
          <w:b/>
          <w:bCs/>
          <w:color w:val="1B4F72"/>
          <w:sz w:val="16"/>
          <w:szCs w:val="16"/>
        </w:rPr>
        <w:t xml:space="preserve">CONFIDENTIAL — March 2026</w:t>
      </w:r>
    </w:p>
    <w:p>
      <w:r>
        <w:br w:type="page"/>
      </w:r>
    </w:p>
    <w:p>
      <w:pPr>
        <w:pStyle w:val="Heading1"/>
      </w:pPr>
      <w:r>
        <w:rPr>
          <w:rFonts w:ascii="Arial" w:cs="Arial" w:eastAsia="Arial" w:hAnsi="Arial"/>
          <w:b/>
          <w:bCs/>
          <w:color w:val="1B4F72"/>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Purpose &amp; Scope</w:t>
      </w:r>
    </w:p>
    <w:p>
      <w:pPr>
        <w:spacing w:after="120" w:line="276"/>
      </w:pPr>
      <w:r>
        <w:rPr>
          <w:rFonts w:ascii="Arial" w:cs="Arial" w:eastAsia="Arial" w:hAnsi="Arial"/>
          <w:color w:val="000000"/>
          <w:sz w:val="16"/>
          <w:szCs w:val="16"/>
        </w:rPr>
        <w:t xml:space="preserve">This guide is a compact, actionable reference for AI-assisted patent drafting using Claude.ai. It consolidates language rules, structural constraints, and tone calibration derived from analysis of 39 USPTO patent filings (~315,700 words) in advanced materials and nuclear fusion technology, benchmarked against peer patents from leading institutions.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single" w:color="1B4F72" w:sz="6"/>
              <w:bottom w:val="single" w:color="1B4F72" w:sz="6"/>
              <w:right w:val="single" w:color="1B4F72" w:sz="6"/>
            </w:tcBorders>
            <w:shd w:fill="D6EAF8" w:val="clear"/>
            <w:tcMar>
              <w:top w:type="dxa" w:w="100"/>
              <w:left w:type="dxa" w:w="160"/>
              <w:bottom w:type="dxa" w:w="100"/>
              <w:right w:type="dxa" w:w="160"/>
            </w:tcMar>
          </w:tcPr>
          <w:p>
            <w:pPr>
              <w:spacing w:after="60"/>
            </w:pPr>
            <w:r>
              <w:rPr>
                <w:rFonts w:ascii="Arial" w:cs="Arial" w:eastAsia="Arial" w:hAnsi="Arial"/>
                <w:b/>
                <w:bCs/>
                <w:color w:val="1B4F72"/>
                <w:sz w:val="16"/>
                <w:szCs w:val="16"/>
              </w:rPr>
              <w:t xml:space="preserve">KEY PRINCIPLE</w:t>
            </w:r>
          </w:p>
          <w:p>
            <w:pPr>
              <w:spacing w:after="0" w:line="264"/>
            </w:pPr>
            <w:r>
              <w:rPr>
                <w:rFonts w:ascii="Arial" w:cs="Arial" w:eastAsia="Arial" w:hAnsi="Arial"/>
                <w:color w:val="333333"/>
                <w:sz w:val="16"/>
                <w:szCs w:val="16"/>
              </w:rPr>
              <w:t xml:space="preserve">A strong patent specification reads as if a cautious senior patent prosecutor will revise it. The AI’s role is technical disclosure, not advocacy, persuasion, or strategy communication. Present facts from which conclusions follow—never tell the reader what to think about the invention.</w:t>
            </w:r>
          </w:p>
        </w:tc>
      </w:tr>
    </w:tbl>
    <w:p>
      <w:pPr>
        <w:spacing w:after="120"/>
      </w:pPr>
    </w:p>
    <w:p>
      <w:pPr>
        <w:pStyle w:val="Heading1"/>
      </w:pPr>
      <w:r>
        <w:rPr>
          <w:rFonts w:ascii="Arial" w:cs="Arial" w:eastAsia="Arial" w:hAnsi="Arial"/>
        </w:rPr>
        <w:t xml:space="preserve">2. Non-Negotiable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6"/>
              <w:left w:val="single" w:color="E74C3C" w:sz="6"/>
              <w:bottom w:val="single" w:color="E74C3C" w:sz="6"/>
              <w:right w:val="single" w:color="E74C3C" w:sz="6"/>
            </w:tcBorders>
            <w:shd w:fill="FADBD8" w:val="clear"/>
            <w:tcMar>
              <w:top w:type="dxa" w:w="100"/>
              <w:left w:type="dxa" w:w="160"/>
              <w:bottom w:type="dxa" w:w="100"/>
              <w:right w:type="dxa" w:w="160"/>
            </w:tcMar>
          </w:tcPr>
          <w:p>
            <w:pPr>
              <w:spacing w:after="60"/>
            </w:pPr>
            <w:r>
              <w:rPr>
                <w:rFonts w:ascii="Arial" w:cs="Arial" w:eastAsia="Arial" w:hAnsi="Arial"/>
                <w:b/>
                <w:bCs/>
                <w:color w:val="E74C3C"/>
                <w:sz w:val="16"/>
                <w:szCs w:val="16"/>
              </w:rPr>
              <w:t xml:space="preserve">RISK: Violation of any rule below introduces prosecution risk, reduces enforceability, or may undermine examiner confidence.</w:t>
            </w:r>
          </w:p>
          <w:p>
            <w:pPr>
              <w:spacing w:after="0" w:line="264"/>
            </w:pPr>
            <w:r>
              <w:rPr>
                <w:rFonts w:ascii="Arial" w:cs="Arial" w:eastAsia="Arial" w:hAnsi="Arial"/>
                <w:color w:val="333333"/>
                <w:sz w:val="16"/>
                <w:szCs w:val="16"/>
              </w:rPr>
              <w:t xml:space="preserve">These rules are derived from the most severe and consistent deficiencies identified across all analyses. Each has been validated against peer patent conventions from CFS, Tokamak Energy, ITER/CEA, and others.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Rule</w:t>
            </w:r>
          </w:p>
        </w:tc>
        <w:tc>
          <w:tcPr>
            <w:tcW w:type="dxa" w:w="7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4"/>
                <w:szCs w:val="14"/>
              </w:rPr>
              <w:t xml:space="preserve">Specification ≠ Strategy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4"/>
                <w:szCs w:val="14"/>
              </w:rPr>
              <w:t xml:space="preserve">The patent specification must contain only physical structure, manufacturing methods, usage, embodiments, process parameters, material alternatives, operating ranges, experimental examples, and definitions. Never include IP strategy, design-around analysis, competitive moat analysis, claim breadth rationale, prosecution arguments, executive briefings, or internal notes in the patent text. Generate these as separate deliverables.</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color w:val="000000"/>
                <w:sz w:val="14"/>
                <w:szCs w:val="14"/>
              </w:rPr>
              <w:t xml:space="preserve">No Patent Profanity</w:t>
            </w:r>
          </w:p>
        </w:tc>
        <w:tc>
          <w:tcPr>
            <w:tcW w:type="dxa" w:w="71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4"/>
                <w:szCs w:val="14"/>
              </w:rPr>
              <w:t xml:space="preserve">Never use absolute, restrictive, or categorical language (see Blocklist, Section 3). These terms create prosecution history estoppel and enable competitors to design around the patent by altering the feature characterized as 'critical,' 'essential,' etc.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4"/>
                <w:szCs w:val="14"/>
              </w:rPr>
              <w:t xml:space="preserve">No Argumentative Prior Art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4"/>
                <w:szCs w:val="14"/>
              </w:rPr>
              <w:t xml:space="preserve">Never attack prior art with phrases like 'the prior art fails,' 'no prior art exists,' or 'fundamentally limited.' Use neutral characterizations: 'existing approaches have not addressed,' 'the art does not disclose.' Never name competitors in the Background section.</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color w:val="000000"/>
                <w:sz w:val="14"/>
                <w:szCs w:val="14"/>
              </w:rPr>
              <w:t xml:space="preserve">Single Register Throughout</w:t>
            </w:r>
          </w:p>
        </w:tc>
        <w:tc>
          <w:tcPr>
            <w:tcW w:type="dxa" w:w="71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4"/>
                <w:szCs w:val="14"/>
              </w:rPr>
              <w:t xml:space="preserve">Maintain a strictly clinical, objective, neutral-technical tone. Never shift to advocacy, marketing, pedagogical explanation, or business strategy. No metaphors, no colloquialisms, no emotive descriptors, no pitch-deck headers.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4"/>
                <w:szCs w:val="14"/>
              </w:rPr>
              <w:t xml:space="preserve">Prophetic ≠ Working</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4"/>
                <w:szCs w:val="14"/>
              </w:rPr>
              <w:t xml:space="preserve">Working examples: past tense ('was milled,' 'was heated'). Prophetic examples: present tense ('is formed,' 'is expected to exhibit'). Never label examples as 'Calculated,' 'Theoretical,' or 'Not Yet Verified.' Include uncertainty bounds for prophetic predictions.</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color w:val="000000"/>
                <w:sz w:val="14"/>
                <w:szCs w:val="14"/>
              </w:rPr>
              <w:t xml:space="preserve">Claims: One Sentence Each</w:t>
            </w:r>
          </w:p>
        </w:tc>
        <w:tc>
          <w:tcPr>
            <w:tcW w:type="dxa" w:w="71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4"/>
                <w:szCs w:val="14"/>
              </w:rPr>
              <w:t xml:space="preserve">Every claim must form exactly one grammatically correct continuous sentence ending in a period. Use 'a/an' to introduce new elements; 'the/said' to refer back. Sequential numbering only (1, 2, 3...), no alphanumeric suffixes.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4"/>
                <w:szCs w:val="14"/>
              </w:rPr>
              <w:t xml:space="preserve">No Placeholders or Artifacts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4"/>
                <w:szCs w:val="14"/>
              </w:rPr>
              <w:t xml:space="preserve">Never output raw prompt artifacts ([FIGURE PLACEHOLDER], [ATTORNEY DOCKET], [INVENTOR NAME]). Draft seamless descriptive text. Never generate a heading without body text. Resolve all template fields before output.</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color w:val="000000"/>
                <w:sz w:val="14"/>
                <w:szCs w:val="14"/>
              </w:rPr>
              <w:t xml:space="preserve">Proper Scientific Notation</w:t>
            </w:r>
          </w:p>
        </w:tc>
        <w:tc>
          <w:tcPr>
            <w:tcW w:type="dxa" w:w="71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4"/>
                <w:szCs w:val="14"/>
              </w:rPr>
              <w:t xml:space="preserve">Use standard Unicode or LaTeX notation (e.g., 10⁵ A/cm², μ₀H_c2(0)). Never spell out mathematical expressions phonetically.</w:t>
            </w:r>
          </w:p>
        </w:tc>
      </w:tr>
    </w:tbl>
    <w:p>
      <w:r>
        <w:br w:type="page"/>
      </w:r>
    </w:p>
    <w:p>
      <w:pPr>
        <w:pStyle w:val="Heading1"/>
      </w:pPr>
      <w:r>
        <w:rPr>
          <w:rFonts w:ascii="Arial" w:cs="Arial" w:eastAsia="Arial" w:hAnsi="Arial"/>
        </w:rPr>
        <w:t xml:space="preserve">3. Prohibited Terms Blocklist</w:t>
      </w:r>
    </w:p>
    <w:p>
      <w:pPr>
        <w:spacing w:after="120" w:line="276"/>
      </w:pPr>
      <w:r>
        <w:rPr>
          <w:rFonts w:ascii="Arial" w:cs="Arial" w:eastAsia="Arial" w:hAnsi="Arial"/>
          <w:color w:val="000000"/>
          <w:sz w:val="16"/>
          <w:szCs w:val="16"/>
        </w:rPr>
        <w:t xml:space="preserve">The following terms and phrases must be automatically flagged and replaced. They constitute 'patent profanity'—absolute or categorical language that can be exploited by examiners or opposing counsel to narrow claim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single" w:color="F39C12" w:sz="6"/>
              <w:bottom w:val="single" w:color="F39C12" w:sz="6"/>
              <w:right w:val="single" w:color="F39C12" w:sz="6"/>
            </w:tcBorders>
            <w:shd w:fill="FEF9E7" w:val="clear"/>
            <w:tcMar>
              <w:top w:type="dxa" w:w="100"/>
              <w:left w:type="dxa" w:w="160"/>
              <w:bottom w:type="dxa" w:w="100"/>
              <w:right w:type="dxa" w:w="160"/>
            </w:tcMar>
          </w:tcPr>
          <w:p>
            <w:pPr>
              <w:spacing w:after="60"/>
            </w:pPr>
            <w:r>
              <w:rPr>
                <w:rFonts w:ascii="Arial" w:cs="Arial" w:eastAsia="Arial" w:hAnsi="Arial"/>
                <w:b/>
                <w:bCs/>
                <w:color w:val="F39C12"/>
                <w:sz w:val="16"/>
                <w:szCs w:val="16"/>
              </w:rPr>
              <w:t xml:space="preserve">IMPORTANT: Context-Dependent Terms</w:t>
            </w:r>
          </w:p>
          <w:p>
            <w:pPr>
              <w:spacing w:after="0" w:line="264"/>
            </w:pPr>
            <w:r>
              <w:rPr>
                <w:rFonts w:ascii="Arial" w:cs="Arial" w:eastAsia="Arial" w:hAnsi="Arial"/>
                <w:color w:val="333333"/>
                <w:sz w:val="16"/>
                <w:szCs w:val="16"/>
              </w:rPr>
              <w:t xml:space="preserve">Terms like 'critical' are legitimate when used as defined scientific terms (e.g., 'critical temperature,' 'critical current density') but problematic when used as general adjectives of degree (e.g., 'critical advantage'). The blocklist should trigger only for non-technical uses.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Prohibited Term</w:t>
            </w:r>
          </w:p>
        </w:tc>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Replacement</w:t>
            </w:r>
          </w:p>
        </w:tc>
        <w:tc>
          <w:tcPr>
            <w:tcW w:type="dxa" w:w="4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critical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important / significant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Context-dependent: whitelist when used as a defined scientific term (e.g., 'critical temperature')</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only</w:t>
            </w:r>
          </w:p>
        </w:tc>
        <w:tc>
          <w:tcPr>
            <w:tcW w:type="dxa" w:w="2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in at least one embodiment</w:t>
            </w:r>
          </w:p>
        </w:tc>
        <w:tc>
          <w:tcPr>
            <w:tcW w:type="dxa" w:w="49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Review each instance for intentional vs. inadvertent restriction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requires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may employ / can utilize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must</w:t>
            </w:r>
          </w:p>
        </w:tc>
        <w:tc>
          <w:tcPr>
            <w:tcW w:type="dxa" w:w="2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may / is configured to</w:t>
            </w:r>
          </w:p>
        </w:tc>
        <w:tc>
          <w:tcPr>
            <w:tcW w:type="dxa" w:w="49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best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preferred / advantageous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optimal</w:t>
            </w:r>
          </w:p>
        </w:tc>
        <w:tc>
          <w:tcPr>
            <w:tcW w:type="dxa" w:w="2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advantageous / preferred</w:t>
            </w:r>
          </w:p>
        </w:tc>
        <w:tc>
          <w:tcPr>
            <w:tcW w:type="dxa" w:w="49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the invention is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the present disclosure relates to</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superior</w:t>
            </w:r>
          </w:p>
        </w:tc>
        <w:tc>
          <w:tcPr>
            <w:tcW w:type="dxa" w:w="2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improved / enhanced</w:t>
            </w:r>
          </w:p>
        </w:tc>
        <w:tc>
          <w:tcPr>
            <w:tcW w:type="dxa" w:w="49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essential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advantageous / in some embodiments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exclusively</w:t>
            </w:r>
          </w:p>
        </w:tc>
        <w:tc>
          <w:tcPr>
            <w:tcW w:type="dxa" w:w="2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preferentially</w:t>
            </w:r>
          </w:p>
        </w:tc>
        <w:tc>
          <w:tcPr>
            <w:tcW w:type="dxa" w:w="49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necessary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advantageous / beneficial</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impossible</w:t>
            </w:r>
          </w:p>
        </w:tc>
        <w:tc>
          <w:tcPr>
            <w:tcW w:type="dxa" w:w="2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not readily achievable</w:t>
            </w:r>
          </w:p>
        </w:tc>
        <w:tc>
          <w:tcPr>
            <w:tcW w:type="dxa" w:w="49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uniquely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in certain embodiments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solely</w:t>
            </w:r>
          </w:p>
        </w:tc>
        <w:tc>
          <w:tcPr>
            <w:tcW w:type="dxa" w:w="2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primarily</w:t>
            </w:r>
          </w:p>
        </w:tc>
        <w:tc>
          <w:tcPr>
            <w:tcW w:type="dxa" w:w="49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never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in some embodiments, does not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always</w:t>
            </w:r>
          </w:p>
        </w:tc>
        <w:tc>
          <w:tcPr>
            <w:tcW w:type="dxa" w:w="2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in various embodiments</w:t>
            </w:r>
          </w:p>
        </w:tc>
        <w:tc>
          <w:tcPr>
            <w:tcW w:type="dxa" w:w="49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ideal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preferred / suitable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perfect</w:t>
            </w:r>
          </w:p>
        </w:tc>
        <w:tc>
          <w:tcPr>
            <w:tcW w:type="dxa" w:w="2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substantially matched</w:t>
            </w:r>
          </w:p>
        </w:tc>
        <w:tc>
          <w:tcPr>
            <w:tcW w:type="dxa" w:w="49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no prior art exists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existing approaches have not addressed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Never declare exhaustive prior art absence</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fundamentally limited</w:t>
            </w:r>
          </w:p>
        </w:tc>
        <w:tc>
          <w:tcPr>
            <w:tcW w:type="dxa" w:w="2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has not demonstrated</w:t>
            </w:r>
          </w:p>
        </w:tc>
        <w:tc>
          <w:tcPr>
            <w:tcW w:type="dxa" w:w="49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the prior art fails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the art does not disclose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critically fails to disclose</w:t>
            </w:r>
          </w:p>
        </w:tc>
        <w:tc>
          <w:tcPr>
            <w:tcW w:type="dxa" w:w="2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does not disclose</w:t>
            </w:r>
          </w:p>
        </w:tc>
        <w:tc>
          <w:tcPr>
            <w:tcW w:type="dxa" w:w="49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shatters like glass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[delete — metaphor]</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Never use metaphors in patent text</w:t>
            </w:r>
          </w:p>
        </w:tc>
      </w:tr>
    </w:tbl>
    <w:p>
      <w:r>
        <w:br w:type="page"/>
      </w:r>
    </w:p>
    <w:p>
      <w:pPr>
        <w:pStyle w:val="Heading1"/>
      </w:pPr>
      <w:r>
        <w:rPr>
          <w:rFonts w:ascii="Arial" w:cs="Arial" w:eastAsia="Arial" w:hAnsi="Arial"/>
        </w:rPr>
        <w:t xml:space="preserve">4. Approved Phrase Library</w:t>
      </w:r>
    </w:p>
    <w:p>
      <w:pPr>
        <w:spacing w:after="120" w:line="276"/>
      </w:pPr>
      <w:r>
        <w:rPr>
          <w:rFonts w:ascii="Arial" w:cs="Arial" w:eastAsia="Arial" w:hAnsi="Arial"/>
          <w:color w:val="000000"/>
          <w:sz w:val="16"/>
          <w:szCs w:val="16"/>
        </w:rPr>
        <w:t xml:space="preserve">The following phrases represent the core patent-native drafting vocabulary, ranked by frequency across 39 USPTO filings. Prioritize these constructions in all patent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Phrase</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Category</w:t>
            </w:r>
          </w:p>
        </w:tc>
        <w:tc>
          <w:tcPr>
            <w:tcW w:type="dxa" w:w="4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Sections Used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approximately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Hedging</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Claims, Description, Background</w:t>
            </w:r>
          </w:p>
        </w:tc>
      </w:tr>
      <w:tr>
        <w:tc>
          <w:tcPr>
            <w:tcW w:type="dxa" w:w="3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wherein</w:t>
            </w:r>
          </w:p>
        </w:tc>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Transitional</w:t>
            </w:r>
          </w:p>
        </w:tc>
        <w:tc>
          <w:tcPr>
            <w:tcW w:type="dxa" w:w="41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Claims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at least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Quantitative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Claims, Description</w:t>
            </w:r>
          </w:p>
        </w:tc>
      </w:tr>
      <w:tr>
        <w:tc>
          <w:tcPr>
            <w:tcW w:type="dxa" w:w="3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comprising</w:t>
            </w:r>
          </w:p>
        </w:tc>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Transitional</w:t>
            </w:r>
          </w:p>
        </w:tc>
        <w:tc>
          <w:tcPr>
            <w:tcW w:type="dxa" w:w="41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Claims (open-ended)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about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Hedging</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Claims, Description</w:t>
            </w:r>
          </w:p>
        </w:tc>
      </w:tr>
      <w:tr>
        <w:tc>
          <w:tcPr>
            <w:tcW w:type="dxa" w:w="3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preferably</w:t>
            </w:r>
          </w:p>
        </w:tc>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Hedging</w:t>
            </w:r>
          </w:p>
        </w:tc>
        <w:tc>
          <w:tcPr>
            <w:tcW w:type="dxa" w:w="41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Claims, Description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having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Transitional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Claims</w:t>
            </w:r>
          </w:p>
        </w:tc>
      </w:tr>
      <w:tr>
        <w:tc>
          <w:tcPr>
            <w:tcW w:type="dxa" w:w="3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without</w:t>
            </w:r>
          </w:p>
        </w:tc>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Negative Limitation</w:t>
            </w:r>
          </w:p>
        </w:tc>
        <w:tc>
          <w:tcPr>
            <w:tcW w:type="dxa" w:w="41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Claims, Description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selected from the group consisting of</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Markush</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Claims</w:t>
            </w:r>
          </w:p>
        </w:tc>
      </w:tr>
      <w:tr>
        <w:tc>
          <w:tcPr>
            <w:tcW w:type="dxa" w:w="3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may be</w:t>
            </w:r>
          </w:p>
        </w:tc>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Hedging</w:t>
            </w:r>
          </w:p>
        </w:tc>
        <w:tc>
          <w:tcPr>
            <w:tcW w:type="dxa" w:w="41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Claims, Description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in a preferred embodiment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Hedging</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Description</w:t>
            </w:r>
          </w:p>
        </w:tc>
      </w:tr>
      <w:tr>
        <w:tc>
          <w:tcPr>
            <w:tcW w:type="dxa" w:w="3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substantially</w:t>
            </w:r>
          </w:p>
        </w:tc>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Hedging</w:t>
            </w:r>
          </w:p>
        </w:tc>
        <w:tc>
          <w:tcPr>
            <w:tcW w:type="dxa" w:w="41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Claims, Description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further comprising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Transitional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Dependent Claims</w:t>
            </w:r>
          </w:p>
        </w:tc>
      </w:tr>
      <w:tr>
        <w:tc>
          <w:tcPr>
            <w:tcW w:type="dxa" w:w="3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in the range of</w:t>
            </w:r>
          </w:p>
        </w:tc>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Quantitative</w:t>
            </w:r>
          </w:p>
        </w:tc>
        <w:tc>
          <w:tcPr>
            <w:tcW w:type="dxa" w:w="41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Claims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is configured to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Hedging</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Claims, Description</w:t>
            </w:r>
          </w:p>
        </w:tc>
      </w:tr>
      <w:tr>
        <w:tc>
          <w:tcPr>
            <w:tcW w:type="dxa" w:w="3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at least one of</w:t>
            </w:r>
          </w:p>
        </w:tc>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Hedging</w:t>
            </w:r>
          </w:p>
        </w:tc>
        <w:tc>
          <w:tcPr>
            <w:tcW w:type="dxa" w:w="41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Claims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optionally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Hedging</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Claims, Description</w:t>
            </w:r>
          </w:p>
        </w:tc>
      </w:tr>
      <w:tr>
        <w:tc>
          <w:tcPr>
            <w:tcW w:type="dxa" w:w="3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one or more of</w:t>
            </w:r>
          </w:p>
        </w:tc>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Hedging</w:t>
            </w:r>
          </w:p>
        </w:tc>
        <w:tc>
          <w:tcPr>
            <w:tcW w:type="dxa" w:w="41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Claims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in certain embodiments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Hedging</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Description</w:t>
            </w:r>
          </w:p>
        </w:tc>
      </w:tr>
      <w:tr>
        <w:tc>
          <w:tcPr>
            <w:tcW w:type="dxa" w:w="3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without limitation</w:t>
            </w:r>
          </w:p>
        </w:tc>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Hedging</w:t>
            </w:r>
          </w:p>
        </w:tc>
        <w:tc>
          <w:tcPr>
            <w:tcW w:type="dxa" w:w="41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Description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illustrative / non-limiting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Hedging</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Description</w:t>
            </w:r>
          </w:p>
        </w:tc>
      </w:tr>
      <w:tr>
        <w:tc>
          <w:tcPr>
            <w:tcW w:type="dxa" w:w="3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as used herein</w:t>
            </w:r>
          </w:p>
        </w:tc>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Definitional</w:t>
            </w:r>
          </w:p>
        </w:tc>
        <w:tc>
          <w:tcPr>
            <w:tcW w:type="dxa" w:w="41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Description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referring now to FIG.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Narrative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Description</w:t>
            </w:r>
          </w:p>
        </w:tc>
      </w:tr>
      <w:tr>
        <w:tc>
          <w:tcPr>
            <w:tcW w:type="dxa" w:w="3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free of / substantially free of</w:t>
            </w:r>
          </w:p>
        </w:tc>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Negative Limitation</w:t>
            </w:r>
          </w:p>
        </w:tc>
        <w:tc>
          <w:tcPr>
            <w:tcW w:type="dxa" w:w="41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Claims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in the absence of</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Negative Limitation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Claims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D5F5E3" w:val="clear"/>
            <w:tcMar>
              <w:top w:type="dxa" w:w="100"/>
              <w:left w:type="dxa" w:w="160"/>
              <w:bottom w:type="dxa" w:w="100"/>
              <w:right w:type="dxa" w:w="160"/>
            </w:tcMar>
          </w:tcPr>
          <w:p>
            <w:pPr>
              <w:spacing w:after="60"/>
            </w:pPr>
            <w:r>
              <w:rPr>
                <w:rFonts w:ascii="Arial" w:cs="Arial" w:eastAsia="Arial" w:hAnsi="Arial"/>
                <w:b/>
                <w:bCs/>
                <w:color w:val="27AE60"/>
                <w:sz w:val="16"/>
                <w:szCs w:val="16"/>
              </w:rPr>
              <w:t xml:space="preserve">INSIGHT: Hedging Language Dominance</w:t>
            </w:r>
          </w:p>
          <w:p>
            <w:pPr>
              <w:spacing w:after="0" w:line="264"/>
            </w:pPr>
            <w:r>
              <w:rPr>
                <w:rFonts w:ascii="Arial" w:cs="Arial" w:eastAsia="Arial" w:hAnsi="Arial"/>
                <w:color w:val="333333"/>
                <w:sz w:val="16"/>
                <w:szCs w:val="16"/>
              </w:rPr>
              <w:t xml:space="preserve">'Approximately' (1,709 occurrences), 'about' (642), and 'preferably' (562) account for the majority of scope-preserving language across the corpus. This reflects a deliberate drafting strategy prioritizing flexibility over precision in numerical claims. 'At least' (1,320 occurrences) is the dominant lower-bound quantitative construct.</w:t>
            </w:r>
          </w:p>
        </w:tc>
      </w:tr>
    </w:tbl>
    <w:p>
      <w:r>
        <w:br w:type="page"/>
      </w:r>
    </w:p>
    <w:p>
      <w:pPr>
        <w:pStyle w:val="Heading1"/>
      </w:pPr>
      <w:r>
        <w:rPr>
          <w:rFonts w:ascii="Arial" w:cs="Arial" w:eastAsia="Arial" w:hAnsi="Arial"/>
        </w:rPr>
        <w:t xml:space="preserve">5. Structural Requirements</w:t>
      </w:r>
    </w:p>
    <w:p>
      <w:pPr>
        <w:pStyle w:val="Heading2"/>
      </w:pPr>
      <w:r>
        <w:rPr>
          <w:rFonts w:ascii="Arial" w:cs="Arial" w:eastAsia="Arial" w:hAnsi="Arial"/>
        </w:rPr>
        <w:t xml:space="preserve">5.1 Content Separation (Four Deliverables)</w:t>
      </w:r>
    </w:p>
    <w:p>
      <w:pPr>
        <w:spacing w:after="120" w:line="276"/>
      </w:pPr>
      <w:r>
        <w:rPr>
          <w:rFonts w:ascii="Arial" w:cs="Arial" w:eastAsia="Arial" w:hAnsi="Arial"/>
          <w:color w:val="000000"/>
          <w:sz w:val="16"/>
          <w:szCs w:val="16"/>
        </w:rPr>
        <w:t xml:space="preserve">AI must produce four parallel deliverables per patent. Combining these into a single document is the root cause of most identified deficiencies and produces a detectable AI-authorship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Deliverable</w:t>
            </w:r>
          </w:p>
        </w:tc>
        <w:tc>
          <w:tcPr>
            <w:tcW w:type="dxa" w:w="7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Contents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A. Filing Draft</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Clean patent-ready specification only. No strategy, no internal notes, no prosecution arguments.</w:t>
            </w:r>
          </w:p>
        </w:tc>
      </w:tr>
      <w:tr>
        <w:tc>
          <w:tcPr>
            <w:tcW w:type="dxa" w:w="1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B. Attorney Memo</w:t>
            </w:r>
          </w:p>
        </w:tc>
        <w:tc>
          <w:tcPr>
            <w:tcW w:type="dxa" w:w="77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Novelty anchors, §103 risks, §112 risks, proposed amendments, prosecution strategy, competitive moat analysis, design-around vulnerabilities, continuation/divisional planning.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C. Prior-Art Table</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Peer reference, overlapping elements, true distinctions, evidentiary support level for each differentiation.</w:t>
            </w:r>
          </w:p>
        </w:tc>
      </w:tr>
      <w:tr>
        <w:tc>
          <w:tcPr>
            <w:tcW w:type="dxa" w:w="1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D. Claim Support Matrix</w:t>
            </w:r>
          </w:p>
        </w:tc>
        <w:tc>
          <w:tcPr>
            <w:tcW w:type="dxa" w:w="77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Each claim term mapped to supporting specification paragraphs, experimental vs. prophetic support classification, foreign-filing sensitivity.</w:t>
            </w:r>
          </w:p>
        </w:tc>
      </w:tr>
    </w:tbl>
    <w:p>
      <w:pPr>
        <w:spacing w:after="120"/>
      </w:pPr>
    </w:p>
    <w:p>
      <w:pPr>
        <w:pStyle w:val="Heading2"/>
      </w:pPr>
      <w:r>
        <w:rPr>
          <w:rFonts w:ascii="Arial" w:cs="Arial" w:eastAsia="Arial" w:hAnsi="Arial"/>
        </w:rPr>
        <w:t xml:space="preserve">5.2 Background Section Rules</w:t>
      </w:r>
    </w:p>
    <w:p>
      <w:pPr>
        <w:spacing w:after="120" w:line="276"/>
      </w:pPr>
      <w:r>
        <w:rPr>
          <w:rFonts w:ascii="Arial" w:cs="Arial" w:eastAsia="Arial" w:hAnsi="Arial"/>
          <w:color w:val="000000"/>
          <w:sz w:val="16"/>
          <w:szCs w:val="16"/>
        </w:rPr>
        <w:t xml:space="preserve">Limit to 3–4 paragraphs. Structure as: field context → technical problem → why existing approaches are incomplete (generically) → transition to invention. Never cite specific authors, academic papers, publication years, or competitors by name. Describe shortcomings using 'known methods,' 'traditional composites,' 'conventional approaches.' Reserve strongest differentiation arguments for prosecution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6"/>
              <w:left w:val="single" w:color="E74C3C" w:sz="6"/>
              <w:bottom w:val="single" w:color="E74C3C" w:sz="6"/>
              <w:right w:val="single" w:color="E74C3C" w:sz="6"/>
            </w:tcBorders>
            <w:shd w:fill="FADBD8" w:val="clear"/>
            <w:tcMar>
              <w:top w:type="dxa" w:w="100"/>
              <w:left w:type="dxa" w:w="160"/>
              <w:bottom w:type="dxa" w:w="100"/>
              <w:right w:type="dxa" w:w="160"/>
            </w:tcMar>
          </w:tcPr>
          <w:p>
            <w:pPr>
              <w:spacing w:after="60"/>
            </w:pPr>
            <w:r>
              <w:rPr>
                <w:rFonts w:ascii="Arial" w:cs="Arial" w:eastAsia="Arial" w:hAnsi="Arial"/>
                <w:b/>
                <w:bCs/>
                <w:color w:val="E74C3C"/>
                <w:sz w:val="16"/>
                <w:szCs w:val="16"/>
              </w:rPr>
              <w:t xml:space="preserve">RISK: AAPA Exposure</w:t>
            </w:r>
          </w:p>
          <w:p>
            <w:pPr>
              <w:spacing w:after="0" w:line="264"/>
            </w:pPr>
            <w:r>
              <w:rPr>
                <w:rFonts w:ascii="Arial" w:cs="Arial" w:eastAsia="Arial" w:hAnsi="Arial"/>
                <w:color w:val="333333"/>
                <w:sz w:val="16"/>
                <w:szCs w:val="16"/>
              </w:rPr>
              <w:t xml:space="preserve">Aggressively attacking prior art, naming competitors, or making absolute claims about prior art absence creates Applicant Admitted Prior Art (AAPA), giving examiners ammunition for Obviousness (§103) rejections. Peer patents (e.g., Tokamak Energy US11,869,677B2) demonstrate that concise, neutral backgrounds reduce this risk.</w:t>
            </w:r>
          </w:p>
        </w:tc>
      </w:tr>
    </w:tbl>
    <w:p>
      <w:pPr>
        <w:spacing w:after="120"/>
      </w:pPr>
    </w:p>
    <w:p>
      <w:pPr>
        <w:pStyle w:val="Heading2"/>
      </w:pPr>
      <w:r>
        <w:rPr>
          <w:rFonts w:ascii="Arial" w:cs="Arial" w:eastAsia="Arial" w:hAnsi="Arial"/>
        </w:rPr>
        <w:t xml:space="preserve">5.3 Specification Format</w:t>
      </w:r>
    </w:p>
    <w:p>
      <w:pPr>
        <w:spacing w:after="120" w:line="276"/>
      </w:pPr>
      <w:r>
        <w:rPr>
          <w:rFonts w:ascii="Arial" w:cs="Arial" w:eastAsia="Arial" w:hAnsi="Arial"/>
          <w:color w:val="000000"/>
          <w:sz w:val="16"/>
          <w:szCs w:val="16"/>
        </w:rPr>
        <w:t xml:space="preserve">Write the Detailed Description in continuous, exhaustive prose. Do not use parenthetical shorthand, bullet points, abbreviated data tables, or isolated step numbers. Patent examiners require full narrative prose to satisfy §112 Enablement. Use sequential paragraph numbering ([0002], [0003], etc.) without interpolated numbers.</w:t>
      </w:r>
    </w:p>
    <w:p>
      <w:r>
        <w:br w:type="page"/>
      </w:r>
    </w:p>
    <w:p>
      <w:pPr>
        <w:pStyle w:val="Heading1"/>
      </w:pPr>
      <w:r>
        <w:rPr>
          <w:rFonts w:ascii="Arial" w:cs="Arial" w:eastAsia="Arial" w:hAnsi="Arial"/>
        </w:rPr>
        <w:t xml:space="preserve">6. Claim Drafting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Rule</w:t>
            </w:r>
          </w:p>
        </w:tc>
        <w:tc>
          <w:tcPr>
            <w:tcW w:type="dxa" w:w="6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Implementation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Single-Sentence Rule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Every claim forms exactly one grammatically correct continuous sentence ending in a period, regardless of complexity.</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Antecedent Basis</w:t>
            </w:r>
          </w:p>
        </w:tc>
        <w:tc>
          <w:tcPr>
            <w:tcW w:type="dxa" w:w="69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Introduce new components with 'a' or 'an.' Refer back with 'the' or 'said.' Never introduce a new component with 'the.'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Dependent Claim Template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Every dependent claim begins: 'The [category] of claim [X], wherein [additional limitation].' No exceptions.</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Sequential Numbering</w:t>
            </w:r>
          </w:p>
        </w:tc>
        <w:tc>
          <w:tcPr>
            <w:tcW w:type="dxa" w:w="69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Claims in strict order (1, 2, 3...). No alphanumeric suffixes (17A, 17B). No skipped numbers. Generate a claim tree logic map first, validate numbering, then draft text.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Terminology Consistency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Each claim term maps to exactly one specification term. No unresolved synonyms (e.g., do not alternate between 'liquid metal' and 'conductive liquid' without a definitional bridge).</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Claim Density</w:t>
            </w:r>
          </w:p>
        </w:tc>
        <w:tc>
          <w:tcPr>
            <w:tcW w:type="dxa" w:w="69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Do not over-pack independent claims with multiple quantitative thresholds. Place some in dependent claims for prosecution flexibility. Draft three ladders: commercially broad, examiner-resistant, data-supported fallback.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Open-Ended Transitions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Default to 'comprising' (open-ended). Use 'consisting of' (closed) only when strategically necessary to distinguish over prior art. Review each 'consisting of' instance to confirm intent.</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Markush Groups</w:t>
            </w:r>
          </w:p>
        </w:tc>
        <w:tc>
          <w:tcPr>
            <w:tcW w:type="dxa" w:w="69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Use 'selected from the group consisting of' for enumerated alternatives. Ensure the group is inclusive enough to cover foreseeable equivalents.</w:t>
            </w:r>
          </w:p>
        </w:tc>
      </w:tr>
    </w:tbl>
    <w:p>
      <w:pPr>
        <w:spacing w:after="120"/>
      </w:pPr>
    </w:p>
    <w:p>
      <w:pPr>
        <w:pStyle w:val="Heading1"/>
      </w:pPr>
      <w:r>
        <w:rPr>
          <w:rFonts w:ascii="Arial" w:cs="Arial" w:eastAsia="Arial" w:hAnsi="Arial"/>
        </w:rPr>
        <w:t xml:space="preserve">7. Quantitative Language Patterns</w:t>
      </w:r>
    </w:p>
    <w:p>
      <w:pPr>
        <w:spacing w:after="120" w:line="276"/>
      </w:pPr>
      <w:r>
        <w:rPr>
          <w:rFonts w:ascii="Arial" w:cs="Arial" w:eastAsia="Arial" w:hAnsi="Arial"/>
          <w:color w:val="000000"/>
          <w:sz w:val="16"/>
          <w:szCs w:val="16"/>
        </w:rPr>
        <w:t xml:space="preserve">Numerical ranges, thresholds, and tolerances require precise phrasing to avoid prosecution narrowing. Use the following constructions: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Purpose</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Construction</w:t>
            </w:r>
          </w:p>
        </w:tc>
        <w:tc>
          <w:tcPr>
            <w:tcW w:type="dxa" w:w="3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Lower bound (open-ended)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at least [value]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Establishes minimum without capping upper range</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Hedged lower bound</w:t>
            </w:r>
          </w:p>
        </w:tc>
        <w:tc>
          <w:tcPr>
            <w:tcW w:type="dxa" w:w="3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at least about [value]</w:t>
            </w:r>
          </w:p>
        </w:tc>
        <w:tc>
          <w:tcPr>
            <w:tcW w:type="dxa" w:w="39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Adds flexibility by hedging precision of threshold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Approximation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approximately [value]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Use only where tolerance materially affects claim scope</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Range expression</w:t>
            </w:r>
          </w:p>
        </w:tc>
        <w:tc>
          <w:tcPr>
            <w:tcW w:type="dxa" w:w="3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in the range of [X] to [Y]</w:t>
            </w:r>
          </w:p>
        </w:tc>
        <w:tc>
          <w:tcPr>
            <w:tcW w:type="dxa" w:w="39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Range itself provides tolerance; omit 'approximately' from endpoints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Hedged range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from about [X] to about [Y]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Additional flexibility for range boundaries</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Upper bound</w:t>
            </w:r>
          </w:p>
        </w:tc>
        <w:tc>
          <w:tcPr>
            <w:tcW w:type="dxa" w:w="3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less than [value] / no more than [value]</w:t>
            </w:r>
          </w:p>
        </w:tc>
        <w:tc>
          <w:tcPr>
            <w:tcW w:type="dxa" w:w="39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Use sparingly; may inadvertently limit scope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Order of magnitude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on the order of [value]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For approximate scaling references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D5F5E3" w:val="clear"/>
            <w:tcMar>
              <w:top w:type="dxa" w:w="100"/>
              <w:left w:type="dxa" w:w="160"/>
              <w:bottom w:type="dxa" w:w="100"/>
              <w:right w:type="dxa" w:w="160"/>
            </w:tcMar>
          </w:tcPr>
          <w:p>
            <w:pPr>
              <w:spacing w:after="60"/>
            </w:pPr>
            <w:r>
              <w:rPr>
                <w:rFonts w:ascii="Arial" w:cs="Arial" w:eastAsia="Arial" w:hAnsi="Arial"/>
                <w:b/>
                <w:bCs/>
                <w:color w:val="27AE60"/>
                <w:sz w:val="16"/>
                <w:szCs w:val="16"/>
              </w:rPr>
              <w:t xml:space="preserve">INSIGHT: 'Approximately' Usage Calibration</w:t>
            </w:r>
          </w:p>
          <w:p>
            <w:pPr>
              <w:spacing w:after="0" w:line="264"/>
            </w:pPr>
            <w:r>
              <w:rPr>
                <w:rFonts w:ascii="Arial" w:cs="Arial" w:eastAsia="Arial" w:hAnsi="Arial"/>
                <w:color w:val="333333"/>
                <w:sz w:val="16"/>
                <w:szCs w:val="16"/>
              </w:rPr>
              <w:t xml:space="preserve">Use 'approximately' where the tolerance materially affects claim scope. For parameter ranges, the range itself provides adequate tolerance—omit 'approximately' from range endpoints unless specifically needed. Define 'approximately' in the specification (e.g., 'within ±10% of the stated value') to pre-empt indefiniteness challenges. Avoid excessive use: one AI patent used 'approximately' 78 times across 30 claims, far exceeding peer norms.</w:t>
            </w:r>
          </w:p>
        </w:tc>
      </w:tr>
    </w:tbl>
    <w:p>
      <w:r>
        <w:br w:type="page"/>
      </w:r>
    </w:p>
    <w:p>
      <w:pPr>
        <w:pStyle w:val="Heading1"/>
      </w:pPr>
      <w:r>
        <w:rPr>
          <w:rFonts w:ascii="Arial" w:cs="Arial" w:eastAsia="Arial" w:hAnsi="Arial"/>
        </w:rPr>
        <w:t xml:space="preserve">8. Prophetic vs. Working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Type</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Tense</w:t>
            </w:r>
          </w:p>
        </w:tc>
        <w:tc>
          <w:tcPr>
            <w:tcW w:type="dxa" w:w="5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Example Constructions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Working Example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Past tense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'The mixture was milled...' / 'Specimens were heated...' / 'The isotopic composition was measured by ICP-MS.'</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Prophetic Example</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Present tense</w:t>
            </w:r>
          </w:p>
        </w:tc>
        <w:tc>
          <w:tcPr>
            <w:tcW w:type="dxa" w:w="5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'A hybrid magnet is formed...' / 'The composite is expected to exhibit...' / 'Seeded melt growth may be achieved by placing...'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Prophetic with uncertainty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Conditional + bounds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'It is predicted that...' / 'Computer modeling suggests...' / 'The TBR is predicted to be approximately 1.1–1.2.'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6"/>
              <w:left w:val="single" w:color="E74C3C" w:sz="6"/>
              <w:bottom w:val="single" w:color="E74C3C" w:sz="6"/>
              <w:right w:val="single" w:color="E74C3C" w:sz="6"/>
            </w:tcBorders>
            <w:shd w:fill="FADBD8" w:val="clear"/>
            <w:tcMar>
              <w:top w:type="dxa" w:w="100"/>
              <w:left w:type="dxa" w:w="160"/>
              <w:bottom w:type="dxa" w:w="100"/>
              <w:right w:type="dxa" w:w="160"/>
            </w:tcMar>
          </w:tcPr>
          <w:p>
            <w:pPr>
              <w:spacing w:after="60"/>
            </w:pPr>
            <w:r>
              <w:rPr>
                <w:rFonts w:ascii="Arial" w:cs="Arial" w:eastAsia="Arial" w:hAnsi="Arial"/>
                <w:b/>
                <w:bCs/>
                <w:color w:val="E74C3C"/>
                <w:sz w:val="16"/>
                <w:szCs w:val="16"/>
              </w:rPr>
              <w:t xml:space="preserve">RISK: Overconfident Prophetic Predictions</w:t>
            </w:r>
          </w:p>
          <w:p>
            <w:pPr>
              <w:spacing w:after="0" w:line="264"/>
            </w:pPr>
            <w:r>
              <w:rPr>
                <w:rFonts w:ascii="Arial" w:cs="Arial" w:eastAsia="Arial" w:hAnsi="Arial"/>
                <w:color w:val="333333"/>
                <w:sz w:val="16"/>
                <w:szCs w:val="16"/>
              </w:rPr>
              <w:t xml:space="preserve">High-confidence prophetic predictions without uncertainty bounds are the most exploitable weakness. An examiner can request evidence under 37 CFR 1.132 for any prophetic assertion. If post-filing data deviates from predictions, the entire filing’s credibility is damaged. Always include uncertainty bounds or confidence intervals.</w:t>
            </w:r>
          </w:p>
        </w:tc>
      </w:tr>
    </w:tbl>
    <w:p>
      <w:pPr>
        <w:spacing w:after="120"/>
      </w:pPr>
    </w:p>
    <w:p>
      <w:pPr>
        <w:pStyle w:val="Heading1"/>
      </w:pPr>
      <w:r>
        <w:rPr>
          <w:rFonts w:ascii="Arial" w:cs="Arial" w:eastAsia="Arial" w:hAnsi="Arial"/>
        </w:rPr>
        <w:t xml:space="preserve">9. Negative Limitations &amp; Exclusions</w:t>
      </w:r>
    </w:p>
    <w:p>
      <w:pPr>
        <w:spacing w:after="120" w:line="276"/>
      </w:pPr>
      <w:r>
        <w:rPr>
          <w:rFonts w:ascii="Arial" w:cs="Arial" w:eastAsia="Arial" w:hAnsi="Arial"/>
          <w:color w:val="000000"/>
          <w:sz w:val="16"/>
          <w:szCs w:val="16"/>
        </w:rPr>
        <w:t xml:space="preserve">Negative claim limitations define the invention by what it excludes. They are strategically valuable for distinguishing over prior art that requires excluded elements. Use the following constructions: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Construction</w:t>
            </w:r>
          </w:p>
        </w:tc>
        <w:tc>
          <w:tcPr>
            <w:tcW w:type="dxa" w:w="5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Strategic Purpose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without [element]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Exclude process steps or components</w:t>
            </w:r>
          </w:p>
        </w:tc>
      </w:tr>
      <w:tr>
        <w:tc>
          <w:tcPr>
            <w:tcW w:type="dxa" w:w="4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without requiring [element]</w:t>
            </w:r>
          </w:p>
        </w:tc>
        <w:tc>
          <w:tcPr>
            <w:tcW w:type="dxa" w:w="5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Process simplification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free of [element]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Negative composition limitation</w:t>
            </w:r>
          </w:p>
        </w:tc>
      </w:tr>
      <w:tr>
        <w:tc>
          <w:tcPr>
            <w:tcW w:type="dxa" w:w="4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substantially free of [element]</w:t>
            </w:r>
          </w:p>
        </w:tc>
        <w:tc>
          <w:tcPr>
            <w:tcW w:type="dxa" w:w="5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Near-complete exclusion with tolerance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absent [element]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Exclude specific components</w:t>
            </w:r>
          </w:p>
        </w:tc>
      </w:tr>
      <w:tr>
        <w:tc>
          <w:tcPr>
            <w:tcW w:type="dxa" w:w="4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does not require [element]</w:t>
            </w:r>
          </w:p>
        </w:tc>
        <w:tc>
          <w:tcPr>
            <w:tcW w:type="dxa" w:w="5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Distinguish from prior art</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in the absence of [condition]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Condition-based exclusion</w:t>
            </w:r>
          </w:p>
        </w:tc>
      </w:tr>
      <w:tr>
        <w:tc>
          <w:tcPr>
            <w:tcW w:type="dxa" w:w="4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excluding [element]</w:t>
            </w:r>
          </w:p>
        </w:tc>
        <w:tc>
          <w:tcPr>
            <w:tcW w:type="dxa" w:w="5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Carve out specific embodiments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other than [element]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Define by exclusion</w:t>
            </w:r>
          </w:p>
        </w:tc>
      </w:tr>
      <w:tr>
        <w:tc>
          <w:tcPr>
            <w:tcW w:type="dxa" w:w="4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without the need for [element]</w:t>
            </w:r>
          </w:p>
        </w:tc>
        <w:tc>
          <w:tcPr>
            <w:tcW w:type="dxa" w:w="5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Eliminate dependency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D5F5E3" w:val="clear"/>
            <w:tcMar>
              <w:top w:type="dxa" w:w="100"/>
              <w:left w:type="dxa" w:w="160"/>
              <w:bottom w:type="dxa" w:w="100"/>
              <w:right w:type="dxa" w:w="160"/>
            </w:tcMar>
          </w:tcPr>
          <w:p>
            <w:pPr>
              <w:spacing w:after="60"/>
            </w:pPr>
            <w:r>
              <w:rPr>
                <w:rFonts w:ascii="Arial" w:cs="Arial" w:eastAsia="Arial" w:hAnsi="Arial"/>
                <w:b/>
                <w:bCs/>
                <w:color w:val="27AE60"/>
                <w:sz w:val="16"/>
                <w:szCs w:val="16"/>
              </w:rPr>
              <w:t xml:space="preserve">OPPORTUNITY: Underutilized Constructions</w:t>
            </w:r>
          </w:p>
          <w:p>
            <w:pPr>
              <w:spacing w:after="0" w:line="264"/>
            </w:pPr>
            <w:r>
              <w:rPr>
                <w:rFonts w:ascii="Arial" w:cs="Arial" w:eastAsia="Arial" w:hAnsi="Arial"/>
                <w:color w:val="333333"/>
                <w:sz w:val="16"/>
                <w:szCs w:val="16"/>
              </w:rPr>
              <w:t xml:space="preserve">'Substantially free of' and 'devoid of' are underutilized in the corpus. For composition claims distinguishing over prior art containing specific impurities or additives, these negative limitations provide a strong basis for patentability without narrowing overall claim scope.</w:t>
            </w:r>
          </w:p>
        </w:tc>
      </w:tr>
    </w:tbl>
    <w:p>
      <w:r>
        <w:br w:type="page"/>
      </w:r>
    </w:p>
    <w:p>
      <w:pPr>
        <w:pStyle w:val="Heading1"/>
      </w:pPr>
      <w:r>
        <w:rPr>
          <w:rFonts w:ascii="Arial" w:cs="Arial" w:eastAsia="Arial" w:hAnsi="Arial"/>
        </w:rPr>
        <w:t xml:space="preserve">10. Tone Calibration: Before &amp; After Examples</w:t>
      </w:r>
    </w:p>
    <w:p>
      <w:pPr>
        <w:spacing w:after="120" w:line="276"/>
      </w:pPr>
      <w:r>
        <w:rPr>
          <w:rFonts w:ascii="Arial" w:cs="Arial" w:eastAsia="Arial" w:hAnsi="Arial"/>
          <w:color w:val="000000"/>
          <w:sz w:val="16"/>
          <w:szCs w:val="16"/>
        </w:rPr>
        <w:t xml:space="preserve">The following side-by-side comparisons illustrate how argumentative, absolute, or AI-typical language should be rewritten in patent-native style.</w:t>
      </w:r>
    </w:p>
    <w:p>
      <w:pPr>
        <w:spacing w:after="60"/>
      </w:pPr>
    </w:p>
    <w:p>
      <w:pPr>
        <w:spacing w:after="60"/>
      </w:pPr>
      <w:r>
        <w:rPr>
          <w:rFonts w:ascii="Arial" w:cs="Arial" w:eastAsia="Arial" w:hAnsi="Arial"/>
          <w:b/>
          <w:bCs/>
          <w:color w:val="1B4F72"/>
          <w:sz w:val="18"/>
          <w:szCs w:val="18"/>
        </w:rPr>
        <w:t xml:space="preserve">Example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74C3C" w:sz="4"/>
              <w:left w:val="single" w:color="E74C3C" w:sz="4"/>
              <w:bottom w:val="single" w:color="E74C3C" w:sz="4"/>
              <w:right w:val="single" w:color="E74C3C" w:sz="4"/>
            </w:tcBorders>
            <w:shd w:fill="FDEDEC" w:val="clear"/>
            <w:tcMar>
              <w:top w:type="dxa" w:w="80"/>
              <w:left w:type="dxa" w:w="120"/>
              <w:bottom w:type="dxa" w:w="80"/>
              <w:right w:type="dxa" w:w="120"/>
            </w:tcMar>
          </w:tcPr>
          <w:p>
            <w:pPr>
              <w:spacing w:after="40"/>
            </w:pPr>
            <w:r>
              <w:rPr>
                <w:rFonts w:ascii="Arial" w:cs="Arial" w:eastAsia="Arial" w:hAnsi="Arial"/>
                <w:b/>
                <w:bCs/>
                <w:color w:val="E74C3C"/>
                <w:sz w:val="14"/>
                <w:szCs w:val="14"/>
              </w:rPr>
              <w:t xml:space="preserve">BEFORE (Problematic)</w:t>
            </w:r>
          </w:p>
          <w:p>
            <w:pPr>
              <w:spacing w:after="0" w:line="252"/>
            </w:pPr>
            <w:r>
              <w:rPr>
                <w:rFonts w:ascii="Arial" w:cs="Arial" w:eastAsia="Arial" w:hAnsi="Arial"/>
                <w:i/>
                <w:iCs/>
                <w:color w:val="000000"/>
                <w:sz w:val="14"/>
                <w:szCs w:val="14"/>
              </w:rPr>
              <w:t xml:space="preserve">The prior art fails to address the problem of tritium permeation.</w:t>
            </w:r>
          </w:p>
        </w:tc>
        <w:tc>
          <w:tcPr>
            <w:tcW w:type="dxa" w:w="4680"/>
            <w:tcBorders>
              <w:top w:val="single" w:color="27AE60" w:sz="4"/>
              <w:left w:val="single" w:color="27AE60" w:sz="4"/>
              <w:bottom w:val="single" w:color="27AE60" w:sz="4"/>
              <w:right w:val="single" w:color="27AE60" w:sz="4"/>
            </w:tcBorders>
            <w:shd w:fill="EAFAF1" w:val="clear"/>
            <w:tcMar>
              <w:top w:type="dxa" w:w="80"/>
              <w:left w:type="dxa" w:w="120"/>
              <w:bottom w:type="dxa" w:w="80"/>
              <w:right w:type="dxa" w:w="120"/>
            </w:tcMar>
          </w:tcPr>
          <w:p>
            <w:pPr>
              <w:spacing w:after="40"/>
            </w:pPr>
            <w:r>
              <w:rPr>
                <w:rFonts w:ascii="Arial" w:cs="Arial" w:eastAsia="Arial" w:hAnsi="Arial"/>
                <w:b/>
                <w:bCs/>
                <w:color w:val="27AE60"/>
                <w:sz w:val="14"/>
                <w:szCs w:val="14"/>
              </w:rPr>
              <w:t xml:space="preserve">AFTER (Patent-Native)</w:t>
            </w:r>
          </w:p>
          <w:p>
            <w:pPr>
              <w:spacing w:after="0" w:line="252"/>
            </w:pPr>
            <w:r>
              <w:rPr>
                <w:rFonts w:ascii="Arial" w:cs="Arial" w:eastAsia="Arial" w:hAnsi="Arial"/>
                <w:color w:val="000000"/>
                <w:sz w:val="14"/>
                <w:szCs w:val="14"/>
              </w:rPr>
              <w:t xml:space="preserve">Existing approaches to tritium permeation barriers have not demonstrated sustained performance under simultaneous neutron irradiation and thermal cycling conditions.</w:t>
            </w:r>
          </w:p>
        </w:tc>
      </w:tr>
    </w:tbl>
    <w:p>
      <w:pPr>
        <w:spacing w:after="160"/>
        <w:rPr>
          <w:i/>
          <w:iCs/>
          <w:color w:val="666666"/>
          <w:sz w:val="14"/>
          <w:szCs w:val="14"/>
        </w:rPr>
      </w:pPr>
      <w:r>
        <w:rPr>
          <w:rFonts w:ascii="Arial" w:cs="Arial" w:eastAsia="Arial" w:hAnsi="Arial"/>
          <w:i/>
          <w:iCs/>
          <w:color w:val="666666"/>
          <w:sz w:val="14"/>
          <w:szCs w:val="14"/>
        </w:rPr>
        <w:t xml:space="preserve">Correction: Replace 'fails to' with neutral factual characterization.</w:t>
      </w:r>
    </w:p>
    <w:p>
      <w:pPr>
        <w:spacing w:after="80"/>
      </w:pPr>
    </w:p>
    <w:p>
      <w:pPr>
        <w:spacing w:after="60"/>
      </w:pPr>
      <w:r>
        <w:rPr>
          <w:rFonts w:ascii="Arial" w:cs="Arial" w:eastAsia="Arial" w:hAnsi="Arial"/>
          <w:b/>
          <w:bCs/>
          <w:color w:val="1B4F72"/>
          <w:sz w:val="18"/>
          <w:szCs w:val="18"/>
        </w:rPr>
        <w:t xml:space="preserve">Example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74C3C" w:sz="4"/>
              <w:left w:val="single" w:color="E74C3C" w:sz="4"/>
              <w:bottom w:val="single" w:color="E74C3C" w:sz="4"/>
              <w:right w:val="single" w:color="E74C3C" w:sz="4"/>
            </w:tcBorders>
            <w:shd w:fill="FDEDEC" w:val="clear"/>
            <w:tcMar>
              <w:top w:type="dxa" w:w="80"/>
              <w:left w:type="dxa" w:w="120"/>
              <w:bottom w:type="dxa" w:w="80"/>
              <w:right w:type="dxa" w:w="120"/>
            </w:tcMar>
          </w:tcPr>
          <w:p>
            <w:pPr>
              <w:spacing w:after="40"/>
            </w:pPr>
            <w:r>
              <w:rPr>
                <w:rFonts w:ascii="Arial" w:cs="Arial" w:eastAsia="Arial" w:hAnsi="Arial"/>
                <w:b/>
                <w:bCs/>
                <w:color w:val="E74C3C"/>
                <w:sz w:val="14"/>
                <w:szCs w:val="14"/>
              </w:rPr>
              <w:t xml:space="preserve">BEFORE (Problematic)</w:t>
            </w:r>
          </w:p>
          <w:p>
            <w:pPr>
              <w:spacing w:after="0" w:line="252"/>
            </w:pPr>
            <w:r>
              <w:rPr>
                <w:rFonts w:ascii="Arial" w:cs="Arial" w:eastAsia="Arial" w:hAnsi="Arial"/>
                <w:i/>
                <w:iCs/>
                <w:color w:val="000000"/>
                <w:sz w:val="14"/>
                <w:szCs w:val="14"/>
              </w:rPr>
              <w:t xml:space="preserve">This invention is the first to achieve nanoprecipitate densities above 10²² m⁻³.</w:t>
            </w:r>
          </w:p>
        </w:tc>
        <w:tc>
          <w:tcPr>
            <w:tcW w:type="dxa" w:w="4680"/>
            <w:tcBorders>
              <w:top w:val="single" w:color="27AE60" w:sz="4"/>
              <w:left w:val="single" w:color="27AE60" w:sz="4"/>
              <w:bottom w:val="single" w:color="27AE60" w:sz="4"/>
              <w:right w:val="single" w:color="27AE60" w:sz="4"/>
            </w:tcBorders>
            <w:shd w:fill="EAFAF1" w:val="clear"/>
            <w:tcMar>
              <w:top w:type="dxa" w:w="80"/>
              <w:left w:type="dxa" w:w="120"/>
              <w:bottom w:type="dxa" w:w="80"/>
              <w:right w:type="dxa" w:w="120"/>
            </w:tcMar>
          </w:tcPr>
          <w:p>
            <w:pPr>
              <w:spacing w:after="40"/>
            </w:pPr>
            <w:r>
              <w:rPr>
                <w:rFonts w:ascii="Arial" w:cs="Arial" w:eastAsia="Arial" w:hAnsi="Arial"/>
                <w:b/>
                <w:bCs/>
                <w:color w:val="27AE60"/>
                <w:sz w:val="14"/>
                <w:szCs w:val="14"/>
              </w:rPr>
              <w:t xml:space="preserve">AFTER (Patent-Native)</w:t>
            </w:r>
          </w:p>
          <w:p>
            <w:pPr>
              <w:spacing w:after="0" w:line="252"/>
            </w:pPr>
            <w:r>
              <w:rPr>
                <w:rFonts w:ascii="Arial" w:cs="Arial" w:eastAsia="Arial" w:hAnsi="Arial"/>
                <w:color w:val="000000"/>
                <w:sz w:val="14"/>
                <w:szCs w:val="14"/>
              </w:rPr>
              <w:t xml:space="preserve">The present disclosure provides compositions achieving nanoprecipitate densities of at least approximately 10²² m⁻³ through a combination of Ti micro-addition and stoichiometric ratio control.</w:t>
            </w:r>
          </w:p>
        </w:tc>
      </w:tr>
    </w:tbl>
    <w:p>
      <w:pPr>
        <w:spacing w:after="160"/>
        <w:rPr>
          <w:i/>
          <w:iCs/>
          <w:color w:val="666666"/>
          <w:sz w:val="14"/>
          <w:szCs w:val="14"/>
        </w:rPr>
      </w:pPr>
      <w:r>
        <w:rPr>
          <w:rFonts w:ascii="Arial" w:cs="Arial" w:eastAsia="Arial" w:hAnsi="Arial"/>
          <w:i/>
          <w:iCs/>
          <w:color w:val="666666"/>
          <w:sz w:val="14"/>
          <w:szCs w:val="14"/>
        </w:rPr>
        <w:t xml:space="preserve">Correction: Remove priority claim; reframe as capability disclosure.</w:t>
      </w:r>
    </w:p>
    <w:p>
      <w:pPr>
        <w:spacing w:after="80"/>
      </w:pPr>
    </w:p>
    <w:p>
      <w:pPr>
        <w:spacing w:after="60"/>
      </w:pPr>
      <w:r>
        <w:rPr>
          <w:rFonts w:ascii="Arial" w:cs="Arial" w:eastAsia="Arial" w:hAnsi="Arial"/>
          <w:b/>
          <w:bCs/>
          <w:color w:val="1B4F72"/>
          <w:sz w:val="18"/>
          <w:szCs w:val="18"/>
        </w:rPr>
        <w:t xml:space="preserve">Example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74C3C" w:sz="4"/>
              <w:left w:val="single" w:color="E74C3C" w:sz="4"/>
              <w:bottom w:val="single" w:color="E74C3C" w:sz="4"/>
              <w:right w:val="single" w:color="E74C3C" w:sz="4"/>
            </w:tcBorders>
            <w:shd w:fill="FDEDEC" w:val="clear"/>
            <w:tcMar>
              <w:top w:type="dxa" w:w="80"/>
              <w:left w:type="dxa" w:w="120"/>
              <w:bottom w:type="dxa" w:w="80"/>
              <w:right w:type="dxa" w:w="120"/>
            </w:tcMar>
          </w:tcPr>
          <w:p>
            <w:pPr>
              <w:spacing w:after="40"/>
            </w:pPr>
            <w:r>
              <w:rPr>
                <w:rFonts w:ascii="Arial" w:cs="Arial" w:eastAsia="Arial" w:hAnsi="Arial"/>
                <w:b/>
                <w:bCs/>
                <w:color w:val="E74C3C"/>
                <w:sz w:val="14"/>
                <w:szCs w:val="14"/>
              </w:rPr>
              <w:t xml:space="preserve">BEFORE (Problematic)</w:t>
            </w:r>
          </w:p>
          <w:p>
            <w:pPr>
              <w:spacing w:after="0" w:line="252"/>
            </w:pPr>
            <w:r>
              <w:rPr>
                <w:rFonts w:ascii="Arial" w:cs="Arial" w:eastAsia="Arial" w:hAnsi="Arial"/>
                <w:i/>
                <w:iCs/>
                <w:color w:val="000000"/>
                <w:sz w:val="14"/>
                <w:szCs w:val="14"/>
              </w:rPr>
              <w:t xml:space="preserve">The critical advantage of this method is its superior performance.</w:t>
            </w:r>
          </w:p>
        </w:tc>
        <w:tc>
          <w:tcPr>
            <w:tcW w:type="dxa" w:w="4680"/>
            <w:tcBorders>
              <w:top w:val="single" w:color="27AE60" w:sz="4"/>
              <w:left w:val="single" w:color="27AE60" w:sz="4"/>
              <w:bottom w:val="single" w:color="27AE60" w:sz="4"/>
              <w:right w:val="single" w:color="27AE60" w:sz="4"/>
            </w:tcBorders>
            <w:shd w:fill="EAFAF1" w:val="clear"/>
            <w:tcMar>
              <w:top w:type="dxa" w:w="80"/>
              <w:left w:type="dxa" w:w="120"/>
              <w:bottom w:type="dxa" w:w="80"/>
              <w:right w:type="dxa" w:w="120"/>
            </w:tcMar>
          </w:tcPr>
          <w:p>
            <w:pPr>
              <w:spacing w:after="40"/>
            </w:pPr>
            <w:r>
              <w:rPr>
                <w:rFonts w:ascii="Arial" w:cs="Arial" w:eastAsia="Arial" w:hAnsi="Arial"/>
                <w:b/>
                <w:bCs/>
                <w:color w:val="27AE60"/>
                <w:sz w:val="14"/>
                <w:szCs w:val="14"/>
              </w:rPr>
              <w:t xml:space="preserve">AFTER (Patent-Native)</w:t>
            </w:r>
          </w:p>
          <w:p>
            <w:pPr>
              <w:spacing w:after="0" w:line="252"/>
            </w:pPr>
            <w:r>
              <w:rPr>
                <w:rFonts w:ascii="Arial" w:cs="Arial" w:eastAsia="Arial" w:hAnsi="Arial"/>
                <w:color w:val="000000"/>
                <w:sz w:val="14"/>
                <w:szCs w:val="14"/>
              </w:rPr>
              <w:t xml:space="preserve">In certain embodiments, the disclosed method achieves improved performance relative to conventional approaches.</w:t>
            </w:r>
          </w:p>
        </w:tc>
      </w:tr>
    </w:tbl>
    <w:p>
      <w:pPr>
        <w:spacing w:after="160"/>
        <w:rPr>
          <w:i/>
          <w:iCs/>
          <w:color w:val="666666"/>
          <w:sz w:val="14"/>
          <w:szCs w:val="14"/>
        </w:rPr>
      </w:pPr>
      <w:r>
        <w:rPr>
          <w:rFonts w:ascii="Arial" w:cs="Arial" w:eastAsia="Arial" w:hAnsi="Arial"/>
          <w:i/>
          <w:iCs/>
          <w:color w:val="666666"/>
          <w:sz w:val="14"/>
          <w:szCs w:val="14"/>
        </w:rPr>
        <w:t xml:space="preserve">Correction: Replace 'critical' and 'superior' with hedged alternatives.</w:t>
      </w:r>
    </w:p>
    <w:p>
      <w:pPr>
        <w:spacing w:after="80"/>
      </w:pPr>
    </w:p>
    <w:p>
      <w:pPr>
        <w:spacing w:after="60"/>
      </w:pPr>
      <w:r>
        <w:rPr>
          <w:rFonts w:ascii="Arial" w:cs="Arial" w:eastAsia="Arial" w:hAnsi="Arial"/>
          <w:b/>
          <w:bCs/>
          <w:color w:val="1B4F72"/>
          <w:sz w:val="18"/>
          <w:szCs w:val="18"/>
        </w:rPr>
        <w:t xml:space="preserve">Example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74C3C" w:sz="4"/>
              <w:left w:val="single" w:color="E74C3C" w:sz="4"/>
              <w:bottom w:val="single" w:color="E74C3C" w:sz="4"/>
              <w:right w:val="single" w:color="E74C3C" w:sz="4"/>
            </w:tcBorders>
            <w:shd w:fill="FDEDEC" w:val="clear"/>
            <w:tcMar>
              <w:top w:type="dxa" w:w="80"/>
              <w:left w:type="dxa" w:w="120"/>
              <w:bottom w:type="dxa" w:w="80"/>
              <w:right w:type="dxa" w:w="120"/>
            </w:tcMar>
          </w:tcPr>
          <w:p>
            <w:pPr>
              <w:spacing w:after="40"/>
            </w:pPr>
            <w:r>
              <w:rPr>
                <w:rFonts w:ascii="Arial" w:cs="Arial" w:eastAsia="Arial" w:hAnsi="Arial"/>
                <w:b/>
                <w:bCs/>
                <w:color w:val="E74C3C"/>
                <w:sz w:val="14"/>
                <w:szCs w:val="14"/>
              </w:rPr>
              <w:t xml:space="preserve">BEFORE (Problematic)</w:t>
            </w:r>
          </w:p>
          <w:p>
            <w:pPr>
              <w:spacing w:after="0" w:line="252"/>
            </w:pPr>
            <w:r>
              <w:rPr>
                <w:rFonts w:ascii="Arial" w:cs="Arial" w:eastAsia="Arial" w:hAnsi="Arial"/>
                <w:i/>
                <w:iCs/>
                <w:color w:val="000000"/>
                <w:sz w:val="14"/>
                <w:szCs w:val="14"/>
              </w:rPr>
              <w:t xml:space="preserve">The alloy must contain between 8 and 9.5 wt% chromium.</w:t>
            </w:r>
          </w:p>
        </w:tc>
        <w:tc>
          <w:tcPr>
            <w:tcW w:type="dxa" w:w="4680"/>
            <w:tcBorders>
              <w:top w:val="single" w:color="27AE60" w:sz="4"/>
              <w:left w:val="single" w:color="27AE60" w:sz="4"/>
              <w:bottom w:val="single" w:color="27AE60" w:sz="4"/>
              <w:right w:val="single" w:color="27AE60" w:sz="4"/>
            </w:tcBorders>
            <w:shd w:fill="EAFAF1" w:val="clear"/>
            <w:tcMar>
              <w:top w:type="dxa" w:w="80"/>
              <w:left w:type="dxa" w:w="120"/>
              <w:bottom w:type="dxa" w:w="80"/>
              <w:right w:type="dxa" w:w="120"/>
            </w:tcMar>
          </w:tcPr>
          <w:p>
            <w:pPr>
              <w:spacing w:after="40"/>
            </w:pPr>
            <w:r>
              <w:rPr>
                <w:rFonts w:ascii="Arial" w:cs="Arial" w:eastAsia="Arial" w:hAnsi="Arial"/>
                <w:b/>
                <w:bCs/>
                <w:color w:val="27AE60"/>
                <w:sz w:val="14"/>
                <w:szCs w:val="14"/>
              </w:rPr>
              <w:t xml:space="preserve">AFTER (Patent-Native)</w:t>
            </w:r>
          </w:p>
          <w:p>
            <w:pPr>
              <w:spacing w:after="0" w:line="252"/>
            </w:pPr>
            <w:r>
              <w:rPr>
                <w:rFonts w:ascii="Arial" w:cs="Arial" w:eastAsia="Arial" w:hAnsi="Arial"/>
                <w:color w:val="000000"/>
                <w:sz w:val="14"/>
                <w:szCs w:val="14"/>
              </w:rPr>
              <w:t xml:space="preserve">In some embodiments, the alloy comprises from approximately 8 to approximately 9.5 wt% chromium.</w:t>
            </w:r>
          </w:p>
        </w:tc>
      </w:tr>
    </w:tbl>
    <w:p>
      <w:pPr>
        <w:spacing w:after="160"/>
        <w:rPr>
          <w:i/>
          <w:iCs/>
          <w:color w:val="666666"/>
          <w:sz w:val="14"/>
          <w:szCs w:val="14"/>
        </w:rPr>
      </w:pPr>
      <w:r>
        <w:rPr>
          <w:rFonts w:ascii="Arial" w:cs="Arial" w:eastAsia="Arial" w:hAnsi="Arial"/>
          <w:i/>
          <w:iCs/>
          <w:color w:val="666666"/>
          <w:sz w:val="14"/>
          <w:szCs w:val="14"/>
        </w:rPr>
        <w:t xml:space="preserve">Correction: Replace 'must' with 'in some embodiments'; add 'approximately'.</w:t>
      </w:r>
    </w:p>
    <w:p>
      <w:pPr>
        <w:spacing w:after="80"/>
      </w:pPr>
    </w:p>
    <w:p>
      <w:pPr>
        <w:spacing w:after="60"/>
      </w:pPr>
      <w:r>
        <w:rPr>
          <w:rFonts w:ascii="Arial" w:cs="Arial" w:eastAsia="Arial" w:hAnsi="Arial"/>
          <w:b/>
          <w:bCs/>
          <w:color w:val="1B4F72"/>
          <w:sz w:val="18"/>
          <w:szCs w:val="18"/>
        </w:rPr>
        <w:t xml:space="preserve">Example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74C3C" w:sz="4"/>
              <w:left w:val="single" w:color="E74C3C" w:sz="4"/>
              <w:bottom w:val="single" w:color="E74C3C" w:sz="4"/>
              <w:right w:val="single" w:color="E74C3C" w:sz="4"/>
            </w:tcBorders>
            <w:shd w:fill="FDEDEC" w:val="clear"/>
            <w:tcMar>
              <w:top w:type="dxa" w:w="80"/>
              <w:left w:type="dxa" w:w="120"/>
              <w:bottom w:type="dxa" w:w="80"/>
              <w:right w:type="dxa" w:w="120"/>
            </w:tcMar>
          </w:tcPr>
          <w:p>
            <w:pPr>
              <w:spacing w:after="40"/>
            </w:pPr>
            <w:r>
              <w:rPr>
                <w:rFonts w:ascii="Arial" w:cs="Arial" w:eastAsia="Arial" w:hAnsi="Arial"/>
                <w:b/>
                <w:bCs/>
                <w:color w:val="E74C3C"/>
                <w:sz w:val="14"/>
                <w:szCs w:val="14"/>
              </w:rPr>
              <w:t xml:space="preserve">BEFORE (Problematic)</w:t>
            </w:r>
          </w:p>
          <w:p>
            <w:pPr>
              <w:spacing w:after="0" w:line="252"/>
            </w:pPr>
            <w:r>
              <w:rPr>
                <w:rFonts w:ascii="Arial" w:cs="Arial" w:eastAsia="Arial" w:hAnsi="Arial"/>
                <w:i/>
                <w:iCs/>
                <w:color w:val="000000"/>
                <w:sz w:val="14"/>
                <w:szCs w:val="14"/>
              </w:rPr>
              <w:t xml:space="preserve">Our invention solves the long-standing problem of conductor joint resistance.</w:t>
            </w:r>
          </w:p>
        </w:tc>
        <w:tc>
          <w:tcPr>
            <w:tcW w:type="dxa" w:w="4680"/>
            <w:tcBorders>
              <w:top w:val="single" w:color="27AE60" w:sz="4"/>
              <w:left w:val="single" w:color="27AE60" w:sz="4"/>
              <w:bottom w:val="single" w:color="27AE60" w:sz="4"/>
              <w:right w:val="single" w:color="27AE60" w:sz="4"/>
            </w:tcBorders>
            <w:shd w:fill="EAFAF1" w:val="clear"/>
            <w:tcMar>
              <w:top w:type="dxa" w:w="80"/>
              <w:left w:type="dxa" w:w="120"/>
              <w:bottom w:type="dxa" w:w="80"/>
              <w:right w:type="dxa" w:w="120"/>
            </w:tcMar>
          </w:tcPr>
          <w:p>
            <w:pPr>
              <w:spacing w:after="40"/>
            </w:pPr>
            <w:r>
              <w:rPr>
                <w:rFonts w:ascii="Arial" w:cs="Arial" w:eastAsia="Arial" w:hAnsi="Arial"/>
                <w:b/>
                <w:bCs/>
                <w:color w:val="27AE60"/>
                <w:sz w:val="14"/>
                <w:szCs w:val="14"/>
              </w:rPr>
              <w:t xml:space="preserve">AFTER (Patent-Native)</w:t>
            </w:r>
          </w:p>
          <w:p>
            <w:pPr>
              <w:spacing w:after="0" w:line="252"/>
            </w:pPr>
            <w:r>
              <w:rPr>
                <w:rFonts w:ascii="Arial" w:cs="Arial" w:eastAsia="Arial" w:hAnsi="Arial"/>
                <w:color w:val="000000"/>
                <w:sz w:val="14"/>
                <w:szCs w:val="14"/>
              </w:rPr>
              <w:t xml:space="preserve">The present disclosure provides, in at least one embodiment, a conductor joint assembly exhibiting reduced electrical resistance relative to conventional approaches.</w:t>
            </w:r>
          </w:p>
        </w:tc>
      </w:tr>
    </w:tbl>
    <w:p>
      <w:pPr>
        <w:spacing w:after="160"/>
        <w:rPr>
          <w:i/>
          <w:iCs/>
          <w:color w:val="666666"/>
          <w:sz w:val="14"/>
          <w:szCs w:val="14"/>
        </w:rPr>
      </w:pPr>
      <w:r>
        <w:rPr>
          <w:rFonts w:ascii="Arial" w:cs="Arial" w:eastAsia="Arial" w:hAnsi="Arial"/>
          <w:i/>
          <w:iCs/>
          <w:color w:val="666666"/>
          <w:sz w:val="14"/>
          <w:szCs w:val="14"/>
        </w:rPr>
        <w:t xml:space="preserve">Correction: Remove possessive 'our'; replace 'solves' with quantified improvement.</w:t>
      </w:r>
    </w:p>
    <w:p>
      <w:pPr>
        <w:spacing w:after="80"/>
      </w:pPr>
    </w:p>
    <w:p>
      <w:pPr>
        <w:spacing w:after="60"/>
      </w:pPr>
      <w:r>
        <w:rPr>
          <w:rFonts w:ascii="Arial" w:cs="Arial" w:eastAsia="Arial" w:hAnsi="Arial"/>
          <w:b/>
          <w:bCs/>
          <w:color w:val="1B4F72"/>
          <w:sz w:val="18"/>
          <w:szCs w:val="18"/>
        </w:rPr>
        <w:t xml:space="preserve">Example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74C3C" w:sz="4"/>
              <w:left w:val="single" w:color="E74C3C" w:sz="4"/>
              <w:bottom w:val="single" w:color="E74C3C" w:sz="4"/>
              <w:right w:val="single" w:color="E74C3C" w:sz="4"/>
            </w:tcBorders>
            <w:shd w:fill="FDEDEC" w:val="clear"/>
            <w:tcMar>
              <w:top w:type="dxa" w:w="80"/>
              <w:left w:type="dxa" w:w="120"/>
              <w:bottom w:type="dxa" w:w="80"/>
              <w:right w:type="dxa" w:w="120"/>
            </w:tcMar>
          </w:tcPr>
          <w:p>
            <w:pPr>
              <w:spacing w:after="40"/>
            </w:pPr>
            <w:r>
              <w:rPr>
                <w:rFonts w:ascii="Arial" w:cs="Arial" w:eastAsia="Arial" w:hAnsi="Arial"/>
                <w:b/>
                <w:bCs/>
                <w:color w:val="E74C3C"/>
                <w:sz w:val="14"/>
                <w:szCs w:val="14"/>
              </w:rPr>
              <w:t xml:space="preserve">BEFORE (Problematic)</w:t>
            </w:r>
          </w:p>
          <w:p>
            <w:pPr>
              <w:spacing w:after="0" w:line="252"/>
            </w:pPr>
            <w:r>
              <w:rPr>
                <w:rFonts w:ascii="Arial" w:cs="Arial" w:eastAsia="Arial" w:hAnsi="Arial"/>
                <w:i/>
                <w:iCs/>
                <w:color w:val="000000"/>
                <w:sz w:val="14"/>
                <w:szCs w:val="14"/>
              </w:rPr>
              <w:t xml:space="preserve">The new approach completely eliminates the need for post-processing.</w:t>
            </w:r>
          </w:p>
        </w:tc>
        <w:tc>
          <w:tcPr>
            <w:tcW w:type="dxa" w:w="4680"/>
            <w:tcBorders>
              <w:top w:val="single" w:color="27AE60" w:sz="4"/>
              <w:left w:val="single" w:color="27AE60" w:sz="4"/>
              <w:bottom w:val="single" w:color="27AE60" w:sz="4"/>
              <w:right w:val="single" w:color="27AE60" w:sz="4"/>
            </w:tcBorders>
            <w:shd w:fill="EAFAF1" w:val="clear"/>
            <w:tcMar>
              <w:top w:type="dxa" w:w="80"/>
              <w:left w:type="dxa" w:w="120"/>
              <w:bottom w:type="dxa" w:w="80"/>
              <w:right w:type="dxa" w:w="120"/>
            </w:tcMar>
          </w:tcPr>
          <w:p>
            <w:pPr>
              <w:spacing w:after="40"/>
            </w:pPr>
            <w:r>
              <w:rPr>
                <w:rFonts w:ascii="Arial" w:cs="Arial" w:eastAsia="Arial" w:hAnsi="Arial"/>
                <w:b/>
                <w:bCs/>
                <w:color w:val="27AE60"/>
                <w:sz w:val="14"/>
                <w:szCs w:val="14"/>
              </w:rPr>
              <w:t xml:space="preserve">AFTER (Patent-Native)</w:t>
            </w:r>
          </w:p>
          <w:p>
            <w:pPr>
              <w:spacing w:after="0" w:line="252"/>
            </w:pPr>
            <w:r>
              <w:rPr>
                <w:rFonts w:ascii="Arial" w:cs="Arial" w:eastAsia="Arial" w:hAnsi="Arial"/>
                <w:color w:val="000000"/>
                <w:sz w:val="14"/>
                <w:szCs w:val="14"/>
              </w:rPr>
              <w:t xml:space="preserve">In some embodiments, the disclosed method reduces or eliminates the requirement for one or more post-processing steps associated with conventional manufacturing.</w:t>
            </w:r>
          </w:p>
        </w:tc>
      </w:tr>
    </w:tbl>
    <w:p>
      <w:pPr>
        <w:spacing w:after="160"/>
        <w:rPr>
          <w:i/>
          <w:iCs/>
          <w:color w:val="666666"/>
          <w:sz w:val="14"/>
          <w:szCs w:val="14"/>
        </w:rPr>
      </w:pPr>
      <w:r>
        <w:rPr>
          <w:rFonts w:ascii="Arial" w:cs="Arial" w:eastAsia="Arial" w:hAnsi="Arial"/>
          <w:i/>
          <w:iCs/>
          <w:color w:val="666666"/>
          <w:sz w:val="14"/>
          <w:szCs w:val="14"/>
        </w:rPr>
        <w:t xml:space="preserve">Correction: Replace absolute 'completely eliminates' with 'reduces or eliminates'; qualify with 'in some embodiments'.</w:t>
      </w:r>
    </w:p>
    <w:p>
      <w:pPr>
        <w:spacing w:after="80"/>
      </w:pPr>
    </w:p>
    <w:p>
      <w:r>
        <w:br w:type="page"/>
      </w:r>
    </w:p>
    <w:p>
      <w:pPr>
        <w:pStyle w:val="Heading1"/>
      </w:pPr>
      <w:r>
        <w:rPr>
          <w:rFonts w:ascii="Arial" w:cs="Arial" w:eastAsia="Arial" w:hAnsi="Arial"/>
        </w:rPr>
        <w:t xml:space="preserve">11. Coined Terms &amp; Measurement Standards</w:t>
      </w:r>
    </w:p>
    <w:p>
      <w:pPr>
        <w:spacing w:after="120" w:line="276"/>
      </w:pPr>
      <w:r>
        <w:rPr>
          <w:rFonts w:ascii="Arial" w:cs="Arial" w:eastAsia="Arial" w:hAnsi="Arial"/>
          <w:color w:val="000000"/>
          <w:sz w:val="16"/>
          <w:szCs w:val="16"/>
        </w:rPr>
        <w:t xml:space="preserve">When the AI coins a term (e.g., 'Engineered Deflection Interface'), it must explicitly define how the associated parameter is measured. For every quantitative parameter claimed (e.g., shear strength, fracture toughness, Wenzel roughness factor), include a sentence in the Detailed Description specifying the industry-standard measurement method (e.g., ASTM, ISO standards). Add worked examples showing calculated parameter values from given inputs. Include a terminology glossary defining all key terms used in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single" w:color="F39C12" w:sz="6"/>
              <w:bottom w:val="single" w:color="F39C12" w:sz="6"/>
              <w:right w:val="single" w:color="F39C12" w:sz="6"/>
            </w:tcBorders>
            <w:shd w:fill="FEF9E7" w:val="clear"/>
            <w:tcMar>
              <w:top w:type="dxa" w:w="100"/>
              <w:left w:type="dxa" w:w="160"/>
              <w:bottom w:type="dxa" w:w="100"/>
              <w:right w:type="dxa" w:w="160"/>
            </w:tcMar>
          </w:tcPr>
          <w:p>
            <w:pPr>
              <w:spacing w:after="60"/>
            </w:pPr>
            <w:r>
              <w:rPr>
                <w:rFonts w:ascii="Arial" w:cs="Arial" w:eastAsia="Arial" w:hAnsi="Arial"/>
                <w:b/>
                <w:bCs/>
                <w:color w:val="F39C12"/>
                <w:sz w:val="16"/>
                <w:szCs w:val="16"/>
              </w:rPr>
              <w:t xml:space="preserve">IMPORTANT: Definitional Best Practice</w:t>
            </w:r>
          </w:p>
          <w:p>
            <w:pPr>
              <w:spacing w:after="0" w:line="264"/>
            </w:pPr>
            <w:r>
              <w:rPr>
                <w:rFonts w:ascii="Arial" w:cs="Arial" w:eastAsia="Arial" w:hAnsi="Arial"/>
                <w:color w:val="333333"/>
                <w:sz w:val="16"/>
                <w:szCs w:val="16"/>
              </w:rPr>
              <w:t xml:space="preserve">The construct 'as used herein, [term] means...' appears 85 times across the corpus, reflecting a robust practice of explicitly defining key terms to control claim interpretation. Always define coined terms using this construct in the specification.</w:t>
            </w:r>
          </w:p>
        </w:tc>
      </w:tr>
    </w:tbl>
    <w:p>
      <w:pPr>
        <w:spacing w:after="120"/>
      </w:pPr>
    </w:p>
    <w:p>
      <w:pPr>
        <w:pStyle w:val="Heading1"/>
      </w:pPr>
      <w:r>
        <w:rPr>
          <w:rFonts w:ascii="Arial" w:cs="Arial" w:eastAsia="Arial" w:hAnsi="Arial"/>
        </w:rPr>
        <w:t xml:space="preserve">12. AI Strengths to Preserve</w:t>
      </w:r>
    </w:p>
    <w:p>
      <w:pPr>
        <w:spacing w:after="120" w:line="276"/>
      </w:pPr>
      <w:r>
        <w:rPr>
          <w:rFonts w:ascii="Arial" w:cs="Arial" w:eastAsia="Arial" w:hAnsi="Arial"/>
          <w:color w:val="000000"/>
          <w:sz w:val="16"/>
          <w:szCs w:val="16"/>
        </w:rPr>
        <w:t xml:space="preserve">The following capabilities have been assessed as strong across all analyses and should be preserved and enhanced in AI-assisted drafting: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rPr>
          <w:tblHeader/>
        </w:trPr>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Capability</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Rating</w:t>
            </w:r>
          </w:p>
        </w:tc>
        <w:tc>
          <w:tcPr>
            <w:tcW w:type="dxa" w:w="5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Assessment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Technical accuracy of claims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Strong</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Claim elements are technically correct and well-parameterized across all filings reviewed.</w:t>
            </w:r>
          </w:p>
        </w:tc>
      </w:tr>
      <w:tr>
        <w:tc>
          <w:tcPr>
            <w:tcW w:type="dxa" w:w="2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Claim architecture and cascading</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Strong</w:t>
            </w:r>
          </w:p>
        </w:tc>
        <w:tc>
          <w:tcPr>
            <w:tcW w:type="dxa" w:w="57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Nested funnel structures with logical narrowing exceed some peer patents in systematic rigor.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Prior art identification and coverage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Strong</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More thorough prior art discussion than any peer patent reviewed, though over-aggressive in tone.</w:t>
            </w:r>
          </w:p>
        </w:tc>
      </w:tr>
      <w:tr>
        <w:tc>
          <w:tcPr>
            <w:tcW w:type="dxa" w:w="2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Cross-referencing and portfolio integration</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Strong</w:t>
            </w:r>
          </w:p>
        </w:tc>
        <w:tc>
          <w:tcPr>
            <w:tcW w:type="dxa" w:w="57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Portfolio interlocking and companion filing cross-references exceed peer conventions.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Tripartite claim structure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Strong</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Device, method-of-use, and method-of-manufacturing claims deployed consistently and correctly.</w:t>
            </w:r>
          </w:p>
        </w:tc>
      </w:tr>
    </w:tbl>
    <w:p>
      <w:pPr>
        <w:spacing w:after="120"/>
      </w:pPr>
    </w:p>
    <w:p>
      <w:pPr>
        <w:pStyle w:val="Heading1"/>
      </w:pPr>
      <w:r>
        <w:rPr>
          <w:rFonts w:ascii="Arial" w:cs="Arial" w:eastAsia="Arial" w:hAnsi="Arial"/>
        </w:rPr>
        <w:t xml:space="preserve">13. Pre-Filing Checklist</w:t>
      </w:r>
    </w:p>
    <w:p>
      <w:pPr>
        <w:spacing w:after="120" w:line="276"/>
      </w:pPr>
      <w:r>
        <w:rPr>
          <w:rFonts w:ascii="Arial" w:cs="Arial" w:eastAsia="Arial" w:hAnsi="Arial"/>
          <w:color w:val="000000"/>
          <w:sz w:val="16"/>
          <w:szCs w:val="16"/>
        </w:rPr>
        <w:t xml:space="preserve">Run the following checks on every AI-generated patent draft before filing: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Check</w:t>
            </w:r>
          </w:p>
        </w:tc>
        <w:tc>
          <w:tcPr>
            <w:tcW w:type="dxa" w:w="6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6"/>
                <w:szCs w:val="16"/>
              </w:rPr>
              <w:t xml:space="preserve">Verification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Content Separation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No strategy, competitive analysis, prosecution rationale, internal notes, or practitioner comments in the specification.</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Blocklist Scan</w:t>
            </w:r>
          </w:p>
        </w:tc>
        <w:tc>
          <w:tcPr>
            <w:tcW w:type="dxa" w:w="69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All prohibited terms flagged and replaced (see Section 3). Context-aware: whitelist scientific terms of art.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Register Consistency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Single neutral-technical register throughout. No advocacy, marketing, pedagogy, or business strategy language.</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Antecedent Basis Audit</w:t>
            </w:r>
          </w:p>
        </w:tc>
        <w:tc>
          <w:tcPr>
            <w:tcW w:type="dxa" w:w="69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All claim terms introduced with 'a/an' and referenced with 'the/said.' No orphaned references.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Claim Numbering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Strict sequential order. No alphanumeric suffixes. No skipped numbers. Claim tree validated.</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Terminology Consistency</w:t>
            </w:r>
          </w:p>
        </w:tc>
        <w:tc>
          <w:tcPr>
            <w:tcW w:type="dxa" w:w="69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Each claim term maps to exactly one specification term. No unresolved synonyms.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Prophetic Language Audit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All prophetic assertions use conditional language with uncertainty bounds. Correct tense throughout.</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Placeholder Elimination</w:t>
            </w:r>
          </w:p>
        </w:tc>
        <w:tc>
          <w:tcPr>
            <w:tcW w:type="dxa" w:w="69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No raw prompt artifacts, unresolved dates, empty sections, or figure placeholders.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Scientific Notation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All formulas, units, and Greek letters in standard notation. No phonetic spelling.</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Background Neutrality</w:t>
            </w:r>
          </w:p>
        </w:tc>
        <w:tc>
          <w:tcPr>
            <w:tcW w:type="dxa" w:w="69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No competitor names, no specific citations, no absolute prior art claims. 3–4 paragraphs maximum.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Non-Standard Content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64"/>
            </w:pPr>
            <w:r>
              <w:rPr>
                <w:rFonts w:ascii="Arial" w:cs="Arial" w:eastAsia="Arial" w:hAnsi="Arial"/>
                <w:color w:val="000000"/>
                <w:sz w:val="16"/>
                <w:szCs w:val="16"/>
              </w:rPr>
              <w:t xml:space="preserve">Executive cover sheets, strategy memos, claim architecture mind maps, and practitioner notes stripped.</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Completeness</w:t>
            </w:r>
          </w:p>
        </w:tc>
        <w:tc>
          <w:tcPr>
            <w:tcW w:type="dxa" w:w="69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40" w:line="264"/>
            </w:pPr>
            <w:r>
              <w:rPr>
                <w:rFonts w:ascii="Arial" w:cs="Arial" w:eastAsia="Arial" w:hAnsi="Arial"/>
                <w:color w:val="000000"/>
                <w:sz w:val="16"/>
                <w:szCs w:val="16"/>
              </w:rPr>
              <w:t xml:space="preserve">All sections have substantive content. No paragraphs begin mid-sentence. All examples have body text.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single" w:color="1B4F72" w:sz="6"/>
              <w:bottom w:val="single" w:color="1B4F72" w:sz="6"/>
              <w:right w:val="single" w:color="1B4F72" w:sz="6"/>
            </w:tcBorders>
            <w:shd w:fill="D6EAF8" w:val="clear"/>
            <w:tcMar>
              <w:top w:type="dxa" w:w="100"/>
              <w:left w:type="dxa" w:w="160"/>
              <w:bottom w:type="dxa" w:w="100"/>
              <w:right w:type="dxa" w:w="160"/>
            </w:tcMar>
          </w:tcPr>
          <w:p>
            <w:pPr>
              <w:spacing w:after="60"/>
            </w:pPr>
            <w:r>
              <w:rPr>
                <w:rFonts w:ascii="Arial" w:cs="Arial" w:eastAsia="Arial" w:hAnsi="Arial"/>
                <w:b/>
                <w:bCs/>
                <w:color w:val="1B4F72"/>
                <w:sz w:val="16"/>
                <w:szCs w:val="16"/>
              </w:rPr>
              <w:t xml:space="preserve">KEY RECOMMENDATION</w:t>
            </w:r>
          </w:p>
          <w:p>
            <w:pPr>
              <w:spacing w:after="0" w:line="264"/>
            </w:pPr>
            <w:r>
              <w:rPr>
                <w:rFonts w:ascii="Arial" w:cs="Arial" w:eastAsia="Arial" w:hAnsi="Arial"/>
                <w:color w:val="333333"/>
                <w:sz w:val="16"/>
                <w:szCs w:val="16"/>
              </w:rPr>
              <w:t xml:space="preserve">The single most impactful process change is generating separate deliverables. Embedding strategy, prosecution arguments, and internal notes within the specification is the root cause of most identified deficiencies. Separating these functions eliminates the genre confusion that produces the AI’s distinctive—and detectable—drafting signature.</w:t>
            </w:r>
          </w:p>
        </w:tc>
      </w:tr>
    </w:tbl>
    <w:p>
      <w:r>
        <w:br w:type="page"/>
      </w:r>
    </w:p>
    <w:p>
      <w:pPr>
        <w:pStyle w:val="Heading1"/>
      </w:pPr>
      <w:r>
        <w:rPr>
          <w:rFonts w:ascii="Arial" w:cs="Arial" w:eastAsia="Arial" w:hAnsi="Arial"/>
        </w:rPr>
        <w:t xml:space="preserve">14. References</w:t>
      </w:r>
    </w:p>
    <w:p>
      <w:pPr>
        <w:spacing w:after="120" w:line="276"/>
      </w:pPr>
      <w:r>
        <w:rPr>
          <w:rFonts w:ascii="Arial" w:cs="Arial" w:eastAsia="Arial" w:hAnsi="Arial"/>
          <w:color w:val="000000"/>
          <w:sz w:val="16"/>
          <w:szCs w:val="16"/>
        </w:rPr>
        <w:t xml:space="preserve">The following references informed the analyses underlying this guide:</w:t>
      </w:r>
    </w:p>
    <w:p>
      <w:pPr>
        <w:spacing w:after="60"/>
      </w:pPr>
      <w:r>
        <w:rPr>
          <w:rFonts w:ascii="Arial" w:cs="Arial" w:eastAsia="Arial" w:hAnsi="Arial"/>
          <w:b/>
          <w:bCs/>
          <w:color w:val="000000"/>
          <w:sz w:val="14"/>
          <w:szCs w:val="14"/>
        </w:rPr>
        <w:t xml:space="preserve">[1] </w:t>
      </w:r>
      <w:r>
        <w:rPr>
          <w:rFonts w:ascii="Arial" w:cs="Arial" w:eastAsia="Arial" w:hAnsi="Arial"/>
          <w:color w:val="000000"/>
          <w:sz w:val="14"/>
          <w:szCs w:val="14"/>
        </w:rPr>
        <w:t xml:space="preserve">U.S. Patent and Trademark Office. (2021). Basics of claim drafting for utility patent applications. USPTO Invention-Con 2021.</w:t>
      </w:r>
    </w:p>
    <w:p>
      <w:pPr>
        <w:spacing w:after="60"/>
      </w:pPr>
      <w:r>
        <w:rPr>
          <w:rFonts w:ascii="Arial" w:cs="Arial" w:eastAsia="Arial" w:hAnsi="Arial"/>
          <w:b/>
          <w:bCs/>
          <w:color w:val="000000"/>
          <w:sz w:val="14"/>
          <w:szCs w:val="14"/>
        </w:rPr>
        <w:t xml:space="preserve">[2] </w:t>
      </w:r>
      <w:r>
        <w:rPr>
          <w:rFonts w:ascii="Arial" w:cs="Arial" w:eastAsia="Arial" w:hAnsi="Arial"/>
          <w:color w:val="000000"/>
          <w:sz w:val="14"/>
          <w:szCs w:val="14"/>
        </w:rPr>
        <w:t xml:space="preserve">U.S. Patent and Trademark Office. (2017). Claim drafting workshop. USPTO Invention-Con 2017.</w:t>
      </w:r>
    </w:p>
    <w:p>
      <w:pPr>
        <w:spacing w:after="60"/>
      </w:pPr>
      <w:r>
        <w:rPr>
          <w:rFonts w:ascii="Arial" w:cs="Arial" w:eastAsia="Arial" w:hAnsi="Arial"/>
          <w:b/>
          <w:bCs/>
          <w:color w:val="000000"/>
          <w:sz w:val="14"/>
          <w:szCs w:val="14"/>
        </w:rPr>
        <w:t xml:space="preserve">[3] </w:t>
      </w:r>
      <w:r>
        <w:rPr>
          <w:rFonts w:ascii="Arial" w:cs="Arial" w:eastAsia="Arial" w:hAnsi="Arial"/>
          <w:color w:val="000000"/>
          <w:sz w:val="14"/>
          <w:szCs w:val="14"/>
        </w:rPr>
        <w:t xml:space="preserve">U.S. Patent and Trademark Office. (2021). Properly presenting prophetic and working examples in a patent application. Federal Register, 86(124), 34349–34353.</w:t>
      </w:r>
    </w:p>
    <w:p>
      <w:pPr>
        <w:spacing w:after="60"/>
      </w:pPr>
      <w:r>
        <w:rPr>
          <w:rFonts w:ascii="Arial" w:cs="Arial" w:eastAsia="Arial" w:hAnsi="Arial"/>
          <w:b/>
          <w:bCs/>
          <w:color w:val="000000"/>
          <w:sz w:val="14"/>
          <w:szCs w:val="14"/>
        </w:rPr>
        <w:t xml:space="preserve">[4] </w:t>
      </w:r>
      <w:r>
        <w:rPr>
          <w:rFonts w:ascii="Arial" w:cs="Arial" w:eastAsia="Arial" w:hAnsi="Arial"/>
          <w:color w:val="000000"/>
          <w:sz w:val="14"/>
          <w:szCs w:val="14"/>
        </w:rPr>
        <w:t xml:space="preserve">Tokamak Energy Ltd. (2024). Breeder blanket for nuclear fusion reactor (U.S. Patent No. 11,869,677 B2). USPTO.</w:t>
      </w:r>
    </w:p>
    <w:p>
      <w:pPr>
        <w:spacing w:after="60"/>
      </w:pPr>
      <w:r>
        <w:rPr>
          <w:rFonts w:ascii="Arial" w:cs="Arial" w:eastAsia="Arial" w:hAnsi="Arial"/>
          <w:b/>
          <w:bCs/>
          <w:color w:val="000000"/>
          <w:sz w:val="14"/>
          <w:szCs w:val="14"/>
        </w:rPr>
        <w:t xml:space="preserve">[5] </w:t>
      </w:r>
      <w:r>
        <w:rPr>
          <w:rFonts w:ascii="Arial" w:cs="Arial" w:eastAsia="Arial" w:hAnsi="Arial"/>
          <w:color w:val="000000"/>
          <w:sz w:val="14"/>
          <w:szCs w:val="14"/>
        </w:rPr>
        <w:t xml:space="preserve">Tokamak Energy Ltd. (2023). Breeder blanket (European Patent Application No. EP4248462A1). EPO.</w:t>
      </w:r>
    </w:p>
    <w:p>
      <w:pPr>
        <w:spacing w:after="60"/>
      </w:pPr>
      <w:r>
        <w:rPr>
          <w:rFonts w:ascii="Arial" w:cs="Arial" w:eastAsia="Arial" w:hAnsi="Arial"/>
          <w:b/>
          <w:bCs/>
          <w:color w:val="000000"/>
          <w:sz w:val="14"/>
          <w:szCs w:val="14"/>
        </w:rPr>
        <w:t xml:space="preserve">[6] </w:t>
      </w:r>
      <w:r>
        <w:rPr>
          <w:rFonts w:ascii="Arial" w:cs="Arial" w:eastAsia="Arial" w:hAnsi="Arial"/>
          <w:color w:val="000000"/>
          <w:sz w:val="14"/>
          <w:szCs w:val="14"/>
        </w:rPr>
        <w:t xml:space="preserve">Indian Institute of Petroleum Research. (2025). A novel process for production of composite tritium breeder material (U.S. Patent Application No. 20250182914A1). USPTO.</w:t>
      </w:r>
    </w:p>
    <w:p>
      <w:pPr>
        <w:spacing w:after="60"/>
      </w:pPr>
      <w:r>
        <w:rPr>
          <w:rFonts w:ascii="Arial" w:cs="Arial" w:eastAsia="Arial" w:hAnsi="Arial"/>
          <w:b/>
          <w:bCs/>
          <w:color w:val="000000"/>
          <w:sz w:val="14"/>
          <w:szCs w:val="14"/>
        </w:rPr>
        <w:t xml:space="preserve">[7] </w:t>
      </w:r>
      <w:r>
        <w:rPr>
          <w:rFonts w:ascii="Arial" w:cs="Arial" w:eastAsia="Arial" w:hAnsi="Arial"/>
          <w:color w:val="000000"/>
          <w:sz w:val="14"/>
          <w:szCs w:val="14"/>
        </w:rPr>
        <w:t xml:space="preserve">Tokamak Energy Ltd. (2022). Double null liquid metal diverters (U.S. Patent No. 11,398,314 B2). USPTO.</w:t>
      </w:r>
    </w:p>
    <w:p>
      <w:pPr>
        <w:spacing w:after="60"/>
      </w:pPr>
      <w:r>
        <w:rPr>
          <w:rFonts w:ascii="Arial" w:cs="Arial" w:eastAsia="Arial" w:hAnsi="Arial"/>
          <w:b/>
          <w:bCs/>
          <w:color w:val="000000"/>
          <w:sz w:val="14"/>
          <w:szCs w:val="14"/>
        </w:rPr>
        <w:t xml:space="preserve">[8] </w:t>
      </w:r>
      <w:r>
        <w:rPr>
          <w:rFonts w:ascii="Arial" w:cs="Arial" w:eastAsia="Arial" w:hAnsi="Arial"/>
          <w:color w:val="000000"/>
          <w:sz w:val="14"/>
          <w:szCs w:val="14"/>
        </w:rPr>
        <w:t xml:space="preserve">The Research Foundation for SUNY. (2021). Additive manufacturing processes and additively manufactured products (U.S. Patent No. 11,167,375 B2). USPTO.</w:t>
      </w:r>
    </w:p>
    <w:p>
      <w:pPr>
        <w:spacing w:after="60"/>
      </w:pPr>
      <w:r>
        <w:rPr>
          <w:rFonts w:ascii="Arial" w:cs="Arial" w:eastAsia="Arial" w:hAnsi="Arial"/>
          <w:b/>
          <w:bCs/>
          <w:color w:val="000000"/>
          <w:sz w:val="14"/>
          <w:szCs w:val="14"/>
        </w:rPr>
        <w:t xml:space="preserve">[9] </w:t>
      </w:r>
      <w:r>
        <w:rPr>
          <w:rFonts w:ascii="Arial" w:cs="Arial" w:eastAsia="Arial" w:hAnsi="Arial"/>
          <w:color w:val="000000"/>
          <w:sz w:val="14"/>
          <w:szCs w:val="14"/>
        </w:rPr>
        <w:t xml:space="preserve">Henry Patent Law Firm. (2020). New USPTO guidance and implications for better patent drafting.</w:t>
      </w:r>
    </w:p>
    <w:p>
      <w:pPr>
        <w:spacing w:after="60"/>
      </w:pPr>
      <w:r>
        <w:rPr>
          <w:rFonts w:ascii="Arial" w:cs="Arial" w:eastAsia="Arial" w:hAnsi="Arial"/>
          <w:b/>
          <w:bCs/>
          <w:color w:val="000000"/>
          <w:sz w:val="14"/>
          <w:szCs w:val="14"/>
        </w:rPr>
        <w:t xml:space="preserve">[10] </w:t>
      </w:r>
      <w:r>
        <w:rPr>
          <w:rFonts w:ascii="Arial" w:cs="Arial" w:eastAsia="Arial" w:hAnsi="Arial"/>
          <w:color w:val="000000"/>
          <w:sz w:val="14"/>
          <w:szCs w:val="14"/>
        </w:rPr>
        <w:t xml:space="preserve">Brown &amp; Michaels. (n.d.). Pitfalls and traps in claim drafting.</w:t>
      </w:r>
    </w:p>
    <w:p>
      <w:pPr>
        <w:spacing w:after="60"/>
      </w:pPr>
      <w:r>
        <w:rPr>
          <w:rFonts w:ascii="Arial" w:cs="Arial" w:eastAsia="Arial" w:hAnsi="Arial"/>
          <w:b/>
          <w:bCs/>
          <w:color w:val="000000"/>
          <w:sz w:val="14"/>
          <w:szCs w:val="14"/>
        </w:rPr>
        <w:t xml:space="preserve">[11] </w:t>
      </w:r>
      <w:r>
        <w:rPr>
          <w:rFonts w:ascii="Arial" w:cs="Arial" w:eastAsia="Arial" w:hAnsi="Arial"/>
          <w:color w:val="000000"/>
          <w:sz w:val="14"/>
          <w:szCs w:val="14"/>
        </w:rPr>
        <w:t xml:space="preserve">Finnegan, Henderson, Farabow, Garrett &amp; Dunner, LLP. (n.d.). Practical considerations and strategies in drafting U.S. patent applications.</w:t>
      </w:r>
    </w:p>
    <w:p>
      <w:pPr>
        <w:spacing w:after="60"/>
      </w:pPr>
      <w:r>
        <w:rPr>
          <w:rFonts w:ascii="Arial" w:cs="Arial" w:eastAsia="Arial" w:hAnsi="Arial"/>
          <w:b/>
          <w:bCs/>
          <w:color w:val="000000"/>
          <w:sz w:val="14"/>
          <w:szCs w:val="14"/>
        </w:rPr>
        <w:t xml:space="preserve">[12] </w:t>
      </w:r>
      <w:r>
        <w:rPr>
          <w:rFonts w:ascii="Arial" w:cs="Arial" w:eastAsia="Arial" w:hAnsi="Arial"/>
          <w:color w:val="000000"/>
          <w:sz w:val="14"/>
          <w:szCs w:val="14"/>
        </w:rPr>
        <w:t xml:space="preserve">Hernández, F., &amp; Pereslavtsev, P. (2018). First principles review of options for tritium breeder and neutron multiplier materials. Fusion Engineering and Design, 137, 243–256.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5C1E9" w:sz="4" w:space="4"/>
      </w:pBdr>
      <w:jc w:val="center"/>
    </w:pPr>
    <w:r>
      <w:rPr>
        <w:rFonts w:ascii="Arial" w:cs="Arial" w:eastAsia="Arial" w:hAnsi="Arial"/>
        <w:color w:val="666666"/>
        <w:sz w:val="14"/>
        <w:szCs w:val="14"/>
      </w:rPr>
      <w:t xml:space="preserve">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5C1E9" w:sz="4" w:space="4"/>
      </w:pBdr>
      <w:tabs>
        <w:tab w:val="right" w:pos="9026"/>
      </w:tabs>
    </w:pPr>
    <w:r>
      <w:rPr>
        <w:rFonts w:ascii="Arial" w:cs="Arial" w:eastAsia="Arial" w:hAnsi="Arial"/>
        <w:i/>
        <w:iCs/>
        <w:color w:val="666666"/>
        <w:sz w:val="14"/>
        <w:szCs w:val="14"/>
      </w:rPr>
      <w:t xml:space="preserve">AI Patent Language Guide</w:t>
    </w:r>
    <w:r>
      <w:rPr>
        <w:rFonts w:ascii="Arial" w:cs="Arial" w:eastAsia="Arial" w:hAnsi="Arial"/>
        <w:color w:val="666666"/>
        <w:sz w:val="14"/>
        <w:szCs w:val="14"/>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B4F72"/>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1B4F72"/>
      <w:sz w:val="24"/>
      <w:szCs w:val="24"/>
    </w:rPr>
  </w:style>
  <w:style w:type="paragraph" w:styleId="Heading3">
    <w:name w:val="Heading 3"/>
    <w:basedOn w:val="Normal"/>
    <w:next w:val="Normal"/>
    <w:qFormat/>
    <w:pPr>
      <w:spacing w:after="100" w:before="160"/>
      <w:outlineLvl w:val="2"/>
    </w:pPr>
    <w:rPr>
      <w:rFonts w:ascii="Arial" w:cs="Arial" w:eastAsia="Arial" w:hAnsi="Arial"/>
      <w:b/>
      <w:bCs/>
      <w:color w:val="2C3E5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2026-03-05T22:21:22.164Z</dcterms:created>
  <dcterms:modified xsi:type="dcterms:W3CDTF">2026-03-05T22:21:22.165Z</dcterms:modified>
</cp:coreProperties>
</file>

<file path=docProps/custom.xml><?xml version="1.0" encoding="utf-8"?>
<Properties xmlns="http://schemas.openxmlformats.org/officeDocument/2006/custom-properties" xmlns:vt="http://schemas.openxmlformats.org/officeDocument/2006/docPropsVTypes"/>
</file>