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200"/>
        <w:jc w:val="center"/>
      </w:pPr>
      <w:r>
        <w:rPr>
          <w:rFonts w:ascii="Arial" w:cs="Arial" w:eastAsia="Arial" w:hAnsi="Arial"/>
          <w:b/>
          <w:bCs/>
          <w:color w:val="2E75B6"/>
          <w:sz w:val="20"/>
          <w:szCs w:val="20"/>
        </w:rPr>
        <w:t xml:space="preserve">USPTO PATENT APPLICATION</w:t>
      </w:r>
    </w:p>
    <w:p>
      <w:pPr>
        <w:spacing w:after="100"/>
        <w:jc w:val="center"/>
      </w:pPr>
      <w:r>
        <w:rPr>
          <w:rFonts w:ascii="Arial" w:cs="Arial" w:eastAsia="Arial" w:hAnsi="Arial"/>
          <w:b/>
          <w:bCs/>
          <w:color w:val="1B2A4A"/>
          <w:sz w:val="36"/>
          <w:szCs w:val="36"/>
        </w:rPr>
        <w:t xml:space="preserve">DRAFTING GUIDELINES</w:t>
      </w:r>
    </w:p>
    <w:p>
      <w:pPr>
        <w:spacing w:after="60"/>
        <w:jc w:val="center"/>
      </w:pPr>
      <w:r>
        <w:rPr>
          <w:rFonts w:ascii="Arial" w:cs="Arial" w:eastAsia="Arial" w:hAnsi="Arial"/>
          <w:color w:val="2E75B6"/>
          <w:sz w:val="20"/>
          <w:szCs w:val="20"/>
        </w:rPr>
        <w:t xml:space="preserve">Compact Prompt &amp; Compliance Reference</w:t>
      </w:r>
    </w:p>
    <w:p>
      <w:pPr>
        <w:pBdr>
          <w:bottom w:val="single" w:color="2E75B6" w:sz="6" w:space="1"/>
        </w:pBdr>
        <w:spacing w:after="200"/>
        <w:jc w:val="center"/>
      </w:pPr>
    </w:p>
    <w:p>
      <w:pPr>
        <w:spacing w:after="60"/>
        <w:jc w:val="center"/>
      </w:pPr>
      <w:r>
        <w:rPr>
          <w:rFonts w:ascii="Arial" w:cs="Arial" w:eastAsia="Arial" w:hAnsi="Arial"/>
          <w:color w:val="555555"/>
          <w:sz w:val="16"/>
          <w:szCs w:val="16"/>
        </w:rPr>
        <w:t xml:space="preserve">Regulatory Basis: 37 CFR Part 1 (Title 37, Chapter I, Subchapter A)</w:t>
      </w:r>
    </w:p>
    <w:p>
      <w:pPr>
        <w:spacing w:after="60"/>
        <w:jc w:val="center"/>
      </w:pPr>
      <w:r>
        <w:rPr>
          <w:rFonts w:ascii="Arial" w:cs="Arial" w:eastAsia="Arial" w:hAnsi="Arial"/>
          <w:color w:val="555555"/>
          <w:sz w:val="16"/>
          <w:szCs w:val="16"/>
        </w:rPr>
        <w:t xml:space="preserve">Key Sections: § 1.52 | § 1.71 | § 1.72 | § 1.75 | § 1.77 | § 1.84</w:t>
      </w:r>
    </w:p>
    <w:p>
      <w:pPr>
        <w:spacing w:after="0"/>
      </w:pPr>
    </w:p>
    <w:p>
      <w:pPr>
        <w:spacing w:after="0"/>
      </w:pPr>
    </w:p>
    <w:p>
      <w:pPr>
        <w:spacing w:after="0"/>
      </w:pPr>
    </w:p>
    <w:p>
      <w:pPr>
        <w:spacing w:after="0"/>
      </w:pPr>
    </w:p>
    <w:p>
      <w:pPr>
        <w:spacing w:after="0"/>
      </w:pPr>
    </w:p>
    <w:p>
      <w:pPr>
        <w:spacing w:after="60"/>
        <w:jc w:val="center"/>
      </w:pPr>
      <w:r>
        <w:rPr>
          <w:rFonts w:ascii="Arial" w:cs="Arial" w:eastAsia="Arial" w:hAnsi="Arial"/>
          <w:color w:val="777777"/>
          <w:sz w:val="16"/>
          <w:szCs w:val="16"/>
        </w:rPr>
        <w:t xml:space="preserve">Prepared: February 2026</w:t>
      </w:r>
    </w:p>
    <w:p>
      <w:pPr>
        <w:spacing w:after="60"/>
        <w:jc w:val="center"/>
      </w:pPr>
      <w:r>
        <w:rPr>
          <w:rFonts w:ascii="Arial" w:cs="Arial" w:eastAsia="Arial" w:hAnsi="Arial"/>
          <w:i/>
          <w:iCs/>
          <w:color w:val="999999"/>
          <w:sz w:val="14"/>
          <w:szCs w:val="14"/>
        </w:rPr>
        <w:t xml:space="preserve">This document is intended as an operational reference. It does not constitute legal advice.</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2A4A"/>
          <w:sz w:val="22"/>
          <w:szCs w:val="2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B2A4A"/>
          <w:sz w:val="22"/>
          <w:szCs w:val="22"/>
        </w:rPr>
        <w:t xml:space="preserve">1. Purpose &amp; Scope</w:t>
      </w:r>
    </w:p>
    <w:p>
      <w:pPr>
        <w:spacing w:after="100" w:line="260"/>
      </w:pPr>
      <w:r>
        <w:rPr>
          <w:rFonts w:ascii="Arial" w:cs="Arial" w:eastAsia="Arial" w:hAnsi="Arial"/>
          <w:sz w:val="16"/>
          <w:szCs w:val="16"/>
        </w:rPr>
        <w:t xml:space="preserve">This document provides a compact, actionable prompt for drafting USPTO utility patent applications that comply with the Code of Federal Regulations, Title 37, Chapter I, Subchapter A, Part 1. The guidelines consolidate requirements from the following key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CFR Section</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Title</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Scope</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1.52</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Language, paper, writing, margins</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Format, paper, font, margins, page numbering</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1.71</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Detailed description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Full, clear, concise specification of the invention</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1.72</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Title and abstract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Title length, abstract content and format</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1.75</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Claims</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Claim structure, dependent/independent, formatting</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1.77</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Arrangement of elements</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Preferred order of application sections</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1.84</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Standards for drawings</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Drawing size, margins, ink, numbering, lettering</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2F2F" w:sz="12"/>
              <w:bottom w:val="none" w:color="FFFFFF" w:sz="0"/>
              <w:right w:val="none" w:color="FFFFFF" w:sz="0"/>
            </w:tcBorders>
            <w:shd w:fill="FDECEC" w:val="clear"/>
            <w:tcMar>
              <w:top w:type="dxa" w:w="100"/>
              <w:left w:type="dxa" w:w="160"/>
              <w:bottom w:type="dxa" w:w="100"/>
              <w:right w:type="dxa" w:w="160"/>
            </w:tcMar>
          </w:tcPr>
          <w:p>
            <w:pPr>
              <w:spacing w:after="60"/>
            </w:pPr>
            <w:r>
              <w:rPr>
                <w:rFonts w:ascii="Arial" w:cs="Arial" w:eastAsia="Arial" w:hAnsi="Arial"/>
                <w:b/>
                <w:bCs/>
                <w:color w:val="1B2A4A"/>
                <w:sz w:val="16"/>
                <w:szCs w:val="16"/>
              </w:rPr>
              <w:t xml:space="preserve">⚠ Important: Regulatory Currency</w:t>
            </w:r>
          </w:p>
          <w:p>
            <w:pPr>
              <w:spacing w:after="0"/>
            </w:pPr>
            <w:r>
              <w:rPr>
                <w:rFonts w:ascii="Arial" w:cs="Arial" w:eastAsia="Arial" w:hAnsi="Arial"/>
                <w:color w:val="333333"/>
                <w:sz w:val="15"/>
                <w:szCs w:val="15"/>
              </w:rPr>
              <w:t xml:space="preserve">This reference is current as of February 2026. The eCFR (ecfr.gov) should always be consulted for the most recent amendments. Title 37 was last amended on February 17, 2026. Always verify against the official source before filing.</w:t>
            </w:r>
          </w:p>
        </w:tc>
      </w:tr>
    </w:tbl>
    <w:p>
      <w:pPr>
        <w:spacing w:after="0"/>
      </w:pPr>
    </w:p>
    <w:p>
      <w:pPr>
        <w:pStyle w:val="Heading1"/>
        <w:spacing w:before="360" w:after="120"/>
      </w:pPr>
      <w:r>
        <w:rPr>
          <w:rFonts w:ascii="Arial" w:cs="Arial" w:eastAsia="Arial" w:hAnsi="Arial"/>
          <w:b/>
          <w:bCs/>
          <w:color w:val="1B2A4A"/>
          <w:sz w:val="22"/>
          <w:szCs w:val="22"/>
        </w:rPr>
        <w:t xml:space="preserve">2. Document Format Requirements (§ 1.52)</w:t>
      </w:r>
    </w:p>
    <w:p>
      <w:pPr>
        <w:pStyle w:val="Heading2"/>
        <w:spacing w:before="240" w:after="120"/>
      </w:pPr>
      <w:r>
        <w:rPr>
          <w:rFonts w:ascii="Arial" w:cs="Arial" w:eastAsia="Arial" w:hAnsi="Arial"/>
          <w:b/>
          <w:bCs/>
          <w:color w:val="1B2A4A"/>
          <w:sz w:val="18"/>
          <w:szCs w:val="18"/>
        </w:rPr>
        <w:t xml:space="preserve">2.1 Paper &amp; Submission Specifications</w:t>
      </w:r>
    </w:p>
    <w:p>
      <w:pPr>
        <w:spacing w:after="100" w:line="260"/>
      </w:pPr>
      <w:r>
        <w:rPr>
          <w:rFonts w:ascii="Arial" w:cs="Arial" w:eastAsia="Arial" w:hAnsi="Arial"/>
          <w:sz w:val="16"/>
          <w:szCs w:val="16"/>
        </w:rPr>
        <w:t xml:space="preserve">Per 37 CFR 1.52(a) and (b), all patent application papers must conform to strict formatting requirements to ensure legibility, reproducibility, and OCR compatibility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Parameter</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Requirement</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Paper Size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A4 (21.0 x 29.7 cm) or US Letter (8.5 x 11 in) [1]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Orientation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Portrait only; written on one side [1]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Top Margin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2.0 cm (3/4 in) [1]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Left Margin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2.5 cm (1 in) [1]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Right Margin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2.0 cm (3/4 in) [1]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Bottom Margin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2.0 cm (3/4 in) [1]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Font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Nonscript type: Arial, Times Roman, or Courier preferred [1, 2]</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Font Size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Minimum text height 0.32 cm (1/8 in); USPTO recommends 12pt [2]</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Ink / Print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Permanent dark ink; black font on white background for electronic [1]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Line Spacing</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1.5 or double spacing recommended for specification [1]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Page Numbering</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Consecutive from 1; centrally located preferably below text [3]</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Paragraph Numbering</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Optional but recommended; Arabic numerals, consecutive, four-digit format [0001] [1]</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8E3C" w:sz="12"/>
              <w:bottom w:val="none" w:color="FFFFFF" w:sz="0"/>
              <w:right w:val="none" w:color="FFFFFF" w:sz="0"/>
            </w:tcBorders>
            <w:shd w:fill="EBF5EB" w:val="clear"/>
            <w:tcMar>
              <w:top w:type="dxa" w:w="100"/>
              <w:left w:type="dxa" w:w="160"/>
              <w:bottom w:type="dxa" w:w="100"/>
              <w:right w:type="dxa" w:w="160"/>
            </w:tcMar>
          </w:tcPr>
          <w:p>
            <w:pPr>
              <w:spacing w:after="60"/>
            </w:pPr>
            <w:r>
              <w:rPr>
                <w:rFonts w:ascii="Arial" w:cs="Arial" w:eastAsia="Arial" w:hAnsi="Arial"/>
                <w:b/>
                <w:bCs/>
                <w:color w:val="1B2A4A"/>
                <w:sz w:val="16"/>
                <w:szCs w:val="16"/>
              </w:rPr>
              <w:t xml:space="preserve">ℹ Insight: Electronic Filing</w:t>
            </w:r>
          </w:p>
          <w:p>
            <w:pPr>
              <w:spacing w:after="0"/>
            </w:pPr>
            <w:r>
              <w:rPr>
                <w:rFonts w:ascii="Arial" w:cs="Arial" w:eastAsia="Arial" w:hAnsi="Arial"/>
                <w:color w:val="333333"/>
                <w:sz w:val="15"/>
                <w:szCs w:val="15"/>
              </w:rPr>
              <w:t xml:space="preserve">Applications submitted electronically via the USPTO patent electronic filing system must comply with the system’s technical requirements. The Office strongly recommends black font on white background for electronic submissions to maximize OCR readability and reproduction quality [1].</w:t>
            </w:r>
          </w:p>
        </w:tc>
      </w:tr>
    </w:tbl>
    <w:p>
      <w:pPr>
        <w:spacing w:after="0"/>
      </w:pPr>
    </w:p>
    <w:p>
      <w:pPr>
        <w:pStyle w:val="Heading2"/>
        <w:spacing w:before="240" w:after="120"/>
      </w:pPr>
      <w:r>
        <w:rPr>
          <w:rFonts w:ascii="Arial" w:cs="Arial" w:eastAsia="Arial" w:hAnsi="Arial"/>
          <w:b/>
          <w:bCs/>
          <w:color w:val="1B2A4A"/>
          <w:sz w:val="18"/>
          <w:szCs w:val="18"/>
        </w:rPr>
        <w:t xml:space="preserve">2.2 Language Requirements</w:t>
      </w:r>
    </w:p>
    <w:p>
      <w:pPr>
        <w:spacing w:after="100" w:line="260"/>
      </w:pPr>
      <w:r>
        <w:rPr>
          <w:rFonts w:ascii="Arial" w:cs="Arial" w:eastAsia="Arial" w:hAnsi="Arial"/>
          <w:sz w:val="16"/>
          <w:szCs w:val="16"/>
        </w:rPr>
        <w:t xml:space="preserve">All patent applications must be in English. If originally filed in another language, an English translation and a statement certifying its accuracy must be submitted [1].</w:t>
      </w:r>
    </w:p>
    <w:p>
      <w:pPr>
        <w:pStyle w:val="Heading1"/>
        <w:spacing w:before="360" w:after="120"/>
      </w:pPr>
      <w:r>
        <w:rPr>
          <w:rFonts w:ascii="Arial" w:cs="Arial" w:eastAsia="Arial" w:hAnsi="Arial"/>
          <w:b/>
          <w:bCs/>
          <w:color w:val="1B2A4A"/>
          <w:sz w:val="22"/>
          <w:szCs w:val="22"/>
        </w:rPr>
        <w:t xml:space="preserve">3. Specification Structure (§ 1.71, § 1.77)</w:t>
      </w:r>
    </w:p>
    <w:p>
      <w:pPr>
        <w:pStyle w:val="Heading2"/>
        <w:spacing w:before="240" w:after="120"/>
      </w:pPr>
      <w:r>
        <w:rPr>
          <w:rFonts w:ascii="Arial" w:cs="Arial" w:eastAsia="Arial" w:hAnsi="Arial"/>
          <w:b/>
          <w:bCs/>
          <w:color w:val="1B2A4A"/>
          <w:sz w:val="18"/>
          <w:szCs w:val="18"/>
        </w:rPr>
        <w:t xml:space="preserve">3.1 Preferred Arrangement of Specification Elements</w:t>
      </w:r>
    </w:p>
    <w:p>
      <w:pPr>
        <w:spacing w:after="100" w:line="260"/>
      </w:pPr>
      <w:r>
        <w:rPr>
          <w:rFonts w:ascii="Arial" w:cs="Arial" w:eastAsia="Arial" w:hAnsi="Arial"/>
          <w:sz w:val="16"/>
          <w:szCs w:val="16"/>
        </w:rPr>
        <w:t xml:space="preserve">37 CFR 1.77(b) establishes the preferred (but not mandatory) order for specification sections. Section headings must appear in UPPERCASE, without underlining or bold type [4, 5].</w:t>
      </w:r>
    </w:p>
    <w:p>
      <w:pPr>
        <w:pStyle w:val="ListParagraph"/>
        <w:numPr>
          <w:ilvl w:val="0"/>
          <w:numId w:val="2"/>
        </w:numPr>
        <w:spacing w:after="40"/>
      </w:pPr>
      <w:r>
        <w:rPr>
          <w:rFonts w:ascii="Arial" w:cs="Arial" w:eastAsia="Arial" w:hAnsi="Arial"/>
          <w:b/>
          <w:bCs/>
          <w:sz w:val="16"/>
          <w:szCs w:val="16"/>
        </w:rPr>
        <w:t xml:space="preserve">TITLE OF THE INVENTION</w:t>
      </w:r>
      <w:r>
        <w:rPr>
          <w:rFonts w:ascii="Arial" w:cs="Arial" w:eastAsia="Arial" w:hAnsi="Arial"/>
          <w:sz w:val="16"/>
          <w:szCs w:val="16"/>
        </w:rPr>
        <w:t xml:space="preserve"> — short, specific, ≤500 characters [6]</w:t>
      </w:r>
    </w:p>
    <w:p>
      <w:pPr>
        <w:pStyle w:val="ListParagraph"/>
        <w:numPr>
          <w:ilvl w:val="0"/>
          <w:numId w:val="2"/>
        </w:numPr>
        <w:spacing w:after="40"/>
      </w:pPr>
      <w:r>
        <w:rPr>
          <w:rFonts w:ascii="Arial" w:cs="Arial" w:eastAsia="Arial" w:hAnsi="Arial"/>
          <w:b/>
          <w:bCs/>
          <w:sz w:val="16"/>
          <w:szCs w:val="16"/>
        </w:rPr>
        <w:t xml:space="preserve">CROSS-REFERENCE TO RELATED APPLICATIONS</w:t>
      </w:r>
    </w:p>
    <w:p>
      <w:pPr>
        <w:pStyle w:val="ListParagraph"/>
        <w:numPr>
          <w:ilvl w:val="0"/>
          <w:numId w:val="2"/>
        </w:numPr>
        <w:spacing w:after="40"/>
      </w:pPr>
      <w:r>
        <w:rPr>
          <w:rFonts w:ascii="Arial" w:cs="Arial" w:eastAsia="Arial" w:hAnsi="Arial"/>
          <w:b/>
          <w:bCs/>
          <w:sz w:val="16"/>
          <w:szCs w:val="16"/>
        </w:rPr>
        <w:t xml:space="preserve">STATEMENT REGARDING FEDERALLY SPONSORED RESEARCH</w:t>
      </w:r>
    </w:p>
    <w:p>
      <w:pPr>
        <w:pStyle w:val="ListParagraph"/>
        <w:numPr>
          <w:ilvl w:val="0"/>
          <w:numId w:val="2"/>
        </w:numPr>
        <w:spacing w:after="40"/>
      </w:pPr>
      <w:r>
        <w:rPr>
          <w:rFonts w:ascii="Arial" w:cs="Arial" w:eastAsia="Arial" w:hAnsi="Arial"/>
          <w:b/>
          <w:bCs/>
          <w:sz w:val="16"/>
          <w:szCs w:val="16"/>
        </w:rPr>
        <w:t xml:space="preserve">INCORPORATION-BY-REFERENCE </w:t>
      </w:r>
      <w:r>
        <w:rPr>
          <w:rFonts w:ascii="Arial" w:cs="Arial" w:eastAsia="Arial" w:hAnsi="Arial"/>
          <w:sz w:val="16"/>
          <w:szCs w:val="16"/>
        </w:rPr>
        <w:t xml:space="preserve">(if applicable)</w:t>
      </w:r>
    </w:p>
    <w:p>
      <w:pPr>
        <w:pStyle w:val="ListParagraph"/>
        <w:numPr>
          <w:ilvl w:val="0"/>
          <w:numId w:val="2"/>
        </w:numPr>
        <w:spacing w:after="40"/>
      </w:pPr>
      <w:r>
        <w:rPr>
          <w:rFonts w:ascii="Arial" w:cs="Arial" w:eastAsia="Arial" w:hAnsi="Arial"/>
          <w:b/>
          <w:bCs/>
          <w:sz w:val="16"/>
          <w:szCs w:val="16"/>
        </w:rPr>
        <w:t xml:space="preserve">STATEMENT REGARDING PRIOR DISCLOSURES</w:t>
      </w:r>
    </w:p>
    <w:p>
      <w:pPr>
        <w:pStyle w:val="ListParagraph"/>
        <w:numPr>
          <w:ilvl w:val="0"/>
          <w:numId w:val="2"/>
        </w:numPr>
        <w:spacing w:after="40"/>
      </w:pPr>
      <w:r>
        <w:rPr>
          <w:rFonts w:ascii="Arial" w:cs="Arial" w:eastAsia="Arial" w:hAnsi="Arial"/>
          <w:b/>
          <w:bCs/>
          <w:sz w:val="16"/>
          <w:szCs w:val="16"/>
        </w:rPr>
        <w:t xml:space="preserve">BACKGROUND OF THE INVENTION</w:t>
      </w:r>
      <w:r>
        <w:rPr>
          <w:rFonts w:ascii="Arial" w:cs="Arial" w:eastAsia="Arial" w:hAnsi="Arial"/>
          <w:sz w:val="16"/>
          <w:szCs w:val="16"/>
        </w:rPr>
        <w:t xml:space="preserve"> (Technical Field + Related Art)</w:t>
      </w:r>
    </w:p>
    <w:p>
      <w:pPr>
        <w:pStyle w:val="ListParagraph"/>
        <w:numPr>
          <w:ilvl w:val="0"/>
          <w:numId w:val="2"/>
        </w:numPr>
        <w:spacing w:after="40"/>
      </w:pPr>
      <w:r>
        <w:rPr>
          <w:rFonts w:ascii="Arial" w:cs="Arial" w:eastAsia="Arial" w:hAnsi="Arial"/>
          <w:b/>
          <w:bCs/>
          <w:sz w:val="16"/>
          <w:szCs w:val="16"/>
        </w:rPr>
        <w:t xml:space="preserve">BRIEF SUMMARY OF THE INVENTION</w:t>
      </w:r>
    </w:p>
    <w:p>
      <w:pPr>
        <w:pStyle w:val="ListParagraph"/>
        <w:numPr>
          <w:ilvl w:val="0"/>
          <w:numId w:val="2"/>
        </w:numPr>
        <w:spacing w:after="40"/>
      </w:pPr>
      <w:r>
        <w:rPr>
          <w:rFonts w:ascii="Arial" w:cs="Arial" w:eastAsia="Arial" w:hAnsi="Arial"/>
          <w:b/>
          <w:bCs/>
          <w:sz w:val="16"/>
          <w:szCs w:val="16"/>
        </w:rPr>
        <w:t xml:space="preserve">BRIEF DESCRIPTION OF THE DRAWINGS</w:t>
      </w:r>
    </w:p>
    <w:p>
      <w:pPr>
        <w:pStyle w:val="ListParagraph"/>
        <w:numPr>
          <w:ilvl w:val="0"/>
          <w:numId w:val="2"/>
        </w:numPr>
        <w:spacing w:after="40"/>
      </w:pPr>
      <w:r>
        <w:rPr>
          <w:rFonts w:ascii="Arial" w:cs="Arial" w:eastAsia="Arial" w:hAnsi="Arial"/>
          <w:b/>
          <w:bCs/>
          <w:sz w:val="16"/>
          <w:szCs w:val="16"/>
        </w:rPr>
        <w:t xml:space="preserve">DETAILED DESCRIPTION OF THE INVENTION</w:t>
      </w:r>
    </w:p>
    <w:p>
      <w:pPr>
        <w:pStyle w:val="ListParagraph"/>
        <w:numPr>
          <w:ilvl w:val="0"/>
          <w:numId w:val="2"/>
        </w:numPr>
        <w:spacing w:after="40"/>
      </w:pPr>
      <w:r>
        <w:rPr>
          <w:rFonts w:ascii="Arial" w:cs="Arial" w:eastAsia="Arial" w:hAnsi="Arial"/>
          <w:b/>
          <w:bCs/>
          <w:sz w:val="16"/>
          <w:szCs w:val="16"/>
        </w:rPr>
        <w:t xml:space="preserve">CLAIM(S)</w:t>
      </w:r>
    </w:p>
    <w:p>
      <w:pPr>
        <w:pStyle w:val="ListParagraph"/>
        <w:numPr>
          <w:ilvl w:val="0"/>
          <w:numId w:val="2"/>
        </w:numPr>
        <w:spacing w:after="40"/>
      </w:pPr>
      <w:r>
        <w:rPr>
          <w:rFonts w:ascii="Arial" w:cs="Arial" w:eastAsia="Arial" w:hAnsi="Arial"/>
          <w:b/>
          <w:bCs/>
          <w:sz w:val="16"/>
          <w:szCs w:val="16"/>
        </w:rPr>
        <w:t xml:space="preserve">ABSTRACT OF THE DISCLOSURE</w:t>
      </w:r>
    </w:p>
    <w:p>
      <w:pPr>
        <w:pStyle w:val="ListParagraph"/>
        <w:numPr>
          <w:ilvl w:val="0"/>
          <w:numId w:val="2"/>
        </w:numPr>
        <w:spacing w:after="80"/>
      </w:pPr>
      <w:r>
        <w:rPr>
          <w:rFonts w:ascii="Arial" w:cs="Arial" w:eastAsia="Arial" w:hAnsi="Arial"/>
          <w:b/>
          <w:bCs/>
          <w:sz w:val="16"/>
          <w:szCs w:val="16"/>
        </w:rPr>
        <w:t xml:space="preserve">SEQUENCE LISTING </w:t>
      </w:r>
      <w:r>
        <w:rPr>
          <w:rFonts w:ascii="Arial" w:cs="Arial" w:eastAsia="Arial" w:hAnsi="Arial"/>
          <w:sz w:val="16"/>
          <w:szCs w:val="16"/>
        </w:rPr>
        <w:t xml:space="preserve">(if applicable)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88E3C" w:sz="12"/>
              <w:bottom w:val="none" w:color="FFFFFF" w:sz="0"/>
              <w:right w:val="none" w:color="FFFFFF" w:sz="0"/>
            </w:tcBorders>
            <w:shd w:fill="EBF5EB" w:val="clear"/>
            <w:tcMar>
              <w:top w:type="dxa" w:w="100"/>
              <w:left w:type="dxa" w:w="160"/>
              <w:bottom w:type="dxa" w:w="100"/>
              <w:right w:type="dxa" w:w="160"/>
            </w:tcMar>
          </w:tcPr>
          <w:p>
            <w:pPr>
              <w:spacing w:after="60"/>
            </w:pPr>
            <w:r>
              <w:rPr>
                <w:rFonts w:ascii="Arial" w:cs="Arial" w:eastAsia="Arial" w:hAnsi="Arial"/>
                <w:b/>
                <w:bCs/>
                <w:color w:val="1B2A4A"/>
                <w:sz w:val="16"/>
                <w:szCs w:val="16"/>
              </w:rPr>
              <w:t xml:space="preserve">ℹ Insight: Section Heading Formatting</w:t>
            </w:r>
          </w:p>
          <w:p>
            <w:pPr>
              <w:spacing w:after="0"/>
            </w:pPr>
            <w:r>
              <w:rPr>
                <w:rFonts w:ascii="Arial" w:cs="Arial" w:eastAsia="Arial" w:hAnsi="Arial"/>
                <w:color w:val="333333"/>
                <w:sz w:val="15"/>
                <w:szCs w:val="15"/>
              </w:rPr>
              <w:t xml:space="preserve">Per MPEP 608.01(a) and 37 CFR 1.77(c), each specification section heading must be in UPPERCASE without underlining or bold type. If a section is not applicable, include the heading followed by “Not Applicable” [5].</w:t>
            </w:r>
          </w:p>
        </w:tc>
      </w:tr>
    </w:tbl>
    <w:p>
      <w:pPr>
        <w:spacing w:after="0"/>
      </w:pPr>
    </w:p>
    <w:p>
      <w:pPr>
        <w:pStyle w:val="Heading2"/>
        <w:spacing w:before="240" w:after="120"/>
      </w:pPr>
      <w:r>
        <w:rPr>
          <w:rFonts w:ascii="Arial" w:cs="Arial" w:eastAsia="Arial" w:hAnsi="Arial"/>
          <w:b/>
          <w:bCs/>
          <w:color w:val="1B2A4A"/>
          <w:sz w:val="18"/>
          <w:szCs w:val="18"/>
        </w:rPr>
        <w:t xml:space="preserve">3.2 Detailed Description (§ 1.71)</w:t>
      </w:r>
    </w:p>
    <w:p>
      <w:pPr>
        <w:spacing w:after="100" w:line="260"/>
      </w:pPr>
      <w:r>
        <w:rPr>
          <w:rFonts w:ascii="Arial" w:cs="Arial" w:eastAsia="Arial" w:hAnsi="Arial"/>
          <w:sz w:val="16"/>
          <w:szCs w:val="16"/>
        </w:rPr>
        <w:t xml:space="preserve">The specification must contain a written description of the invention that is full, clear, concise, and exact, enabling any person skilled in the art to make and use it (35 U.S.C. 112). Per 37 CFR 1.71, the description must set forth the precise invention and the manner and process of making and using it, distinguishing it from other inventions and from what is old [4].</w:t>
      </w:r>
    </w:p>
    <w:p>
      <w:pPr>
        <w:pStyle w:val="ListParagraph"/>
        <w:numPr>
          <w:ilvl w:val="0"/>
          <w:numId w:val="3"/>
        </w:numPr>
        <w:spacing w:after="40"/>
      </w:pPr>
      <w:r>
        <w:rPr>
          <w:rFonts w:ascii="Arial" w:cs="Arial" w:eastAsia="Arial" w:hAnsi="Arial"/>
          <w:sz w:val="16"/>
          <w:szCs w:val="16"/>
        </w:rPr>
        <w:t xml:space="preserve">Describe the preferred embodiment(s) of the invention in sufficient detail.</w:t>
      </w:r>
    </w:p>
    <w:p>
      <w:pPr>
        <w:pStyle w:val="ListParagraph"/>
        <w:numPr>
          <w:ilvl w:val="0"/>
          <w:numId w:val="3"/>
        </w:numPr>
        <w:spacing w:after="40"/>
      </w:pPr>
      <w:r>
        <w:rPr>
          <w:rFonts w:ascii="Arial" w:cs="Arial" w:eastAsia="Arial" w:hAnsi="Arial"/>
          <w:sz w:val="16"/>
          <w:szCs w:val="16"/>
        </w:rPr>
        <w:t xml:space="preserve">Conventional, widely-known elements need not be described in detail unless necessary for understanding.</w:t>
      </w:r>
    </w:p>
    <w:p>
      <w:pPr>
        <w:pStyle w:val="ListParagraph"/>
        <w:numPr>
          <w:ilvl w:val="0"/>
          <w:numId w:val="3"/>
        </w:numPr>
        <w:spacing w:after="40"/>
      </w:pPr>
      <w:r>
        <w:rPr>
          <w:rFonts w:ascii="Arial" w:cs="Arial" w:eastAsia="Arial" w:hAnsi="Arial"/>
          <w:sz w:val="16"/>
          <w:szCs w:val="16"/>
        </w:rPr>
        <w:t xml:space="preserve">Reference numerals used in the description must correspond to reference numerals in the drawings.</w:t>
      </w:r>
    </w:p>
    <w:p>
      <w:pPr>
        <w:pStyle w:val="ListParagraph"/>
        <w:numPr>
          <w:ilvl w:val="0"/>
          <w:numId w:val="3"/>
        </w:numPr>
        <w:spacing w:after="80"/>
      </w:pPr>
      <w:r>
        <w:rPr>
          <w:rFonts w:ascii="Arial" w:cs="Arial" w:eastAsia="Arial" w:hAnsi="Arial"/>
          <w:sz w:val="16"/>
          <w:szCs w:val="16"/>
        </w:rPr>
        <w:t xml:space="preserve">Must disclose the best mode contemplated by the inventor for carrying out the invention.</w:t>
      </w:r>
    </w:p>
    <w:p>
      <w:pPr>
        <w:spacing w:after="0"/>
      </w:pPr>
    </w:p>
    <w:p>
      <w:pPr>
        <w:pStyle w:val="Heading1"/>
        <w:spacing w:before="360" w:after="120"/>
      </w:pPr>
      <w:r>
        <w:rPr>
          <w:rFonts w:ascii="Arial" w:cs="Arial" w:eastAsia="Arial" w:hAnsi="Arial"/>
          <w:b/>
          <w:bCs/>
          <w:color w:val="1B2A4A"/>
          <w:sz w:val="22"/>
          <w:szCs w:val="22"/>
        </w:rPr>
        <w:t xml:space="preserve">4. Title &amp; Abstract (§ 1.72)</w:t>
      </w:r>
    </w:p>
    <w:p>
      <w:pPr>
        <w:pStyle w:val="Heading2"/>
        <w:spacing w:before="240" w:after="120"/>
      </w:pPr>
      <w:r>
        <w:rPr>
          <w:rFonts w:ascii="Arial" w:cs="Arial" w:eastAsia="Arial" w:hAnsi="Arial"/>
          <w:b/>
          <w:bCs/>
          <w:color w:val="1B2A4A"/>
          <w:sz w:val="18"/>
          <w:szCs w:val="18"/>
        </w:rPr>
        <w:t xml:space="preserve">4.1 Title Requirements</w:t>
      </w:r>
    </w:p>
    <w:p>
      <w:pPr>
        <w:spacing w:after="100" w:line="260"/>
      </w:pPr>
      <w:r>
        <w:rPr>
          <w:rFonts w:ascii="Arial" w:cs="Arial" w:eastAsia="Arial" w:hAnsi="Arial"/>
          <w:sz w:val="16"/>
          <w:szCs w:val="16"/>
        </w:rPr>
        <w:t xml:space="preserve">Per 37 CFR 1.72(a), the title must not exceed 500 characters and must be as short and specific as possible [6]. It should appear as a heading on the first page of the specification (unless supplied via the Application Data Sheet under § 1.76).</w:t>
      </w:r>
    </w:p>
    <w:p>
      <w:pPr>
        <w:pStyle w:val="ListParagraph"/>
        <w:numPr>
          <w:ilvl w:val="0"/>
          <w:numId w:val="3"/>
        </w:numPr>
        <w:spacing w:after="40"/>
      </w:pPr>
      <w:r>
        <w:rPr>
          <w:rFonts w:ascii="Arial" w:cs="Arial" w:eastAsia="Arial" w:hAnsi="Arial"/>
          <w:sz w:val="16"/>
          <w:szCs w:val="16"/>
        </w:rPr>
        <w:t xml:space="preserve">Avoid vague titles (e.g., “Improved Device”). Use descriptive technical language.</w:t>
      </w:r>
    </w:p>
    <w:p>
      <w:pPr>
        <w:pStyle w:val="ListParagraph"/>
        <w:numPr>
          <w:ilvl w:val="0"/>
          <w:numId w:val="3"/>
        </w:numPr>
        <w:spacing w:after="40"/>
      </w:pPr>
      <w:r>
        <w:rPr>
          <w:rFonts w:ascii="Arial" w:cs="Arial" w:eastAsia="Arial" w:hAnsi="Arial"/>
          <w:sz w:val="16"/>
          <w:szCs w:val="16"/>
        </w:rPr>
        <w:t xml:space="preserve">The examiner may require a title change after allowance if the title does not adequately describe the claimed invention [6].</w:t>
      </w:r>
    </w:p>
    <w:p>
      <w:pPr>
        <w:pStyle w:val="ListParagraph"/>
        <w:numPr>
          <w:ilvl w:val="0"/>
          <w:numId w:val="3"/>
        </w:numPr>
        <w:spacing w:after="80"/>
      </w:pPr>
      <w:r>
        <w:rPr>
          <w:rFonts w:ascii="Arial" w:cs="Arial" w:eastAsia="Arial" w:hAnsi="Arial"/>
          <w:sz w:val="16"/>
          <w:szCs w:val="16"/>
        </w:rPr>
        <w:t xml:space="preserve">Characters not capturable by the Office’s automated systems may not be reflected in Office records [6].</w:t>
      </w:r>
    </w:p>
    <w:p>
      <w:pPr>
        <w:spacing w:after="0"/>
      </w:pPr>
    </w:p>
    <w:p>
      <w:pPr>
        <w:pStyle w:val="Heading2"/>
        <w:spacing w:before="240" w:after="120"/>
      </w:pPr>
      <w:r>
        <w:rPr>
          <w:rFonts w:ascii="Arial" w:cs="Arial" w:eastAsia="Arial" w:hAnsi="Arial"/>
          <w:b/>
          <w:bCs/>
          <w:color w:val="1B2A4A"/>
          <w:sz w:val="18"/>
          <w:szCs w:val="18"/>
        </w:rPr>
        <w:t xml:space="preserve">4.2 Abstract Requirements</w:t>
      </w:r>
    </w:p>
    <w:p>
      <w:pPr>
        <w:spacing w:after="100" w:line="260"/>
      </w:pPr>
      <w:r>
        <w:rPr>
          <w:rFonts w:ascii="Arial" w:cs="Arial" w:eastAsia="Arial" w:hAnsi="Arial"/>
          <w:sz w:val="16"/>
          <w:szCs w:val="16"/>
        </w:rPr>
        <w:t xml:space="preserve">Per 37 CFR 1.72(b), the abstract must commence on a separate sheet, preferably following the claims, under the heading “Abstract” or “Abstract of the Disclosure.” The purpose is to enable the Office and the public to quickly determine the nature of the technical disclosure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Parameter</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Requirement</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Maximum Length</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150 words (preferred maximum) [6]</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Placement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Separate sheet; no other application material on the same sheet [6]</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Content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Concise statement of the technical disclosure; what is new in the art [7]</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Prohibited Content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No purported merits, speculative applications, or comparisons with prior art [7]</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Heading</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“Abstract” or “Abstract of the Disclosure” [6]</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2F2F" w:sz="12"/>
              <w:bottom w:val="none" w:color="FFFFFF" w:sz="0"/>
              <w:right w:val="none" w:color="FFFFFF" w:sz="0"/>
            </w:tcBorders>
            <w:shd w:fill="FDECEC" w:val="clear"/>
            <w:tcMar>
              <w:top w:type="dxa" w:w="100"/>
              <w:left w:type="dxa" w:w="160"/>
              <w:bottom w:type="dxa" w:w="100"/>
              <w:right w:type="dxa" w:w="160"/>
            </w:tcMar>
          </w:tcPr>
          <w:p>
            <w:pPr>
              <w:spacing w:after="60"/>
            </w:pPr>
            <w:r>
              <w:rPr>
                <w:rFonts w:ascii="Arial" w:cs="Arial" w:eastAsia="Arial" w:hAnsi="Arial"/>
                <w:b/>
                <w:bCs/>
                <w:color w:val="1B2A4A"/>
                <w:sz w:val="16"/>
                <w:szCs w:val="16"/>
              </w:rPr>
              <w:t xml:space="preserve">⚠ Risk: Abstract Non-Compliance</w:t>
            </w:r>
          </w:p>
          <w:p>
            <w:pPr>
              <w:spacing w:after="0"/>
            </w:pPr>
            <w:r>
              <w:rPr>
                <w:rFonts w:ascii="Arial" w:cs="Arial" w:eastAsia="Arial" w:hAnsi="Arial"/>
                <w:color w:val="333333"/>
                <w:sz w:val="15"/>
                <w:szCs w:val="15"/>
              </w:rPr>
              <w:t xml:space="preserve">An abstract exceeding 150 words or containing legal phraseology, speculative claims, or prior art comparisons will likely trigger an objection in the first Office Action. The examiner will require correction under 37 CFR 1.72(b), adding prosecution time and cost [7].</w:t>
            </w:r>
          </w:p>
        </w:tc>
      </w:tr>
    </w:tbl>
    <w:p>
      <w:pPr>
        <w:spacing w:after="0"/>
      </w:pPr>
    </w:p>
    <w:p>
      <w:pPr>
        <w:pStyle w:val="Heading1"/>
        <w:spacing w:before="360" w:after="120"/>
      </w:pPr>
      <w:r>
        <w:rPr>
          <w:rFonts w:ascii="Arial" w:cs="Arial" w:eastAsia="Arial" w:hAnsi="Arial"/>
          <w:b/>
          <w:bCs/>
          <w:color w:val="1B2A4A"/>
          <w:sz w:val="22"/>
          <w:szCs w:val="22"/>
        </w:rPr>
        <w:t xml:space="preserve">5. Claims (§ 1.75)</w:t>
      </w:r>
    </w:p>
    <w:p>
      <w:pPr>
        <w:pStyle w:val="Heading2"/>
        <w:spacing w:before="240" w:after="120"/>
      </w:pPr>
      <w:r>
        <w:rPr>
          <w:rFonts w:ascii="Arial" w:cs="Arial" w:eastAsia="Arial" w:hAnsi="Arial"/>
          <w:b/>
          <w:bCs/>
          <w:color w:val="1B2A4A"/>
          <w:sz w:val="18"/>
          <w:szCs w:val="18"/>
        </w:rPr>
        <w:t xml:space="preserve">5.1 General Claim Requirements</w:t>
      </w:r>
    </w:p>
    <w:p>
      <w:pPr>
        <w:spacing w:after="100" w:line="260"/>
      </w:pPr>
      <w:r>
        <w:rPr>
          <w:rFonts w:ascii="Arial" w:cs="Arial" w:eastAsia="Arial" w:hAnsi="Arial"/>
          <w:sz w:val="16"/>
          <w:szCs w:val="16"/>
        </w:rPr>
        <w:t xml:space="preserve">The specification must conclude with one or more claims that particularly point out and distinctly claim the subject matter the applicant regards as the invention (37 CFR 1.75(a); 35 U.S.C. 112(b)) [8].</w:t>
      </w:r>
    </w:p>
    <w:p>
      <w:pPr>
        <w:pStyle w:val="ListParagraph"/>
        <w:numPr>
          <w:ilvl w:val="0"/>
          <w:numId w:val="4"/>
        </w:numPr>
        <w:spacing w:after="40"/>
      </w:pPr>
      <w:r>
        <w:rPr>
          <w:rFonts w:ascii="Arial" w:cs="Arial" w:eastAsia="Arial" w:hAnsi="Arial"/>
          <w:sz w:val="16"/>
          <w:szCs w:val="16"/>
        </w:rPr>
        <w:t xml:space="preserve">Claims must differ substantially from each other and not be unduly multiplied [8].</w:t>
      </w:r>
    </w:p>
    <w:p>
      <w:pPr>
        <w:pStyle w:val="ListParagraph"/>
        <w:numPr>
          <w:ilvl w:val="0"/>
          <w:numId w:val="4"/>
        </w:numPr>
        <w:spacing w:after="40"/>
      </w:pPr>
      <w:r>
        <w:rPr>
          <w:rFonts w:ascii="Arial" w:cs="Arial" w:eastAsia="Arial" w:hAnsi="Arial"/>
          <w:sz w:val="16"/>
          <w:szCs w:val="16"/>
        </w:rPr>
        <w:t xml:space="preserve">Claim terms must find clear support or antecedent basis in the description [8].</w:t>
      </w:r>
    </w:p>
    <w:p>
      <w:pPr>
        <w:pStyle w:val="ListParagraph"/>
        <w:numPr>
          <w:ilvl w:val="0"/>
          <w:numId w:val="4"/>
        </w:numPr>
        <w:spacing w:after="40"/>
      </w:pPr>
      <w:r>
        <w:rPr>
          <w:rFonts w:ascii="Arial" w:cs="Arial" w:eastAsia="Arial" w:hAnsi="Arial"/>
          <w:sz w:val="16"/>
          <w:szCs w:val="16"/>
        </w:rPr>
        <w:t xml:space="preserve">Each claim must begin with a capital letter and end with a period [9].</w:t>
      </w:r>
    </w:p>
    <w:p>
      <w:pPr>
        <w:pStyle w:val="ListParagraph"/>
        <w:numPr>
          <w:ilvl w:val="0"/>
          <w:numId w:val="4"/>
        </w:numPr>
        <w:spacing w:after="40"/>
      </w:pPr>
      <w:r>
        <w:rPr>
          <w:rFonts w:ascii="Arial" w:cs="Arial" w:eastAsia="Arial" w:hAnsi="Arial"/>
          <w:sz w:val="16"/>
          <w:szCs w:val="16"/>
        </w:rPr>
        <w:t xml:space="preserve">Claims must commence on a separate sheet; no other application parts on that sheet [8, 10].</w:t>
      </w:r>
    </w:p>
    <w:p>
      <w:pPr>
        <w:pStyle w:val="ListParagraph"/>
        <w:numPr>
          <w:ilvl w:val="0"/>
          <w:numId w:val="4"/>
        </w:numPr>
        <w:spacing w:after="40"/>
      </w:pPr>
      <w:r>
        <w:rPr>
          <w:rFonts w:ascii="Arial" w:cs="Arial" w:eastAsia="Arial" w:hAnsi="Arial"/>
          <w:sz w:val="16"/>
          <w:szCs w:val="16"/>
        </w:rPr>
        <w:t xml:space="preserve">If multiple claims, number consecutively in Arabic numerals [8].</w:t>
      </w:r>
    </w:p>
    <w:p>
      <w:pPr>
        <w:pStyle w:val="ListParagraph"/>
        <w:numPr>
          <w:ilvl w:val="0"/>
          <w:numId w:val="4"/>
        </w:numPr>
        <w:spacing w:after="80"/>
      </w:pPr>
      <w:r>
        <w:rPr>
          <w:rFonts w:ascii="Arial" w:cs="Arial" w:eastAsia="Arial" w:hAnsi="Arial"/>
          <w:sz w:val="16"/>
          <w:szCs w:val="16"/>
        </w:rPr>
        <w:t xml:space="preserve">Where claims set forth multiple elements/steps, each element or step should be separated by a line indentation [8].</w:t>
      </w:r>
    </w:p>
    <w:p>
      <w:pPr>
        <w:spacing w:after="0"/>
      </w:pPr>
    </w:p>
    <w:p>
      <w:pPr>
        <w:pStyle w:val="Heading2"/>
        <w:spacing w:before="240" w:after="120"/>
      </w:pPr>
      <w:r>
        <w:rPr>
          <w:rFonts w:ascii="Arial" w:cs="Arial" w:eastAsia="Arial" w:hAnsi="Arial"/>
          <w:b/>
          <w:bCs/>
          <w:color w:val="1B2A4A"/>
          <w:sz w:val="18"/>
          <w:szCs w:val="18"/>
        </w:rPr>
        <w:t xml:space="preserve">5.2 Independent vs. Dependent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Type</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Requirements</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Independent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Stands alone; defines the invention without reference to other claims. The least restrictive claim should be claim 1 [8].</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Dependent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Refers back to and further limits another claim. Must include all limitations of the parent claim [8].</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Multiple Dependent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Must refer to other claims in the ALTERNATIVE only. Cannot serve as basis for another multiple dependent claim. Subject to additional fee under § 1.16(j) [8].</w:t>
            </w:r>
          </w:p>
        </w:tc>
      </w:tr>
    </w:tbl>
    <w:p>
      <w:pPr>
        <w:spacing w:after="0"/>
      </w:pPr>
    </w:p>
    <w:p>
      <w:pPr>
        <w:pStyle w:val="Heading2"/>
        <w:spacing w:before="240" w:after="120"/>
      </w:pPr>
      <w:r>
        <w:rPr>
          <w:rFonts w:ascii="Arial" w:cs="Arial" w:eastAsia="Arial" w:hAnsi="Arial"/>
          <w:b/>
          <w:bCs/>
          <w:color w:val="1B2A4A"/>
          <w:sz w:val="18"/>
          <w:szCs w:val="18"/>
        </w:rPr>
        <w:t xml:space="preserve">5.3 Improvement Claims</w:t>
      </w:r>
    </w:p>
    <w:p>
      <w:pPr>
        <w:spacing w:after="100" w:line="260"/>
      </w:pPr>
      <w:r>
        <w:rPr>
          <w:rFonts w:ascii="Arial" w:cs="Arial" w:eastAsia="Arial" w:hAnsi="Arial"/>
          <w:sz w:val="16"/>
          <w:szCs w:val="16"/>
        </w:rPr>
        <w:t xml:space="preserve">For improvement-type inventions, 37 CFR 1.75(e) prescribes a specific claim structure [8]:</w:t>
      </w:r>
    </w:p>
    <w:p>
      <w:pPr>
        <w:pStyle w:val="ListParagraph"/>
        <w:numPr>
          <w:ilvl w:val="0"/>
          <w:numId w:val="5"/>
        </w:numPr>
        <w:spacing w:after="40"/>
      </w:pPr>
      <w:r>
        <w:rPr>
          <w:rFonts w:ascii="Arial" w:cs="Arial" w:eastAsia="Arial" w:hAnsi="Arial"/>
          <w:b/>
          <w:bCs/>
          <w:sz w:val="16"/>
          <w:szCs w:val="16"/>
        </w:rPr>
        <w:t xml:space="preserve">Preamble: </w:t>
      </w:r>
      <w:r>
        <w:rPr>
          <w:rFonts w:ascii="Arial" w:cs="Arial" w:eastAsia="Arial" w:hAnsi="Arial"/>
          <w:sz w:val="16"/>
          <w:szCs w:val="16"/>
        </w:rPr>
        <w:t xml:space="preserve">General description of all conventional/known elements or steps.</w:t>
      </w:r>
    </w:p>
    <w:p>
      <w:pPr>
        <w:pStyle w:val="ListParagraph"/>
        <w:numPr>
          <w:ilvl w:val="0"/>
          <w:numId w:val="5"/>
        </w:numPr>
        <w:spacing w:after="40"/>
      </w:pPr>
      <w:r>
        <w:rPr>
          <w:rFonts w:ascii="Arial" w:cs="Arial" w:eastAsia="Arial" w:hAnsi="Arial"/>
          <w:b/>
          <w:bCs/>
          <w:sz w:val="16"/>
          <w:szCs w:val="16"/>
        </w:rPr>
        <w:t xml:space="preserve">Transitional phrase: </w:t>
      </w:r>
      <w:r>
        <w:rPr>
          <w:rFonts w:ascii="Arial" w:cs="Arial" w:eastAsia="Arial" w:hAnsi="Arial"/>
          <w:sz w:val="16"/>
          <w:szCs w:val="16"/>
        </w:rPr>
        <w:t xml:space="preserve">“wherein the improvement comprises” or equivalent.</w:t>
      </w:r>
    </w:p>
    <w:p>
      <w:pPr>
        <w:pStyle w:val="ListParagraph"/>
        <w:numPr>
          <w:ilvl w:val="0"/>
          <w:numId w:val="5"/>
        </w:numPr>
        <w:spacing w:after="80"/>
      </w:pPr>
      <w:r>
        <w:rPr>
          <w:rFonts w:ascii="Arial" w:cs="Arial" w:eastAsia="Arial" w:hAnsi="Arial"/>
          <w:b/>
          <w:bCs/>
          <w:sz w:val="16"/>
          <w:szCs w:val="16"/>
        </w:rPr>
        <w:t xml:space="preserve">Improvement: </w:t>
      </w:r>
      <w:r>
        <w:rPr>
          <w:rFonts w:ascii="Arial" w:cs="Arial" w:eastAsia="Arial" w:hAnsi="Arial"/>
          <w:sz w:val="16"/>
          <w:szCs w:val="16"/>
        </w:rPr>
        <w:t xml:space="preserve">Elements, steps, and/or relationships constituting the new or improved portion.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A825" w:sz="12"/>
              <w:bottom w:val="none" w:color="FFFFFF" w:sz="0"/>
              <w:right w:val="none" w:color="FFFFFF" w:sz="0"/>
            </w:tcBorders>
            <w:shd w:fill="FFF8E1" w:val="clear"/>
            <w:tcMar>
              <w:top w:type="dxa" w:w="100"/>
              <w:left w:type="dxa" w:w="160"/>
              <w:bottom w:type="dxa" w:w="100"/>
              <w:right w:type="dxa" w:w="160"/>
            </w:tcMar>
          </w:tcPr>
          <w:p>
            <w:pPr>
              <w:spacing w:after="60"/>
            </w:pPr>
            <w:r>
              <w:rPr>
                <w:rFonts w:ascii="Arial" w:cs="Arial" w:eastAsia="Arial" w:hAnsi="Arial"/>
                <w:b/>
                <w:bCs/>
                <w:color w:val="1B2A4A"/>
                <w:sz w:val="16"/>
                <w:szCs w:val="16"/>
              </w:rPr>
              <w:t xml:space="preserve">★ Opportunity: Claim Strategy</w:t>
            </w:r>
          </w:p>
          <w:p>
            <w:pPr>
              <w:spacing w:after="0"/>
            </w:pPr>
            <w:r>
              <w:rPr>
                <w:rFonts w:ascii="Arial" w:cs="Arial" w:eastAsia="Arial" w:hAnsi="Arial"/>
                <w:color w:val="333333"/>
                <w:sz w:val="15"/>
                <w:szCs w:val="15"/>
              </w:rPr>
              <w:t xml:space="preserve">Drafting claims with appropriate breadth requires balancing scope against prior art vulnerability. Start with the broadest defensible independent claim and progressively narrow through dependent claims. This creates fallback positions during prosecution. Consider multiple independent claims covering method, system, and apparatus aspects where applicable.</w:t>
            </w:r>
          </w:p>
        </w:tc>
      </w:tr>
    </w:tbl>
    <w:p>
      <w:pPr>
        <w:spacing w:after="0"/>
      </w:pPr>
    </w:p>
    <w:p>
      <w:pPr>
        <w:pStyle w:val="Heading1"/>
        <w:spacing w:before="360" w:after="120"/>
      </w:pPr>
      <w:r>
        <w:rPr>
          <w:rFonts w:ascii="Arial" w:cs="Arial" w:eastAsia="Arial" w:hAnsi="Arial"/>
          <w:b/>
          <w:bCs/>
          <w:color w:val="1B2A4A"/>
          <w:sz w:val="22"/>
          <w:szCs w:val="22"/>
        </w:rPr>
        <w:t xml:space="preserve">6. Drawing Standards (§ 1.84)</w:t>
      </w:r>
    </w:p>
    <w:p>
      <w:pPr>
        <w:pStyle w:val="Heading2"/>
        <w:spacing w:before="240" w:after="120"/>
      </w:pPr>
      <w:r>
        <w:rPr>
          <w:rFonts w:ascii="Arial" w:cs="Arial" w:eastAsia="Arial" w:hAnsi="Arial"/>
          <w:b/>
          <w:bCs/>
          <w:color w:val="1B2A4A"/>
          <w:sz w:val="18"/>
          <w:szCs w:val="18"/>
        </w:rPr>
        <w:t xml:space="preserve">6.1 General Requirements</w:t>
      </w:r>
    </w:p>
    <w:p>
      <w:pPr>
        <w:spacing w:after="100" w:line="260"/>
      </w:pPr>
      <w:r>
        <w:rPr>
          <w:rFonts w:ascii="Arial" w:cs="Arial" w:eastAsia="Arial" w:hAnsi="Arial"/>
          <w:sz w:val="16"/>
          <w:szCs w:val="16"/>
        </w:rPr>
        <w:t xml:space="preserve">Drawings are required when necessary to understand the subject matter sought to be patented (35 U.S.C. 113; 37 CFR 1.81). The standards under 37 CFR 1.84 govern ink, paper, margins, numbering, and quality [11].</w:t>
      </w:r>
    </w:p>
    <w:p>
      <w:pPr>
        <w:pStyle w:val="Heading2"/>
        <w:spacing w:before="240" w:after="120"/>
      </w:pPr>
      <w:r>
        <w:rPr>
          <w:rFonts w:ascii="Arial" w:cs="Arial" w:eastAsia="Arial" w:hAnsi="Arial"/>
          <w:b/>
          <w:bCs/>
          <w:color w:val="1B2A4A"/>
          <w:sz w:val="18"/>
          <w:szCs w:val="18"/>
        </w:rPr>
        <w:t xml:space="preserve">6.2 Ink &amp;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Parameter</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Requirement</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Default Medium</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Black and white; India ink or equivalent securing solid black lines [11]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Color Drawings</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Permitted in design applications; in utility only with petition and fee (§ 1.17(h)) [11]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Photographs</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Accepted only when photos are the sole practicable medium to illustrate the invention [11]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Line Quality</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Every line, number, letter must be durable, clean, black, dense, dark, uniformly thick, well-defined [11]</w:t>
            </w:r>
          </w:p>
        </w:tc>
      </w:tr>
    </w:tbl>
    <w:p>
      <w:pPr>
        <w:spacing w:after="0"/>
      </w:pPr>
    </w:p>
    <w:p>
      <w:pPr>
        <w:pStyle w:val="Heading2"/>
        <w:spacing w:before="240" w:after="120"/>
      </w:pPr>
      <w:r>
        <w:rPr>
          <w:rFonts w:ascii="Arial" w:cs="Arial" w:eastAsia="Arial" w:hAnsi="Arial"/>
          <w:b/>
          <w:bCs/>
          <w:color w:val="1B2A4A"/>
          <w:sz w:val="18"/>
          <w:szCs w:val="18"/>
        </w:rPr>
        <w:t xml:space="preserve">6.3 Sheet Size &amp;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Parameter</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A4 (DIN)</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US Letter</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Sheet Size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21.0 x 29.7 cm</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21.6 x 27.9 cm (8.5 x 11 in)</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Usable Surface (max)</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17.0 x 26.2 cm</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17.6 x 24.4 cm [12]</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Top Margin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2.5 cm</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2.5 cm</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Left Margin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2.5 cm</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2.5 cm</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Right Margin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1.5 cm</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1.5 cm</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Bottom Margin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1.0 cm</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1.0 cm</w:t>
            </w:r>
          </w:p>
        </w:tc>
      </w:tr>
    </w:tbl>
    <w:p>
      <w:pPr>
        <w:spacing w:after="0"/>
      </w:pPr>
    </w:p>
    <w:p>
      <w:pPr>
        <w:pStyle w:val="Heading2"/>
        <w:spacing w:before="240" w:after="120"/>
      </w:pPr>
      <w:r>
        <w:rPr>
          <w:rFonts w:ascii="Arial" w:cs="Arial" w:eastAsia="Arial" w:hAnsi="Arial"/>
          <w:b/>
          <w:bCs/>
          <w:color w:val="1B2A4A"/>
          <w:sz w:val="18"/>
          <w:szCs w:val="18"/>
        </w:rPr>
        <w:t xml:space="preserve">6.4 Numbering, Lettering &amp; Views</w:t>
      </w:r>
    </w:p>
    <w:p>
      <w:pPr>
        <w:pStyle w:val="ListParagraph"/>
        <w:numPr>
          <w:ilvl w:val="0"/>
          <w:numId w:val="3"/>
        </w:numPr>
        <w:spacing w:after="40"/>
      </w:pPr>
      <w:r>
        <w:rPr>
          <w:rFonts w:ascii="Arial" w:cs="Arial" w:eastAsia="Arial" w:hAnsi="Arial"/>
          <w:b/>
          <w:bCs/>
          <w:sz w:val="16"/>
          <w:szCs w:val="16"/>
        </w:rPr>
        <w:t xml:space="preserve">Figure numbering: </w:t>
      </w:r>
      <w:r>
        <w:rPr>
          <w:rFonts w:ascii="Arial" w:cs="Arial" w:eastAsia="Arial" w:hAnsi="Arial"/>
          <w:sz w:val="16"/>
          <w:szCs w:val="16"/>
        </w:rPr>
        <w:t xml:space="preserve">Consecutive Arabic numerals (FIG. 1, FIG. 2, etc.); partial views labeled FIG. 1A, FIG. 1B [11].</w:t>
      </w:r>
    </w:p>
    <w:p>
      <w:pPr>
        <w:pStyle w:val="ListParagraph"/>
        <w:numPr>
          <w:ilvl w:val="0"/>
          <w:numId w:val="3"/>
        </w:numPr>
        <w:spacing w:after="40"/>
      </w:pPr>
      <w:r>
        <w:rPr>
          <w:rFonts w:ascii="Arial" w:cs="Arial" w:eastAsia="Arial" w:hAnsi="Arial"/>
          <w:b/>
          <w:bCs/>
          <w:sz w:val="16"/>
          <w:szCs w:val="16"/>
        </w:rPr>
        <w:t xml:space="preserve">Reference characters: </w:t>
      </w:r>
      <w:r>
        <w:rPr>
          <w:rFonts w:ascii="Arial" w:cs="Arial" w:eastAsia="Arial" w:hAnsi="Arial"/>
          <w:sz w:val="16"/>
          <w:szCs w:val="16"/>
        </w:rPr>
        <w:t xml:space="preserve">Same character must be used for the same part throughout all figures; numbers and letters must be at least 0.32 cm (1/8 in) in height [11].</w:t>
      </w:r>
    </w:p>
    <w:p>
      <w:pPr>
        <w:pStyle w:val="ListParagraph"/>
        <w:numPr>
          <w:ilvl w:val="0"/>
          <w:numId w:val="3"/>
        </w:numPr>
        <w:spacing w:after="40"/>
      </w:pPr>
      <w:r>
        <w:rPr>
          <w:rFonts w:ascii="Arial" w:cs="Arial" w:eastAsia="Arial" w:hAnsi="Arial"/>
          <w:b/>
          <w:bCs/>
          <w:sz w:val="16"/>
          <w:szCs w:val="16"/>
        </w:rPr>
        <w:t xml:space="preserve">Views: </w:t>
      </w:r>
      <w:r>
        <w:rPr>
          <w:rFonts w:ascii="Arial" w:cs="Arial" w:eastAsia="Arial" w:hAnsi="Arial"/>
          <w:sz w:val="16"/>
          <w:szCs w:val="16"/>
        </w:rPr>
        <w:t xml:space="preserve">All views on the same sheet must face the same direction; landscape orientation permitted with the top margin becoming the right-hand side [11].</w:t>
      </w:r>
    </w:p>
    <w:p>
      <w:pPr>
        <w:pStyle w:val="ListParagraph"/>
        <w:numPr>
          <w:ilvl w:val="0"/>
          <w:numId w:val="3"/>
        </w:numPr>
        <w:spacing w:after="40"/>
      </w:pPr>
      <w:r>
        <w:rPr>
          <w:rFonts w:ascii="Arial" w:cs="Arial" w:eastAsia="Arial" w:hAnsi="Arial"/>
          <w:b/>
          <w:bCs/>
          <w:sz w:val="16"/>
          <w:szCs w:val="16"/>
        </w:rPr>
        <w:t xml:space="preserve">Scale: </w:t>
      </w:r>
      <w:r>
        <w:rPr>
          <w:rFonts w:ascii="Arial" w:cs="Arial" w:eastAsia="Arial" w:hAnsi="Arial"/>
          <w:sz w:val="16"/>
          <w:szCs w:val="16"/>
        </w:rPr>
        <w:t xml:space="preserve">Must be large enough to show details without crowding at 2/3 reduction. Do not include scale indicators such as “actual size” [11].</w:t>
      </w:r>
    </w:p>
    <w:p>
      <w:pPr>
        <w:pStyle w:val="ListParagraph"/>
        <w:numPr>
          <w:ilvl w:val="0"/>
          <w:numId w:val="3"/>
        </w:numPr>
        <w:spacing w:after="40"/>
      </w:pPr>
      <w:r>
        <w:rPr>
          <w:rFonts w:ascii="Arial" w:cs="Arial" w:eastAsia="Arial" w:hAnsi="Arial"/>
          <w:b/>
          <w:bCs/>
          <w:sz w:val="16"/>
          <w:szCs w:val="16"/>
        </w:rPr>
        <w:t xml:space="preserve">Front page view: </w:t>
      </w:r>
      <w:r>
        <w:rPr>
          <w:rFonts w:ascii="Arial" w:cs="Arial" w:eastAsia="Arial" w:hAnsi="Arial"/>
          <w:sz w:val="16"/>
          <w:szCs w:val="16"/>
        </w:rPr>
        <w:t xml:space="preserve">One view must be suitable for inclusion on the published patent’s front page. Suggest the figure number in the transmittal letter [11].</w:t>
      </w:r>
    </w:p>
    <w:p>
      <w:pPr>
        <w:pStyle w:val="ListParagraph"/>
        <w:numPr>
          <w:ilvl w:val="0"/>
          <w:numId w:val="3"/>
        </w:numPr>
        <w:spacing w:after="80"/>
      </w:pPr>
      <w:r>
        <w:rPr>
          <w:rFonts w:ascii="Arial" w:cs="Arial" w:eastAsia="Arial" w:hAnsi="Arial"/>
          <w:b/>
          <w:bCs/>
          <w:sz w:val="16"/>
          <w:szCs w:val="16"/>
        </w:rPr>
        <w:t xml:space="preserve">Shading: </w:t>
      </w:r>
      <w:r>
        <w:rPr>
          <w:rFonts w:ascii="Arial" w:cs="Arial" w:eastAsia="Arial" w:hAnsi="Arial"/>
          <w:sz w:val="16"/>
          <w:szCs w:val="16"/>
        </w:rPr>
        <w:t xml:space="preserve">Permitted for indicating surfaces or shapes; must not reduce legibility of reference characters and lead lines [11].</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2F2F" w:sz="12"/>
              <w:bottom w:val="none" w:color="FFFFFF" w:sz="0"/>
              <w:right w:val="none" w:color="FFFFFF" w:sz="0"/>
            </w:tcBorders>
            <w:shd w:fill="FDECEC" w:val="clear"/>
            <w:tcMar>
              <w:top w:type="dxa" w:w="100"/>
              <w:left w:type="dxa" w:w="160"/>
              <w:bottom w:type="dxa" w:w="100"/>
              <w:right w:type="dxa" w:w="160"/>
            </w:tcMar>
          </w:tcPr>
          <w:p>
            <w:pPr>
              <w:spacing w:after="60"/>
            </w:pPr>
            <w:r>
              <w:rPr>
                <w:rFonts w:ascii="Arial" w:cs="Arial" w:eastAsia="Arial" w:hAnsi="Arial"/>
                <w:b/>
                <w:bCs/>
                <w:color w:val="1B2A4A"/>
                <w:sz w:val="16"/>
                <w:szCs w:val="16"/>
              </w:rPr>
              <w:t xml:space="preserve">⚠ Risk: Drawing Rejection</w:t>
            </w:r>
          </w:p>
          <w:p>
            <w:pPr>
              <w:spacing w:after="0"/>
            </w:pPr>
            <w:r>
              <w:rPr>
                <w:rFonts w:ascii="Arial" w:cs="Arial" w:eastAsia="Arial" w:hAnsi="Arial"/>
                <w:color w:val="333333"/>
                <w:sz w:val="15"/>
                <w:szCs w:val="15"/>
              </w:rPr>
              <w:t xml:space="preserve">Non-compliant drawings are one of the most common causes of USPTO objections. Typical issues include insufficient line weight, incorrect margins, photographs where line drawings would suffice, and inconsistent reference numerals. The Office will issue a Notice to File Corrected Application Papers, adding time to prosecution [11].</w:t>
            </w:r>
          </w:p>
        </w:tc>
      </w:tr>
    </w:tbl>
    <w:p>
      <w:pPr>
        <w:spacing w:after="0"/>
      </w:pPr>
    </w:p>
    <w:p>
      <w:pPr>
        <w:pStyle w:val="Heading1"/>
        <w:spacing w:before="360" w:after="120"/>
      </w:pPr>
      <w:r>
        <w:rPr>
          <w:rFonts w:ascii="Arial" w:cs="Arial" w:eastAsia="Arial" w:hAnsi="Arial"/>
          <w:b/>
          <w:bCs/>
          <w:color w:val="1B2A4A"/>
          <w:sz w:val="22"/>
          <w:szCs w:val="22"/>
        </w:rPr>
        <w:t xml:space="preserve">7. Compact Prompt Template for Patent Drafting</w:t>
      </w:r>
    </w:p>
    <w:p>
      <w:pPr>
        <w:spacing w:after="100" w:line="260"/>
      </w:pPr>
      <w:r>
        <w:rPr>
          <w:rFonts w:ascii="Arial" w:cs="Arial" w:eastAsia="Arial" w:hAnsi="Arial"/>
          <w:i/>
          <w:iCs/>
          <w:sz w:val="16"/>
          <w:szCs w:val="16"/>
        </w:rPr>
        <w:t xml:space="preserve">The following is a self-contained prompt that can be used to instruct an AI system or guide a patent drafter in producing a compliant USPTO utility patent application.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F8F9FA" w:val="clear"/>
            <w:tcMar>
              <w:top w:type="dxa" w:w="140"/>
              <w:left w:type="dxa" w:w="200"/>
              <w:bottom w:type="dxa" w:w="140"/>
              <w:right w:type="dxa" w:w="200"/>
            </w:tcMar>
          </w:tcPr>
          <w:p>
            <w:pPr>
              <w:spacing w:after="100"/>
            </w:pPr>
            <w:r>
              <w:rPr>
                <w:rFonts w:ascii="Arial" w:cs="Arial" w:eastAsia="Arial" w:hAnsi="Arial"/>
                <w:b/>
                <w:bCs/>
                <w:color w:val="1B2A4A"/>
                <w:sz w:val="17"/>
                <w:szCs w:val="17"/>
              </w:rPr>
              <w:t xml:space="preserve">COMPACT PROMPT: USPTO PATENT APPLICATION DRAFTING GUIDELINES</w:t>
            </w:r>
          </w:p>
          <w:p>
            <w:pPr>
              <w:spacing w:after="60"/>
            </w:pPr>
            <w:r>
              <w:rPr>
                <w:rFonts w:ascii="Arial" w:cs="Arial" w:eastAsia="Arial" w:hAnsi="Arial"/>
                <w:color w:val="999999"/>
                <w:sz w:val="15"/>
                <w:szCs w:val="15"/>
              </w:rPr>
              <w:t xml:space="preserve">---</w:t>
            </w:r>
          </w:p>
          <w:p>
            <w:pPr>
              <w:spacing w:after="80"/>
            </w:pPr>
            <w:r>
              <w:rPr>
                <w:rFonts w:ascii="Arial" w:cs="Arial" w:eastAsia="Arial" w:hAnsi="Arial"/>
                <w:b/>
                <w:bCs/>
                <w:sz w:val="15"/>
                <w:szCs w:val="15"/>
              </w:rPr>
              <w:t xml:space="preserve">ROLE: </w:t>
            </w:r>
            <w:r>
              <w:rPr>
                <w:rFonts w:ascii="Arial" w:cs="Arial" w:eastAsia="Arial" w:hAnsi="Arial"/>
                <w:sz w:val="15"/>
                <w:szCs w:val="15"/>
              </w:rPr>
              <w:t xml:space="preserve">You are a patent drafting assistant. Produce a compliant USPTO utility patent application following 37 CFR Part 1.</w:t>
            </w:r>
          </w:p>
          <w:p>
            <w:pPr>
              <w:spacing w:after="60"/>
            </w:pPr>
            <w:r>
              <w:rPr>
                <w:rFonts w:ascii="Arial" w:cs="Arial" w:eastAsia="Arial" w:hAnsi="Arial"/>
                <w:b/>
                <w:bCs/>
                <w:sz w:val="15"/>
                <w:szCs w:val="15"/>
              </w:rPr>
              <w:t xml:space="preserve">FORMAT (§ 1.52):</w:t>
            </w:r>
          </w:p>
          <w:p>
            <w:pPr>
              <w:spacing w:after="40"/>
              <w:ind w:left="360"/>
            </w:pPr>
            <w:r>
              <w:rPr>
                <w:rFonts w:ascii="Arial" w:cs="Arial" w:eastAsia="Arial" w:hAnsi="Arial"/>
                <w:sz w:val="15"/>
                <w:szCs w:val="15"/>
              </w:rPr>
              <w:t xml:space="preserve">• US Letter (8.5×11”) or A4; portrait only.</w:t>
            </w:r>
          </w:p>
          <w:p>
            <w:pPr>
              <w:spacing w:after="40"/>
              <w:ind w:left="360"/>
            </w:pPr>
            <w:r>
              <w:rPr>
                <w:rFonts w:ascii="Arial" w:cs="Arial" w:eastAsia="Arial" w:hAnsi="Arial"/>
                <w:sz w:val="15"/>
                <w:szCs w:val="15"/>
              </w:rPr>
              <w:t xml:space="preserve">• Margins: top ≥3/4”, left ≥1”, right ≥3/4”, bottom ≥3/4”.</w:t>
            </w:r>
          </w:p>
          <w:p>
            <w:pPr>
              <w:spacing w:after="40"/>
              <w:ind w:left="360"/>
            </w:pPr>
            <w:r>
              <w:rPr>
                <w:rFonts w:ascii="Arial" w:cs="Arial" w:eastAsia="Arial" w:hAnsi="Arial"/>
                <w:sz w:val="15"/>
                <w:szCs w:val="15"/>
              </w:rPr>
              <w:t xml:space="preserve">• Font: 12pt Arial, Times Roman, or Courier (nonscript). Black on white.</w:t>
            </w:r>
          </w:p>
          <w:p>
            <w:pPr>
              <w:spacing w:after="40"/>
              <w:ind w:left="360"/>
            </w:pPr>
            <w:r>
              <w:rPr>
                <w:rFonts w:ascii="Arial" w:cs="Arial" w:eastAsia="Arial" w:hAnsi="Arial"/>
                <w:sz w:val="15"/>
                <w:szCs w:val="15"/>
              </w:rPr>
              <w:t xml:space="preserve">• Line spacing: 1.5 or double.</w:t>
            </w:r>
          </w:p>
          <w:p>
            <w:pPr>
              <w:spacing w:after="40"/>
              <w:ind w:left="360"/>
            </w:pPr>
            <w:r>
              <w:rPr>
                <w:rFonts w:ascii="Arial" w:cs="Arial" w:eastAsia="Arial" w:hAnsi="Arial"/>
                <w:sz w:val="15"/>
                <w:szCs w:val="15"/>
              </w:rPr>
              <w:t xml:space="preserve">• Pages numbered consecutively from 1 (centered, preferably below text).</w:t>
            </w:r>
          </w:p>
          <w:p>
            <w:pPr>
              <w:spacing w:after="60"/>
              <w:ind w:left="360"/>
            </w:pPr>
            <w:r>
              <w:rPr>
                <w:rFonts w:ascii="Arial" w:cs="Arial" w:eastAsia="Arial" w:hAnsi="Arial"/>
                <w:sz w:val="15"/>
                <w:szCs w:val="15"/>
              </w:rPr>
              <w:t xml:space="preserve">• Paragraphs numbered [0001], [0002], etc. (recommended).</w:t>
            </w:r>
          </w:p>
          <w:p>
            <w:pPr>
              <w:spacing w:after="60"/>
            </w:pPr>
            <w:r>
              <w:rPr>
                <w:rFonts w:ascii="Arial" w:cs="Arial" w:eastAsia="Arial" w:hAnsi="Arial"/>
                <w:b/>
                <w:bCs/>
                <w:sz w:val="15"/>
                <w:szCs w:val="15"/>
              </w:rPr>
              <w:t xml:space="preserve">SPECIFICATION STRUCTURE (§ 1.77, § 1.71):</w:t>
            </w:r>
          </w:p>
          <w:p>
            <w:pPr>
              <w:spacing w:after="40"/>
              <w:ind w:left="360"/>
            </w:pPr>
            <w:r>
              <w:rPr>
                <w:rFonts w:ascii="Arial" w:cs="Arial" w:eastAsia="Arial" w:hAnsi="Arial"/>
                <w:sz w:val="15"/>
                <w:szCs w:val="15"/>
              </w:rPr>
              <w:t xml:space="preserve">Use this section order (headings in UPPERCASE, no bold/underline):</w:t>
            </w:r>
          </w:p>
          <w:p>
            <w:pPr>
              <w:spacing w:after="30"/>
              <w:ind w:left="720"/>
            </w:pPr>
            <w:r>
              <w:rPr>
                <w:rFonts w:ascii="Arial" w:cs="Arial" w:eastAsia="Arial" w:hAnsi="Arial"/>
                <w:sz w:val="15"/>
                <w:szCs w:val="15"/>
              </w:rPr>
              <w:t xml:space="preserve">1. TITLE OF THE INVENTION (≤500 chars, short, specific)</w:t>
            </w:r>
          </w:p>
          <w:p>
            <w:pPr>
              <w:spacing w:after="30"/>
              <w:ind w:left="720"/>
            </w:pPr>
            <w:r>
              <w:rPr>
                <w:rFonts w:ascii="Arial" w:cs="Arial" w:eastAsia="Arial" w:hAnsi="Arial"/>
                <w:sz w:val="15"/>
                <w:szCs w:val="15"/>
              </w:rPr>
              <w:t xml:space="preserve">2. CROSS-REFERENCE TO RELATED APPLICATIONS</w:t>
            </w:r>
          </w:p>
          <w:p>
            <w:pPr>
              <w:spacing w:after="30"/>
              <w:ind w:left="720"/>
            </w:pPr>
            <w:r>
              <w:rPr>
                <w:rFonts w:ascii="Arial" w:cs="Arial" w:eastAsia="Arial" w:hAnsi="Arial"/>
                <w:sz w:val="15"/>
                <w:szCs w:val="15"/>
              </w:rPr>
              <w:t xml:space="preserve">3. STATEMENT REGARDING FEDERALLY SPONSORED RESEARCH</w:t>
            </w:r>
          </w:p>
          <w:p>
            <w:pPr>
              <w:spacing w:after="30"/>
              <w:ind w:left="720"/>
            </w:pPr>
            <w:r>
              <w:rPr>
                <w:rFonts w:ascii="Arial" w:cs="Arial" w:eastAsia="Arial" w:hAnsi="Arial"/>
                <w:sz w:val="15"/>
                <w:szCs w:val="15"/>
              </w:rPr>
              <w:t xml:space="preserve">4. INCORPORATION-BY-REFERENCE (if applicable)</w:t>
            </w:r>
          </w:p>
          <w:p>
            <w:pPr>
              <w:spacing w:after="30"/>
              <w:ind w:left="720"/>
            </w:pPr>
            <w:r>
              <w:rPr>
                <w:rFonts w:ascii="Arial" w:cs="Arial" w:eastAsia="Arial" w:hAnsi="Arial"/>
                <w:sz w:val="15"/>
                <w:szCs w:val="15"/>
              </w:rPr>
              <w:t xml:space="preserve">5. BACKGROUND OF THE INVENTION (field + prior art problems)</w:t>
            </w:r>
          </w:p>
          <w:p>
            <w:pPr>
              <w:spacing w:after="30"/>
              <w:ind w:left="720"/>
            </w:pPr>
            <w:r>
              <w:rPr>
                <w:rFonts w:ascii="Arial" w:cs="Arial" w:eastAsia="Arial" w:hAnsi="Arial"/>
                <w:sz w:val="15"/>
                <w:szCs w:val="15"/>
              </w:rPr>
              <w:t xml:space="preserve">6. BRIEF SUMMARY OF THE INVENTION</w:t>
            </w:r>
          </w:p>
          <w:p>
            <w:pPr>
              <w:spacing w:after="30"/>
              <w:ind w:left="720"/>
            </w:pPr>
            <w:r>
              <w:rPr>
                <w:rFonts w:ascii="Arial" w:cs="Arial" w:eastAsia="Arial" w:hAnsi="Arial"/>
                <w:sz w:val="15"/>
                <w:szCs w:val="15"/>
              </w:rPr>
              <w:t xml:space="preserve">7. BRIEF DESCRIPTION OF THE DRAWINGS</w:t>
            </w:r>
          </w:p>
          <w:p>
            <w:pPr>
              <w:spacing w:after="30"/>
              <w:ind w:left="720"/>
            </w:pPr>
            <w:r>
              <w:rPr>
                <w:rFonts w:ascii="Arial" w:cs="Arial" w:eastAsia="Arial" w:hAnsi="Arial"/>
                <w:sz w:val="15"/>
                <w:szCs w:val="15"/>
              </w:rPr>
              <w:t xml:space="preserve">8. DETAILED DESCRIPTION (preferred embodiments; best mode; enable PHOSITA)</w:t>
            </w:r>
          </w:p>
          <w:p>
            <w:pPr>
              <w:spacing w:after="30"/>
              <w:ind w:left="720"/>
            </w:pPr>
            <w:r>
              <w:rPr>
                <w:rFonts w:ascii="Arial" w:cs="Arial" w:eastAsia="Arial" w:hAnsi="Arial"/>
                <w:sz w:val="15"/>
                <w:szCs w:val="15"/>
              </w:rPr>
              <w:t xml:space="preserve">9. CLAIM(S) (on separate sheet; see claim rules below)</w:t>
            </w:r>
          </w:p>
          <w:p>
            <w:pPr>
              <w:spacing w:after="30"/>
              <w:ind w:left="720"/>
            </w:pPr>
            <w:r>
              <w:rPr>
                <w:rFonts w:ascii="Arial" w:cs="Arial" w:eastAsia="Arial" w:hAnsi="Arial"/>
                <w:sz w:val="15"/>
                <w:szCs w:val="15"/>
              </w:rPr>
              <w:t xml:space="preserve">10. ABSTRACT OF THE DISCLOSURE (separate sheet; ≤150 words; no merits/comparisons)</w:t>
            </w:r>
          </w:p>
          <w:p>
            <w:pPr>
              <w:spacing w:after="60"/>
              <w:ind w:left="720"/>
            </w:pPr>
            <w:r>
              <w:rPr>
                <w:rFonts w:ascii="Arial" w:cs="Arial" w:eastAsia="Arial" w:hAnsi="Arial"/>
                <w:sz w:val="15"/>
                <w:szCs w:val="15"/>
              </w:rPr>
              <w:t xml:space="preserve">11. SEQUENCE LISTING (if applicable)</w:t>
            </w:r>
          </w:p>
          <w:p>
            <w:pPr>
              <w:spacing w:after="60"/>
            </w:pPr>
            <w:r>
              <w:rPr>
                <w:rFonts w:ascii="Arial" w:cs="Arial" w:eastAsia="Arial" w:hAnsi="Arial"/>
                <w:b/>
                <w:bCs/>
                <w:sz w:val="15"/>
                <w:szCs w:val="15"/>
              </w:rPr>
              <w:t xml:space="preserve">CLAIMS (§ 1.75):</w:t>
            </w:r>
          </w:p>
          <w:p>
            <w:pPr>
              <w:spacing w:after="40"/>
              <w:ind w:left="360"/>
            </w:pPr>
            <w:r>
              <w:rPr>
                <w:rFonts w:ascii="Arial" w:cs="Arial" w:eastAsia="Arial" w:hAnsi="Arial"/>
                <w:sz w:val="15"/>
                <w:szCs w:val="15"/>
              </w:rPr>
              <w:t xml:space="preserve">• Begin with “What is claimed is:” or “I/We claim:”</w:t>
            </w:r>
          </w:p>
          <w:p>
            <w:pPr>
              <w:spacing w:after="40"/>
              <w:ind w:left="360"/>
            </w:pPr>
            <w:r>
              <w:rPr>
                <w:rFonts w:ascii="Arial" w:cs="Arial" w:eastAsia="Arial" w:hAnsi="Arial"/>
                <w:sz w:val="15"/>
                <w:szCs w:val="15"/>
              </w:rPr>
              <w:t xml:space="preserve">• Each claim: capital letter start, period end, no other periods (except abbreviations).</w:t>
            </w:r>
          </w:p>
          <w:p>
            <w:pPr>
              <w:spacing w:after="40"/>
              <w:ind w:left="360"/>
            </w:pPr>
            <w:r>
              <w:rPr>
                <w:rFonts w:ascii="Arial" w:cs="Arial" w:eastAsia="Arial" w:hAnsi="Arial"/>
                <w:sz w:val="15"/>
                <w:szCs w:val="15"/>
              </w:rPr>
              <w:t xml:space="preserve">• Number consecutively in Arabic numerals. Claim 1 = broadest independent claim.</w:t>
            </w:r>
          </w:p>
          <w:p>
            <w:pPr>
              <w:spacing w:after="40"/>
              <w:ind w:left="360"/>
            </w:pPr>
            <w:r>
              <w:rPr>
                <w:rFonts w:ascii="Arial" w:cs="Arial" w:eastAsia="Arial" w:hAnsi="Arial"/>
                <w:sz w:val="15"/>
                <w:szCs w:val="15"/>
              </w:rPr>
              <w:t xml:space="preserve">• Multiple elements/steps: indent each element on a new line.</w:t>
            </w:r>
          </w:p>
          <w:p>
            <w:pPr>
              <w:spacing w:after="40"/>
              <w:ind w:left="360"/>
            </w:pPr>
            <w:r>
              <w:rPr>
                <w:rFonts w:ascii="Arial" w:cs="Arial" w:eastAsia="Arial" w:hAnsi="Arial"/>
                <w:sz w:val="15"/>
                <w:szCs w:val="15"/>
              </w:rPr>
              <w:t xml:space="preserve">• Dependent claims: reference + further limitation. Group with parent claim.</w:t>
            </w:r>
          </w:p>
          <w:p>
            <w:pPr>
              <w:spacing w:after="40"/>
              <w:ind w:left="360"/>
            </w:pPr>
            <w:r>
              <w:rPr>
                <w:rFonts w:ascii="Arial" w:cs="Arial" w:eastAsia="Arial" w:hAnsi="Arial"/>
                <w:sz w:val="15"/>
                <w:szCs w:val="15"/>
              </w:rPr>
              <w:t xml:space="preserve">• Multiple dependent claims: alternative reference only; cannot base on another multiple dependent.</w:t>
            </w:r>
          </w:p>
          <w:p>
            <w:pPr>
              <w:spacing w:after="60"/>
              <w:ind w:left="360"/>
            </w:pPr>
            <w:r>
              <w:rPr>
                <w:rFonts w:ascii="Arial" w:cs="Arial" w:eastAsia="Arial" w:hAnsi="Arial"/>
                <w:sz w:val="15"/>
                <w:szCs w:val="15"/>
              </w:rPr>
              <w:t xml:space="preserve">• All claim terms must have antecedent basis in the description.</w:t>
            </w:r>
          </w:p>
          <w:p>
            <w:pPr>
              <w:spacing w:after="60"/>
            </w:pPr>
            <w:r>
              <w:rPr>
                <w:rFonts w:ascii="Arial" w:cs="Arial" w:eastAsia="Arial" w:hAnsi="Arial"/>
                <w:b/>
                <w:bCs/>
                <w:sz w:val="15"/>
                <w:szCs w:val="15"/>
              </w:rPr>
              <w:t xml:space="preserve">DRAWINGS (§ 1.84):</w:t>
            </w:r>
          </w:p>
          <w:p>
            <w:pPr>
              <w:spacing w:after="40"/>
              <w:ind w:left="360"/>
            </w:pPr>
            <w:r>
              <w:rPr>
                <w:rFonts w:ascii="Arial" w:cs="Arial" w:eastAsia="Arial" w:hAnsi="Arial"/>
                <w:sz w:val="15"/>
                <w:szCs w:val="15"/>
              </w:rPr>
              <w:t xml:space="preserve">• Black ink on white paper; solid, durable, clean lines.</w:t>
            </w:r>
          </w:p>
          <w:p>
            <w:pPr>
              <w:spacing w:after="40"/>
              <w:ind w:left="360"/>
            </w:pPr>
            <w:r>
              <w:rPr>
                <w:rFonts w:ascii="Arial" w:cs="Arial" w:eastAsia="Arial" w:hAnsi="Arial"/>
                <w:sz w:val="15"/>
                <w:szCs w:val="15"/>
              </w:rPr>
              <w:t xml:space="preserve">• Sheet: A4 or US Letter. Usable area: max 17.6 x 24.4 cm (US Letter).</w:t>
            </w:r>
          </w:p>
          <w:p>
            <w:pPr>
              <w:spacing w:after="40"/>
              <w:ind w:left="360"/>
            </w:pPr>
            <w:r>
              <w:rPr>
                <w:rFonts w:ascii="Arial" w:cs="Arial" w:eastAsia="Arial" w:hAnsi="Arial"/>
                <w:sz w:val="15"/>
                <w:szCs w:val="15"/>
              </w:rPr>
              <w:t xml:space="preserve">• All margins ≥2.5 cm top/left; ≥1.5 cm right; ≥1.0 cm bottom.</w:t>
            </w:r>
          </w:p>
          <w:p>
            <w:pPr>
              <w:spacing w:after="40"/>
              <w:ind w:left="360"/>
            </w:pPr>
            <w:r>
              <w:rPr>
                <w:rFonts w:ascii="Arial" w:cs="Arial" w:eastAsia="Arial" w:hAnsi="Arial"/>
                <w:sz w:val="15"/>
                <w:szCs w:val="15"/>
              </w:rPr>
              <w:t xml:space="preserve">• Figures: FIG. 1, FIG. 2… (consecutive Arabic). Partial: FIG. 1A, FIG. 1B.</w:t>
            </w:r>
          </w:p>
          <w:p>
            <w:pPr>
              <w:spacing w:after="40"/>
              <w:ind w:left="360"/>
            </w:pPr>
            <w:r>
              <w:rPr>
                <w:rFonts w:ascii="Arial" w:cs="Arial" w:eastAsia="Arial" w:hAnsi="Arial"/>
                <w:sz w:val="15"/>
                <w:szCs w:val="15"/>
              </w:rPr>
              <w:t xml:space="preserve">• Reference numerals: consistent across all figures; min height 0.32 cm.</w:t>
            </w:r>
          </w:p>
          <w:p>
            <w:pPr>
              <w:spacing w:after="40"/>
              <w:ind w:left="360"/>
            </w:pPr>
            <w:r>
              <w:rPr>
                <w:rFonts w:ascii="Arial" w:cs="Arial" w:eastAsia="Arial" w:hAnsi="Arial"/>
                <w:sz w:val="15"/>
                <w:szCs w:val="15"/>
              </w:rPr>
              <w:t xml:space="preserve">• Scale: visible at 2/3 reduction. No “actual size” labels.</w:t>
            </w:r>
          </w:p>
          <w:p>
            <w:pPr>
              <w:spacing w:after="40"/>
              <w:ind w:left="360"/>
            </w:pPr>
            <w:r>
              <w:rPr>
                <w:rFonts w:ascii="Arial" w:cs="Arial" w:eastAsia="Arial" w:hAnsi="Arial"/>
                <w:sz w:val="15"/>
                <w:szCs w:val="15"/>
              </w:rPr>
              <w:t xml:space="preserve">• Color/photos: only with petition + fee; photos only if sole practicable medium.</w:t>
            </w:r>
          </w:p>
          <w:p>
            <w:pPr>
              <w:spacing w:after="60"/>
              <w:ind w:left="360"/>
            </w:pPr>
            <w:r>
              <w:rPr>
                <w:rFonts w:ascii="Arial" w:cs="Arial" w:eastAsia="Arial" w:hAnsi="Arial"/>
                <w:sz w:val="15"/>
                <w:szCs w:val="15"/>
              </w:rPr>
              <w:t xml:space="preserve">• Suggest one front-page view in the transmittal letter.</w:t>
            </w:r>
          </w:p>
          <w:p>
            <w:pPr>
              <w:spacing w:after="60"/>
            </w:pPr>
            <w:r>
              <w:rPr>
                <w:rFonts w:ascii="Arial" w:cs="Arial" w:eastAsia="Arial" w:hAnsi="Arial"/>
                <w:b/>
                <w:bCs/>
                <w:sz w:val="15"/>
                <w:szCs w:val="15"/>
              </w:rPr>
              <w:t xml:space="preserve">ABSTRACT (§ 1.72(b)):</w:t>
            </w:r>
          </w:p>
          <w:p>
            <w:pPr>
              <w:spacing w:after="40"/>
              <w:ind w:left="360"/>
            </w:pPr>
            <w:r>
              <w:rPr>
                <w:rFonts w:ascii="Arial" w:cs="Arial" w:eastAsia="Arial" w:hAnsi="Arial"/>
                <w:sz w:val="15"/>
                <w:szCs w:val="15"/>
              </w:rPr>
              <w:t xml:space="preserve">• ≤150 words. Separate sheet. Technical disclosure only.</w:t>
            </w:r>
          </w:p>
          <w:p>
            <w:pPr>
              <w:spacing w:after="40"/>
              <w:ind w:left="360"/>
            </w:pPr>
            <w:r>
              <w:rPr>
                <w:rFonts w:ascii="Arial" w:cs="Arial" w:eastAsia="Arial" w:hAnsi="Arial"/>
                <w:sz w:val="15"/>
                <w:szCs w:val="15"/>
              </w:rPr>
              <w:t xml:space="preserve">• No purported merits, speculative applications, or prior art comparisons.</w:t>
            </w:r>
          </w:p>
          <w:p>
            <w:pPr>
              <w:spacing w:after="80"/>
              <w:ind w:left="360"/>
            </w:pPr>
            <w:r>
              <w:rPr>
                <w:rFonts w:ascii="Arial" w:cs="Arial" w:eastAsia="Arial" w:hAnsi="Arial"/>
                <w:sz w:val="15"/>
                <w:szCs w:val="15"/>
              </w:rPr>
              <w:t xml:space="preserve">• Enable cursory inspection to determine nature and gist of the invention.</w:t>
            </w:r>
          </w:p>
          <w:p>
            <w:pPr>
              <w:spacing w:after="60"/>
            </w:pPr>
            <w:r>
              <w:rPr>
                <w:rFonts w:ascii="Arial" w:cs="Arial" w:eastAsia="Arial" w:hAnsi="Arial"/>
                <w:b/>
                <w:bCs/>
                <w:sz w:val="15"/>
                <w:szCs w:val="15"/>
              </w:rPr>
              <w:t xml:space="preserve">QUALITY CHECKS:</w:t>
            </w:r>
          </w:p>
          <w:p>
            <w:pPr>
              <w:spacing w:after="40"/>
              <w:ind w:left="360"/>
            </w:pPr>
            <w:r>
              <w:rPr>
                <w:rFonts w:ascii="Arial" w:cs="Arial" w:eastAsia="Arial" w:hAnsi="Arial"/>
                <w:sz w:val="15"/>
                <w:szCs w:val="15"/>
              </w:rPr>
              <w:t xml:space="preserve">• Every claim term has antecedent basis in the description.</w:t>
            </w:r>
          </w:p>
          <w:p>
            <w:pPr>
              <w:spacing w:after="40"/>
              <w:ind w:left="360"/>
            </w:pPr>
            <w:r>
              <w:rPr>
                <w:rFonts w:ascii="Arial" w:cs="Arial" w:eastAsia="Arial" w:hAnsi="Arial"/>
                <w:sz w:val="15"/>
                <w:szCs w:val="15"/>
              </w:rPr>
              <w:t xml:space="preserve">• Every reference numeral in text appears in at least one drawing and vice versa.</w:t>
            </w:r>
          </w:p>
          <w:p>
            <w:pPr>
              <w:spacing w:after="40"/>
              <w:ind w:left="360"/>
            </w:pPr>
            <w:r>
              <w:rPr>
                <w:rFonts w:ascii="Arial" w:cs="Arial" w:eastAsia="Arial" w:hAnsi="Arial"/>
                <w:sz w:val="15"/>
                <w:szCs w:val="15"/>
              </w:rPr>
              <w:t xml:space="preserve">• Abstract ≤150 words, no legal phraseology.</w:t>
            </w:r>
          </w:p>
          <w:p>
            <w:pPr>
              <w:spacing w:after="40"/>
              <w:ind w:left="360"/>
            </w:pPr>
            <w:r>
              <w:rPr>
                <w:rFonts w:ascii="Arial" w:cs="Arial" w:eastAsia="Arial" w:hAnsi="Arial"/>
                <w:sz w:val="15"/>
                <w:szCs w:val="15"/>
              </w:rPr>
              <w:t xml:space="preserve">• Title ≤500 characters, descriptive and concise.</w:t>
            </w:r>
          </w:p>
          <w:p>
            <w:pPr>
              <w:spacing w:after="40"/>
              <w:ind w:left="360"/>
            </w:pPr>
            <w:r>
              <w:rPr>
                <w:rFonts w:ascii="Arial" w:cs="Arial" w:eastAsia="Arial" w:hAnsi="Arial"/>
                <w:sz w:val="15"/>
                <w:szCs w:val="15"/>
              </w:rPr>
              <w:t xml:space="preserve">• Section headings in UPPERCASE only.</w:t>
            </w:r>
          </w:p>
          <w:p>
            <w:pPr>
              <w:spacing w:after="40"/>
              <w:ind w:left="360"/>
            </w:pPr>
            <w:r>
              <w:rPr>
                <w:rFonts w:ascii="Arial" w:cs="Arial" w:eastAsia="Arial" w:hAnsi="Arial"/>
                <w:sz w:val="15"/>
                <w:szCs w:val="15"/>
              </w:rPr>
              <w:t xml:space="preserve">• Claims on separate sheet. Proper indentation for multi-element claims.</w:t>
            </w:r>
          </w:p>
          <w:p>
            <w:pPr>
              <w:spacing w:after="0"/>
              <w:ind w:left="360"/>
            </w:pPr>
            <w:r>
              <w:rPr>
                <w:rFonts w:ascii="Arial" w:cs="Arial" w:eastAsia="Arial" w:hAnsi="Arial"/>
                <w:sz w:val="15"/>
                <w:szCs w:val="15"/>
              </w:rPr>
              <w:t xml:space="preserve">• Drawing margins, numbering, and line quality compliant with § 1.84.</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00"/>
              <w:left w:type="dxa" w:w="160"/>
              <w:bottom w:type="dxa" w:w="100"/>
              <w:right w:type="dxa" w:w="160"/>
            </w:tcMar>
          </w:tcPr>
          <w:p>
            <w:pPr>
              <w:spacing w:after="60"/>
            </w:pPr>
            <w:r>
              <w:rPr>
                <w:rFonts w:ascii="Arial" w:cs="Arial" w:eastAsia="Arial" w:hAnsi="Arial"/>
                <w:b/>
                <w:bCs/>
                <w:color w:val="1B2A4A"/>
                <w:sz w:val="16"/>
                <w:szCs w:val="16"/>
              </w:rPr>
              <w:t xml:space="preserve">ℹ Data Gap: Entity-Specific Fee Schedules</w:t>
            </w:r>
          </w:p>
          <w:p>
            <w:pPr>
              <w:spacing w:after="0"/>
            </w:pPr>
            <w:r>
              <w:rPr>
                <w:rFonts w:ascii="Arial" w:cs="Arial" w:eastAsia="Arial" w:hAnsi="Arial"/>
                <w:color w:val="333333"/>
                <w:sz w:val="15"/>
                <w:szCs w:val="15"/>
              </w:rPr>
              <w:t xml:space="preserve">Fee amounts under 37 CFR 1.16 (filing fees, claim surcharges, multiple dependent claim fees) vary by entity size (large, small, micro) and change periodically. Always verify current fees at the USPTO Fee Schedule page (uspto.gov/learning-and-resources/fees-and-payment) before filing.</w:t>
            </w:r>
          </w:p>
        </w:tc>
      </w:tr>
    </w:tbl>
    <w:p>
      <w:pPr>
        <w:spacing w:after="0"/>
      </w:pPr>
    </w:p>
    <w:p>
      <w:pPr>
        <w:pStyle w:val="Heading1"/>
        <w:spacing w:before="360" w:after="120"/>
      </w:pPr>
      <w:r>
        <w:rPr>
          <w:rFonts w:ascii="Arial" w:cs="Arial" w:eastAsia="Arial" w:hAnsi="Arial"/>
          <w:b/>
          <w:bCs/>
          <w:color w:val="1B2A4A"/>
          <w:sz w:val="22"/>
          <w:szCs w:val="22"/>
        </w:rPr>
        <w:t xml:space="preserve">8. Pre-Filing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Check Item</w:t>
            </w:r>
          </w:p>
        </w:tc>
        <w:tc>
          <w:tcPr>
            <w:tcBorders>
              <w:top w:val="single" w:color="D0D0D0" w:sz="1"/>
              <w:left w:val="single" w:color="D0D0D0" w:sz="1"/>
              <w:bottom w:val="single" w:color="D0D0D0" w:sz="1"/>
              <w:right w:val="single" w:color="D0D0D0" w:sz="1"/>
            </w:tcBorders>
            <w:shd w:fill="2E75B6" w:val="clear"/>
            <w:tcMar>
              <w:top w:type="dxa" w:w="60"/>
              <w:left w:type="dxa" w:w="100"/>
              <w:bottom w:type="dxa" w:w="60"/>
              <w:right w:type="dxa" w:w="100"/>
            </w:tcMar>
          </w:tcPr>
          <w:p>
            <w:r>
              <w:rPr>
                <w:rFonts w:ascii="Arial" w:cs="Arial" w:eastAsia="Arial" w:hAnsi="Arial"/>
                <w:b/>
                <w:bCs/>
                <w:color w:val="FFFFFF"/>
                <w:sz w:val="15"/>
                <w:szCs w:val="15"/>
              </w:rPr>
              <w:t xml:space="preserve">CFR Reference</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Paper/electronic format compliant (size, margins, font, ink)</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1.52(a), (b)</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Specification in English; full, clear, concise, exact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1.52(b); § 1.71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Section headings UPPERCASE, no bold/underline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1.77(c)</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Title ≤500 characters; short and specific</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1.72(a)</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Abstract on separate sheet; ≤150 words; no merits or comparisons</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1.72(b)</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Claims on separate sheet; consecutively numbered</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1.75(f), (h)</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Each claim starts with capital letter, ends with period</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1.75 (MPEP 608.01(m))</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Multi-element claims: line indentation per element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1.75(i)</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Dependent claims properly reference and further limit parent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1.75(c), (d)</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All claim terms have antecedent basis in description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1.75(d)(1)</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Drawings: black ink, solid lines, proper margins and sheet size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1.84(a), (f), (g)</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Drawing reference numerals consistent across figures and description</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1.84(p)</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Figure numbering: FIG. 1, FIG. 2, etc. (consecutive Arabic)</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1.84(u)</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Front-page view suggested in transmittal letter</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1.84(j)</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Pages numbered consecutively from 1</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1.52(b)(5)</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Application Data Sheet (§ 1.76) included if required for priority/benefit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1.76</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Inventor’s oath/declaration or substitute statement</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1.63; § 1.64</w:t>
            </w:r>
          </w:p>
        </w:tc>
      </w:tr>
      <w:tr>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Appropriate entity status (large/small/micro) and fees</w:t>
            </w:r>
          </w:p>
        </w:tc>
        <w:tc>
          <w:tcPr>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r>
              <w:rPr>
                <w:rFonts w:ascii="Arial" w:cs="Arial" w:eastAsia="Arial" w:hAnsi="Arial"/>
                <w:sz w:val="15"/>
                <w:szCs w:val="15"/>
              </w:rPr>
              <w:t xml:space="preserve">§ 1.27; § 1.16</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A825" w:sz="12"/>
              <w:bottom w:val="none" w:color="FFFFFF" w:sz="0"/>
              <w:right w:val="none" w:color="FFFFFF" w:sz="0"/>
            </w:tcBorders>
            <w:shd w:fill="FFF8E1" w:val="clear"/>
            <w:tcMar>
              <w:top w:type="dxa" w:w="100"/>
              <w:left w:type="dxa" w:w="160"/>
              <w:bottom w:type="dxa" w:w="100"/>
              <w:right w:type="dxa" w:w="160"/>
            </w:tcMar>
          </w:tcPr>
          <w:p>
            <w:pPr>
              <w:spacing w:after="60"/>
            </w:pPr>
            <w:r>
              <w:rPr>
                <w:rFonts w:ascii="Arial" w:cs="Arial" w:eastAsia="Arial" w:hAnsi="Arial"/>
                <w:b/>
                <w:bCs/>
                <w:color w:val="1B2A4A"/>
                <w:sz w:val="16"/>
                <w:szCs w:val="16"/>
              </w:rPr>
              <w:t xml:space="preserve">★ Opportunity: Paragraph Numbering</w:t>
            </w:r>
          </w:p>
          <w:p>
            <w:pPr>
              <w:spacing w:after="0"/>
            </w:pPr>
            <w:r>
              <w:rPr>
                <w:rFonts w:ascii="Arial" w:cs="Arial" w:eastAsia="Arial" w:hAnsi="Arial"/>
                <w:color w:val="333333"/>
                <w:sz w:val="15"/>
                <w:szCs w:val="15"/>
              </w:rPr>
              <w:t xml:space="preserve">While paragraph numbering is optional at filing, the USPTO recommends it for all new applications. Using the four-digit format [0001], [0002], etc. facilitates prosecution by enabling precise references during Office Actions and responses. This is a low-effort, high-value practice.</w:t>
            </w:r>
          </w:p>
        </w:tc>
      </w:tr>
    </w:tbl>
    <w:p>
      <w:pPr>
        <w:spacing w:after="0"/>
      </w:pPr>
    </w:p>
    <w:p>
      <w:pPr>
        <w:pStyle w:val="Heading1"/>
        <w:spacing w:before="360" w:after="120"/>
      </w:pPr>
      <w:r>
        <w:rPr>
          <w:rFonts w:ascii="Arial" w:cs="Arial" w:eastAsia="Arial" w:hAnsi="Arial"/>
          <w:b/>
          <w:bCs/>
          <w:color w:val="1B2A4A"/>
          <w:sz w:val="22"/>
          <w:szCs w:val="22"/>
        </w:rPr>
        <w:t xml:space="preserve">9. References</w:t>
      </w:r>
    </w:p>
    <w:p>
      <w:pPr>
        <w:spacing w:after="100" w:line="260"/>
      </w:pPr>
      <w:r>
        <w:rPr>
          <w:rFonts w:ascii="Arial" w:cs="Arial" w:eastAsia="Arial" w:hAnsi="Arial"/>
          <w:i/>
          <w:iCs/>
          <w:sz w:val="16"/>
          <w:szCs w:val="16"/>
        </w:rPr>
        <w:t xml:space="preserve">All references below are to official U.S. government sources. URLs are current as of February 2026.</w:t>
      </w:r>
    </w:p>
    <w:p>
      <w:pPr>
        <w:spacing w:after="0"/>
      </w:pPr>
    </w:p>
    <w:p>
      <w:pPr>
        <w:pStyle w:val="ListParagraph"/>
        <w:numPr>
          <w:ilvl w:val="0"/>
          <w:numId w:val="6"/>
        </w:numPr>
        <w:spacing w:after="60"/>
      </w:pPr>
      <w:r>
        <w:rPr>
          <w:rFonts w:ascii="Arial" w:cs="Arial" w:eastAsia="Arial" w:hAnsi="Arial"/>
          <w:sz w:val="16"/>
          <w:szCs w:val="16"/>
        </w:rPr>
        <w:t xml:space="preserve">U.S. Government Publishing Office. (2026). 37 CFR § 1.52 — Language, paper, writing, margins, read-only optical disc specifications. </w:t>
      </w:r>
      <w:r>
        <w:rPr>
          <w:rFonts w:ascii="Arial" w:cs="Arial" w:eastAsia="Arial" w:hAnsi="Arial"/>
          <w:i/>
          <w:iCs/>
          <w:sz w:val="16"/>
          <w:szCs w:val="16"/>
        </w:rPr>
        <w:t xml:space="preserve">Electronic Code of Federal Regulations. </w:t>
      </w:r>
      <w:hyperlink w:history="1" r:id="rIdi7rzyek8_fdo7h2btaxb4">
        <w:r>
          <w:rPr>
            <w:rStyle w:val="Hyperlink"/>
            <w:rFonts w:ascii="Arial" w:cs="Arial" w:eastAsia="Arial" w:hAnsi="Arial"/>
            <w:sz w:val="16"/>
            <w:szCs w:val="16"/>
          </w:rPr>
          <w:t xml:space="preserve">https://www.ecfr.gov/current/title-37/section-1.52</w:t>
        </w:r>
      </w:hyperlink>
    </w:p>
    <w:p>
      <w:pPr>
        <w:pStyle w:val="ListParagraph"/>
        <w:numPr>
          <w:ilvl w:val="0"/>
          <w:numId w:val="6"/>
        </w:numPr>
        <w:spacing w:after="60"/>
      </w:pPr>
      <w:r>
        <w:rPr>
          <w:rFonts w:ascii="Arial" w:cs="Arial" w:eastAsia="Arial" w:hAnsi="Arial"/>
          <w:sz w:val="16"/>
          <w:szCs w:val="16"/>
        </w:rPr>
        <w:t xml:space="preserve">U.S. Patent and Trademark Office. (2024). MPEP § 608.01: Specification. </w:t>
      </w:r>
      <w:r>
        <w:rPr>
          <w:rFonts w:ascii="Arial" w:cs="Arial" w:eastAsia="Arial" w:hAnsi="Arial"/>
          <w:i/>
          <w:iCs/>
          <w:sz w:val="16"/>
          <w:szCs w:val="16"/>
        </w:rPr>
        <w:t xml:space="preserve">Manual of Patent Examining Procedure, Ninth Edition, Rev. 01.2024. </w:t>
      </w:r>
      <w:hyperlink w:history="1" r:id="rIdur5axtjfm2yltuwylj4vg">
        <w:r>
          <w:rPr>
            <w:rStyle w:val="Hyperlink"/>
            <w:rFonts w:ascii="Arial" w:cs="Arial" w:eastAsia="Arial" w:hAnsi="Arial"/>
            <w:sz w:val="16"/>
            <w:szCs w:val="16"/>
          </w:rPr>
          <w:t xml:space="preserve">https://www.bitlaw.com/source/mpep/608-01.html</w:t>
        </w:r>
      </w:hyperlink>
    </w:p>
    <w:p>
      <w:pPr>
        <w:pStyle w:val="ListParagraph"/>
        <w:numPr>
          <w:ilvl w:val="0"/>
          <w:numId w:val="6"/>
        </w:numPr>
        <w:spacing w:after="60"/>
      </w:pPr>
      <w:r>
        <w:rPr>
          <w:rFonts w:ascii="Arial" w:cs="Arial" w:eastAsia="Arial" w:hAnsi="Arial"/>
          <w:sz w:val="16"/>
          <w:szCs w:val="16"/>
        </w:rPr>
        <w:t xml:space="preserve">U.S. Government Publishing Office. (2026). 37 CFR § 1.52(b)(5) — Page numbering. </w:t>
      </w:r>
      <w:r>
        <w:rPr>
          <w:rFonts w:ascii="Arial" w:cs="Arial" w:eastAsia="Arial" w:hAnsi="Arial"/>
          <w:i/>
          <w:iCs/>
          <w:sz w:val="16"/>
          <w:szCs w:val="16"/>
        </w:rPr>
        <w:t xml:space="preserve">Electronic Code of Federal Regulations. </w:t>
      </w:r>
      <w:hyperlink w:history="1" r:id="rIdt5b4twtkv9quuzmyjw013">
        <w:r>
          <w:rPr>
            <w:rStyle w:val="Hyperlink"/>
            <w:rFonts w:ascii="Arial" w:cs="Arial" w:eastAsia="Arial" w:hAnsi="Arial"/>
            <w:sz w:val="16"/>
            <w:szCs w:val="16"/>
          </w:rPr>
          <w:t xml:space="preserve">https://www.govinfo.gov/content/pkg/CFR-2010-title37-vol1/pdf/CFR-2010-title37-vol1-sec1-52.pdf</w:t>
        </w:r>
      </w:hyperlink>
    </w:p>
    <w:p>
      <w:pPr>
        <w:pStyle w:val="ListParagraph"/>
        <w:numPr>
          <w:ilvl w:val="0"/>
          <w:numId w:val="6"/>
        </w:numPr>
        <w:spacing w:after="60"/>
      </w:pPr>
      <w:r>
        <w:rPr>
          <w:rFonts w:ascii="Arial" w:cs="Arial" w:eastAsia="Arial" w:hAnsi="Arial"/>
          <w:sz w:val="16"/>
          <w:szCs w:val="16"/>
        </w:rPr>
        <w:t xml:space="preserve">U.S. Patent and Trademark Office. (2024). MPEP § 608.01(a): Arrangement of application. </w:t>
      </w:r>
      <w:r>
        <w:rPr>
          <w:rFonts w:ascii="Arial" w:cs="Arial" w:eastAsia="Arial" w:hAnsi="Arial"/>
          <w:i/>
          <w:iCs/>
          <w:sz w:val="16"/>
          <w:szCs w:val="16"/>
        </w:rPr>
        <w:t xml:space="preserve">Manual of Patent Examining Procedure, Ninth Edition, Rev. 01.2024. </w:t>
      </w:r>
      <w:hyperlink w:history="1" r:id="rIdhnmyq7tr1tgstmsas2tjs">
        <w:r>
          <w:rPr>
            <w:rStyle w:val="Hyperlink"/>
            <w:rFonts w:ascii="Arial" w:cs="Arial" w:eastAsia="Arial" w:hAnsi="Arial"/>
            <w:sz w:val="16"/>
            <w:szCs w:val="16"/>
          </w:rPr>
          <w:t xml:space="preserve">https://www.bitlaw.com/source/mpep/608-01-a.html</w:t>
        </w:r>
      </w:hyperlink>
    </w:p>
    <w:p>
      <w:pPr>
        <w:pStyle w:val="ListParagraph"/>
        <w:numPr>
          <w:ilvl w:val="0"/>
          <w:numId w:val="6"/>
        </w:numPr>
        <w:spacing w:after="60"/>
      </w:pPr>
      <w:r>
        <w:rPr>
          <w:rFonts w:ascii="Arial" w:cs="Arial" w:eastAsia="Arial" w:hAnsi="Arial"/>
          <w:sz w:val="16"/>
          <w:szCs w:val="16"/>
        </w:rPr>
        <w:t xml:space="preserve">U.S. Government Publishing Office. (2026). 37 CFR § 1.77 — Arrangement of application elements. </w:t>
      </w:r>
      <w:r>
        <w:rPr>
          <w:rFonts w:ascii="Arial" w:cs="Arial" w:eastAsia="Arial" w:hAnsi="Arial"/>
          <w:i/>
          <w:iCs/>
          <w:sz w:val="16"/>
          <w:szCs w:val="16"/>
        </w:rPr>
        <w:t xml:space="preserve">Electronic Code of Federal Regulations. </w:t>
      </w:r>
      <w:hyperlink w:history="1" r:id="rIdp7zdf4fwbshw3loxkxf2u">
        <w:r>
          <w:rPr>
            <w:rStyle w:val="Hyperlink"/>
            <w:rFonts w:ascii="Arial" w:cs="Arial" w:eastAsia="Arial" w:hAnsi="Arial"/>
            <w:sz w:val="16"/>
            <w:szCs w:val="16"/>
          </w:rPr>
          <w:t xml:space="preserve">https://www.ecfr.gov/current/title-37/section-1.77</w:t>
        </w:r>
      </w:hyperlink>
    </w:p>
    <w:p>
      <w:pPr>
        <w:pStyle w:val="ListParagraph"/>
        <w:numPr>
          <w:ilvl w:val="0"/>
          <w:numId w:val="6"/>
        </w:numPr>
        <w:spacing w:after="60"/>
      </w:pPr>
      <w:r>
        <w:rPr>
          <w:rFonts w:ascii="Arial" w:cs="Arial" w:eastAsia="Arial" w:hAnsi="Arial"/>
          <w:sz w:val="16"/>
          <w:szCs w:val="16"/>
        </w:rPr>
        <w:t xml:space="preserve">U.S. Government Publishing Office. (2026). 37 CFR § 1.72 — Title and abstract. </w:t>
      </w:r>
      <w:r>
        <w:rPr>
          <w:rFonts w:ascii="Arial" w:cs="Arial" w:eastAsia="Arial" w:hAnsi="Arial"/>
          <w:i/>
          <w:iCs/>
          <w:sz w:val="16"/>
          <w:szCs w:val="16"/>
        </w:rPr>
        <w:t xml:space="preserve">Electronic Code of Federal Regulations. </w:t>
      </w:r>
      <w:hyperlink w:history="1" r:id="rId-hbokcsag8jjwg-u3yjmn">
        <w:r>
          <w:rPr>
            <w:rStyle w:val="Hyperlink"/>
            <w:rFonts w:ascii="Arial" w:cs="Arial" w:eastAsia="Arial" w:hAnsi="Arial"/>
            <w:sz w:val="16"/>
            <w:szCs w:val="16"/>
          </w:rPr>
          <w:t xml:space="preserve">https://www.ecfr.gov/current/title-37/section-1.72</w:t>
        </w:r>
      </w:hyperlink>
    </w:p>
    <w:p>
      <w:pPr>
        <w:pStyle w:val="ListParagraph"/>
        <w:numPr>
          <w:ilvl w:val="0"/>
          <w:numId w:val="6"/>
        </w:numPr>
        <w:spacing w:after="60"/>
      </w:pPr>
      <w:r>
        <w:rPr>
          <w:rFonts w:ascii="Arial" w:cs="Arial" w:eastAsia="Arial" w:hAnsi="Arial"/>
          <w:sz w:val="16"/>
          <w:szCs w:val="16"/>
        </w:rPr>
        <w:t xml:space="preserve">U.S. Patent and Trademark Office. (2024). MPEP § 608.01(b): Abstract of the disclosure. </w:t>
      </w:r>
      <w:r>
        <w:rPr>
          <w:rFonts w:ascii="Arial" w:cs="Arial" w:eastAsia="Arial" w:hAnsi="Arial"/>
          <w:i/>
          <w:iCs/>
          <w:sz w:val="16"/>
          <w:szCs w:val="16"/>
        </w:rPr>
        <w:t xml:space="preserve">Manual of Patent Examining Procedure, Ninth Edition, Rev. 01.2024. </w:t>
      </w:r>
      <w:hyperlink w:history="1" r:id="rIdx0_wobdartsoogwynm093">
        <w:r>
          <w:rPr>
            <w:rStyle w:val="Hyperlink"/>
            <w:rFonts w:ascii="Arial" w:cs="Arial" w:eastAsia="Arial" w:hAnsi="Arial"/>
            <w:sz w:val="16"/>
            <w:szCs w:val="16"/>
          </w:rPr>
          <w:t xml:space="preserve">https://www.bitlaw.com/source/mpep/608-01-b.html</w:t>
        </w:r>
      </w:hyperlink>
    </w:p>
    <w:p>
      <w:pPr>
        <w:pStyle w:val="ListParagraph"/>
        <w:numPr>
          <w:ilvl w:val="0"/>
          <w:numId w:val="6"/>
        </w:numPr>
        <w:spacing w:after="60"/>
      </w:pPr>
      <w:r>
        <w:rPr>
          <w:rFonts w:ascii="Arial" w:cs="Arial" w:eastAsia="Arial" w:hAnsi="Arial"/>
          <w:sz w:val="16"/>
          <w:szCs w:val="16"/>
        </w:rPr>
        <w:t xml:space="preserve">U.S. Government Publishing Office. (2026). 37 CFR § 1.75 — Claim(s). </w:t>
      </w:r>
      <w:r>
        <w:rPr>
          <w:rFonts w:ascii="Arial" w:cs="Arial" w:eastAsia="Arial" w:hAnsi="Arial"/>
          <w:i/>
          <w:iCs/>
          <w:sz w:val="16"/>
          <w:szCs w:val="16"/>
        </w:rPr>
        <w:t xml:space="preserve">Electronic Code of Federal Regulations. </w:t>
      </w:r>
      <w:hyperlink w:history="1" r:id="rIdaultv3o4rrvcycz_zm2zv">
        <w:r>
          <w:rPr>
            <w:rStyle w:val="Hyperlink"/>
            <w:rFonts w:ascii="Arial" w:cs="Arial" w:eastAsia="Arial" w:hAnsi="Arial"/>
            <w:sz w:val="16"/>
            <w:szCs w:val="16"/>
          </w:rPr>
          <w:t xml:space="preserve">https://www.ecfr.gov/current/title-37/section-1.75</w:t>
        </w:r>
      </w:hyperlink>
    </w:p>
    <w:p>
      <w:pPr>
        <w:pStyle w:val="ListParagraph"/>
        <w:numPr>
          <w:ilvl w:val="0"/>
          <w:numId w:val="6"/>
        </w:numPr>
        <w:spacing w:after="60"/>
      </w:pPr>
      <w:r>
        <w:rPr>
          <w:rFonts w:ascii="Arial" w:cs="Arial" w:eastAsia="Arial" w:hAnsi="Arial"/>
          <w:sz w:val="16"/>
          <w:szCs w:val="16"/>
        </w:rPr>
        <w:t xml:space="preserve">U.S. Patent and Trademark Office. (2024). MPEP § 608.01(m): Form of claims. </w:t>
      </w:r>
      <w:r>
        <w:rPr>
          <w:rFonts w:ascii="Arial" w:cs="Arial" w:eastAsia="Arial" w:hAnsi="Arial"/>
          <w:i/>
          <w:iCs/>
          <w:sz w:val="16"/>
          <w:szCs w:val="16"/>
        </w:rPr>
        <w:t xml:space="preserve">Manual of Patent Examining Procedure, Ninth Edition, Rev. 01.2024. </w:t>
      </w:r>
      <w:hyperlink w:history="1" r:id="rId7zjjr6cg1nuhrtzcwhq9g">
        <w:r>
          <w:rPr>
            <w:rStyle w:val="Hyperlink"/>
            <w:rFonts w:ascii="Arial" w:cs="Arial" w:eastAsia="Arial" w:hAnsi="Arial"/>
            <w:sz w:val="16"/>
            <w:szCs w:val="16"/>
          </w:rPr>
          <w:t xml:space="preserve">https://www.bitlaw.com/source/mpep/608-01-m.html</w:t>
        </w:r>
      </w:hyperlink>
    </w:p>
    <w:p>
      <w:pPr>
        <w:pStyle w:val="ListParagraph"/>
        <w:numPr>
          <w:ilvl w:val="0"/>
          <w:numId w:val="6"/>
        </w:numPr>
        <w:spacing w:after="60"/>
      </w:pPr>
      <w:r>
        <w:rPr>
          <w:rFonts w:ascii="Arial" w:cs="Arial" w:eastAsia="Arial" w:hAnsi="Arial"/>
          <w:sz w:val="16"/>
          <w:szCs w:val="16"/>
        </w:rPr>
        <w:t xml:space="preserve">BlueIron IP. (2025). Formatting requirements for claims in a patent application. </w:t>
      </w:r>
      <w:hyperlink w:history="1" r:id="rIdgplkv_hyq1spl9-uvg9da">
        <w:r>
          <w:rPr>
            <w:rStyle w:val="Hyperlink"/>
            <w:rFonts w:ascii="Arial" w:cs="Arial" w:eastAsia="Arial" w:hAnsi="Arial"/>
            <w:sz w:val="16"/>
            <w:szCs w:val="16"/>
          </w:rPr>
          <w:t xml:space="preserve">https://blueironip.com/ufaqs/what-are-the-formatting-requirements-for-claims-in-a-patent-application/</w:t>
        </w:r>
      </w:hyperlink>
    </w:p>
    <w:p>
      <w:pPr>
        <w:pStyle w:val="ListParagraph"/>
        <w:numPr>
          <w:ilvl w:val="0"/>
          <w:numId w:val="6"/>
        </w:numPr>
        <w:spacing w:after="60"/>
      </w:pPr>
      <w:r>
        <w:rPr>
          <w:rFonts w:ascii="Arial" w:cs="Arial" w:eastAsia="Arial" w:hAnsi="Arial"/>
          <w:sz w:val="16"/>
          <w:szCs w:val="16"/>
        </w:rPr>
        <w:t xml:space="preserve">U.S. Government Publishing Office. (2026). 37 CFR § 1.84 — Standards for drawings. </w:t>
      </w:r>
      <w:r>
        <w:rPr>
          <w:rFonts w:ascii="Arial" w:cs="Arial" w:eastAsia="Arial" w:hAnsi="Arial"/>
          <w:i/>
          <w:iCs/>
          <w:sz w:val="16"/>
          <w:szCs w:val="16"/>
        </w:rPr>
        <w:t xml:space="preserve">Electronic Code of Federal Regulations. </w:t>
      </w:r>
      <w:hyperlink w:history="1" r:id="rIdzujrc_3l0z1ehczqiieor">
        <w:r>
          <w:rPr>
            <w:rStyle w:val="Hyperlink"/>
            <w:rFonts w:ascii="Arial" w:cs="Arial" w:eastAsia="Arial" w:hAnsi="Arial"/>
            <w:sz w:val="16"/>
            <w:szCs w:val="16"/>
          </w:rPr>
          <w:t xml:space="preserve">https://www.ecfr.gov/current/title-37/section-1.84</w:t>
        </w:r>
      </w:hyperlink>
    </w:p>
    <w:p>
      <w:pPr>
        <w:pStyle w:val="ListParagraph"/>
        <w:numPr>
          <w:ilvl w:val="0"/>
          <w:numId w:val="6"/>
        </w:numPr>
        <w:spacing w:after="60"/>
      </w:pPr>
      <w:r>
        <w:rPr>
          <w:rFonts w:ascii="Arial" w:cs="Arial" w:eastAsia="Arial" w:hAnsi="Arial"/>
          <w:sz w:val="16"/>
          <w:szCs w:val="16"/>
        </w:rPr>
        <w:t xml:space="preserve">BlueIron IP. (2025). Patent drawing size and margin requirements. </w:t>
      </w:r>
      <w:hyperlink w:history="1" r:id="rIdn3s5z3-xkzriwqc4qe8uw">
        <w:r>
          <w:rPr>
            <w:rStyle w:val="Hyperlink"/>
            <w:rFonts w:ascii="Arial" w:cs="Arial" w:eastAsia="Arial" w:hAnsi="Arial"/>
            <w:sz w:val="16"/>
            <w:szCs w:val="16"/>
          </w:rPr>
          <w:t xml:space="preserve">https://blueironip.com/ufaqs/what-are-the-size-and-margin-requirements-for-patent-drawings/</w:t>
        </w:r>
      </w:hyperlink>
    </w:p>
    <w:p>
      <w:pPr>
        <w:spacing w:after="0"/>
      </w:pPr>
    </w:p>
    <w:p>
      <w:pPr>
        <w:pBdr>
          <w:top w:val="single" w:color="D0D0D0" w:sz="4" w:space="1"/>
        </w:pBdr>
        <w:spacing w:before="200" w:after="0"/>
        <w:jc w:val="center"/>
      </w:pPr>
      <w:r>
        <w:rPr>
          <w:rFonts w:ascii="Arial" w:cs="Arial" w:eastAsia="Arial" w:hAnsi="Arial"/>
          <w:i/>
          <w:iCs/>
          <w:color w:val="AAAAAA"/>
          <w:sz w:val="14"/>
          <w:szCs w:val="14"/>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tabs>
        <w:tab w:val="right" w:pos="9026"/>
      </w:tabs>
    </w:pPr>
    <w:r>
      <w:rPr>
        <w:rFonts w:ascii="Arial" w:cs="Arial" w:eastAsia="Arial" w:hAnsi="Arial"/>
        <w:color w:val="AAAAAA"/>
        <w:sz w:val="13"/>
        <w:szCs w:val="13"/>
      </w:rPr>
      <w:t xml:space="preserve">© 2026 | For Internal Use Only</w:t>
    </w:r>
    <w:r>
      <w:rPr>
        <w:rFonts w:ascii="Arial" w:cs="Arial" w:eastAsia="Arial" w:hAnsi="Arial"/>
        <w:color w:val="AAAAAA"/>
        <w:sz w:val="13"/>
        <w:szCs w:val="13"/>
      </w:rPr>
      <w:t xml:space="preserve">	Page </w:t>
    </w:r>
    <w:r>
      <w:rPr>
        <w:rFonts w:ascii="Arial" w:cs="Arial" w:eastAsia="Arial" w:hAnsi="Arial"/>
        <w:color w:val="AAAAAA"/>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4"/>
        <w:szCs w:val="14"/>
      </w:rPr>
      <w:t xml:space="preserve">USPTO Patent Drafting Guidelines</w:t>
    </w:r>
    <w:r>
      <w:rPr>
        <w:rFonts w:ascii="Arial" w:cs="Arial" w:eastAsia="Arial" w:hAnsi="Arial"/>
        <w:color w:val="888888"/>
        <w:sz w:val="14"/>
        <w:szCs w:val="14"/>
      </w:rPr>
      <w:t xml:space="preserve">	Confidential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22"/>
      <w:szCs w:val="22"/>
    </w:rPr>
  </w:style>
  <w:style w:type="paragraph" w:styleId="Heading2">
    <w:name w:val="Heading 2"/>
    <w:basedOn w:val="Normal"/>
    <w:next w:val="Normal"/>
    <w:qFormat/>
    <w:pPr>
      <w:spacing w:before="240" w:after="120"/>
      <w:outlineLvl w:val="1"/>
    </w:pPr>
    <w:rPr>
      <w:rFonts w:ascii="Arial" w:cs="Arial" w:eastAsia="Arial" w:hAnsi="Arial"/>
      <w:b/>
      <w:bCs/>
      <w:color w:val="1B2A4A"/>
      <w:sz w:val="18"/>
      <w:szCs w:val="18"/>
    </w:rPr>
  </w:style>
  <w:style w:type="paragraph" w:styleId="Heading3">
    <w:name w:val="Heading 3"/>
    <w:basedOn w:val="Normal"/>
    <w:next w:val="Normal"/>
    <w:qFormat/>
    <w:pPr>
      <w:spacing w:before="200" w:after="100"/>
      <w:outlineLvl w:val="2"/>
    </w:pPr>
    <w:rPr>
      <w:rFonts w:ascii="Arial" w:cs="Arial" w:eastAsia="Arial" w:hAnsi="Arial"/>
      <w:b/>
      <w:bCs/>
      <w:color w:val="2E75B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i7rzyek8_fdo7h2btaxb4" Type="http://schemas.openxmlformats.org/officeDocument/2006/relationships/hyperlink" Target="https://www.ecfr.gov/current/title-37/chapter-I/subchapter-A/part-1/subpart-B/subject-group-ECFRd0f79bc8d99d445" TargetMode="External"/><Relationship Id="rIdur5axtjfm2yltuwylj4vg" Type="http://schemas.openxmlformats.org/officeDocument/2006/relationships/hyperlink" Target="https://www.bitlaw.com/source/mpep/608-01.html" TargetMode="External"/><Relationship Id="rIdt5b4twtkv9quuzmyjw013" Type="http://schemas.openxmlformats.org/officeDocument/2006/relationships/hyperlink" Target="https://www.govinfo.gov/content/pkg/CFR-2010-title37-vol1/pdf/CFR-2010-title37-vol1-sec1-52.pdf" TargetMode="External"/><Relationship Id="rIdhnmyq7tr1tgstmsas2tjs" Type="http://schemas.openxmlformats.org/officeDocument/2006/relationships/hyperlink" Target="https://www.bitlaw.com/source/mpep/608-01-a.html" TargetMode="External"/><Relationship Id="rIdp7zdf4fwbshw3loxkxf2u" Type="http://schemas.openxmlformats.org/officeDocument/2006/relationships/hyperlink" Target="https://www.ecfr.gov/current/title-37/chapter-I/subchapter-A/part-1/subpart-B/subject-group-ECFRfde9ad8bf027d31/section-1.77" TargetMode="External"/><Relationship Id="rId-hbokcsag8jjwg-u3yjmn" Type="http://schemas.openxmlformats.org/officeDocument/2006/relationships/hyperlink" Target="https://www.ecfr.gov/current/title-37/chapter-I/subchapter-A/part-1/subpart-B/subject-group-ECFRfde9ad8bf027d31/section-1.72" TargetMode="External"/><Relationship Id="rIdx0_wobdartsoogwynm093" Type="http://schemas.openxmlformats.org/officeDocument/2006/relationships/hyperlink" Target="https://www.bitlaw.com/source/mpep/608-01-b.html" TargetMode="External"/><Relationship Id="rIdaultv3o4rrvcycz_zm2zv" Type="http://schemas.openxmlformats.org/officeDocument/2006/relationships/hyperlink" Target="https://www.ecfr.gov/current/title-37/chapter-I/subchapter-A/part-1/subpart-B/subject-group-ECFRfde9ad8bf027d31/section-1.75" TargetMode="External"/><Relationship Id="rId7zjjr6cg1nuhrtzcwhq9g" Type="http://schemas.openxmlformats.org/officeDocument/2006/relationships/hyperlink" Target="https://www.bitlaw.com/source/mpep/608-01-m.html" TargetMode="External"/><Relationship Id="rIdgplkv_hyq1spl9-uvg9da" Type="http://schemas.openxmlformats.org/officeDocument/2006/relationships/hyperlink" Target="https://blueironip.com/ufaqs/what-are-the-formatting-requirements-for-claims-in-a-patent-application/" TargetMode="External"/><Relationship Id="rIdzujrc_3l0z1ehczqiieor" Type="http://schemas.openxmlformats.org/officeDocument/2006/relationships/hyperlink" Target="https://www.ecfr.gov/current/title-37/chapter-I/subchapter-A/part-1/subpart-B/subject-group-ECFRc7605aa2d3f3782/section-1.84" TargetMode="External"/><Relationship Id="rIdn3s5z3-xkzriwqc4qe8uw" Type="http://schemas.openxmlformats.org/officeDocument/2006/relationships/hyperlink" Target="https://blueironip.com/ufaqs/what-are-the-size-and-margin-requirements-for-patent-drawings/" TargetMode="External"/><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2026-02-23T04:54:43.673Z</dcterms:created>
  <dcterms:modified xsi:type="dcterms:W3CDTF">2026-02-23T04:54:43.674Z</dcterms:modified>
</cp:coreProperties>
</file>

<file path=docProps/custom.xml><?xml version="1.0" encoding="utf-8"?>
<Properties xmlns="http://schemas.openxmlformats.org/officeDocument/2006/custom-properties" xmlns:vt="http://schemas.openxmlformats.org/officeDocument/2006/docPropsVTypes"/>
</file>