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caps/>
          <w:color w:val="0E7C86"/>
          <w:sz w:val="22"/>
          <w:szCs w:val="22"/>
        </w:rPr>
        <w:t xml:space="preserve">Whitepaper</w:t>
      </w:r>
    </w:p>
    <w:p>
      <w:pPr>
        <w:spacing w:after="240"/>
        <w:jc w:val="center"/>
      </w:pPr>
      <w:r>
        <w:rPr>
          <w:b/>
          <w:bCs/>
          <w:color w:val="1F2A44"/>
          <w:sz w:val="44"/>
          <w:szCs w:val="44"/>
        </w:rPr>
        <w:t xml:space="preserve">Intent-Based Networking with an AI Gateway</w:t>
      </w:r>
    </w:p>
    <w:p>
      <w:pPr>
        <w:spacing w:after="480"/>
        <w:jc w:val="center"/>
      </w:pPr>
      <w:r>
        <w:rPr>
          <w:i/>
          <w:iCs/>
          <w:color w:val="1F2A44"/>
          <w:sz w:val="28"/>
          <w:szCs w:val="28"/>
        </w:rPr>
        <w:t xml:space="preserve">Solution architecture and EU AI Act compliance dossier for ibn-core</w:t>
      </w:r>
    </w:p>
    <w:p>
      <w:pPr>
        <w:spacing w:after="120"/>
        <w:jc w:val="center"/>
      </w:pPr>
      <w:r>
        <w:rPr>
          <w:color w:val="475569"/>
          <w:sz w:val="22"/>
          <w:szCs w:val="22"/>
        </w:rPr>
        <w:t xml:space="preserve">A dual-track reference under RFC 9315, TMF921 v5.0.0,</w:t>
      </w:r>
    </w:p>
    <w:p>
      <w:pPr>
        <w:spacing w:after="600"/>
        <w:jc w:val="center"/>
      </w:pPr>
      <w:r>
        <w:rPr>
          <w:color w:val="475569"/>
          <w:sz w:val="22"/>
          <w:szCs w:val="22"/>
        </w:rPr>
        <w:t xml:space="preserve">TM Forum ODA Canvas, and EU Regulation 2024/1689</w:t>
      </w:r>
    </w:p>
    <w:p>
      <w:pPr>
        <w:spacing w:after="60" w:before="1200"/>
        <w:jc w:val="center"/>
      </w:pPr>
      <w:r>
        <w:rPr>
          <w:b/>
          <w:bCs/>
          <w:sz w:val="24"/>
          <w:szCs w:val="24"/>
        </w:rPr>
        <w:t xml:space="preserve">Vpnet Cloud Solutions Sdn. Bhd.</w:t>
      </w:r>
    </w:p>
    <w:p>
      <w:pPr>
        <w:spacing w:after="60"/>
        <w:jc w:val="center"/>
      </w:pPr>
      <w:r>
        <w:rPr>
          <w:color w:val="475569"/>
          <w:sz w:val="22"/>
          <w:szCs w:val="22"/>
        </w:rPr>
        <w:t xml:space="preserve">Version 1.0 — May 2026</w:t>
      </w:r>
    </w:p>
    <w:p>
      <w:pPr>
        <w:spacing w:after="60"/>
        <w:jc w:val="center"/>
      </w:pPr>
      <w:r>
        <w:rPr>
          <w:color w:val="475569"/>
          <w:sz w:val="20"/>
          <w:szCs w:val="20"/>
        </w:rPr>
        <w:t xml:space="preserve">ibn-core v2.0.1 · Helm chart 2.2.0</w:t>
      </w:r>
    </w:p>
    <w:p>
      <w:pPr>
        <w:spacing w:after="60"/>
        <w:jc w:val="center"/>
      </w:pPr>
      <w:r>
        <w:rPr>
          <w:color w:val="475569"/>
          <w:sz w:val="20"/>
          <w:szCs w:val="20"/>
        </w:rPr>
        <w:t xml:space="preserve">Licensed under Apache License 2.0</w:t>
      </w:r>
    </w:p>
    <w:p>
      <w:r>
        <w:br w:type="page"/>
      </w:r>
    </w:p>
    <w:p>
      <w:pPr>
        <w:pStyle w:val="Heading1"/>
      </w:pPr>
      <w:r>
        <w:rPr>
          <w:b/>
          <w:bCs/>
        </w:rPr>
        <w:t xml:space="preserve">Table of Contents</w:t>
      </w:r>
    </w:p>
    <w:p>
      <w:pPr>
        <w:spacing w:after="240"/>
      </w:pPr>
      <w:r>
        <w:rPr>
          <w:i/>
          <w:iCs/>
          <w:color w:val="475569"/>
          <w:sz w:val="20"/>
          <w:szCs w:val="20"/>
        </w:rPr>
        <w:t xml:space="preserve">Open the document in Microsoft Word, then right-click the field below and choose “Update Field” to populate.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Executive Summary</w:t>
      </w:r>
    </w:p>
    <w:p>
      <w:pPr>
        <w:spacing w:after="120"/>
        <w:jc w:val="both"/>
      </w:pPr>
      <w:r>
        <w:t xml:space="preserve">ibn-core is the open-core (Apache 2.0) of an AI-native Intent-Based Networking platform built around IRTF RFC 9315. A customer expresses an intent in natural language — for example, “I need internet for working from home” — and the platform translates, orchestrates and assesses it across back-office systems via the Model Context Protocol (MCP), returning a TMF921 v5.0.0 IntentManagement response. The release covered by this whitepaper (v2.0.1 / Helm chart 2.2.0) achieves 100% TMF921 CTK conformance (83 of 83 tests) and ships as a registered TM Forum ODA Canvas Component (oda.tmforum.org/v1alpha3) with bindings to Canvas use cases UC001, UC002, UC004/5, UC006 and UC007.</w:t>
      </w:r>
    </w:p>
    <w:p>
      <w:pPr>
        <w:spacing w:after="120"/>
        <w:jc w:val="both"/>
      </w:pPr>
      <w:r>
        <w:t xml:space="preserve">Every request first passes an inline AI Gateway with three deny-capable controls — prompt-injection detection (OWASP LLM01), PII masking with per-role Data-Loss-Prevention allowlists on MCP responses, and tool-policy RBAC. A refusal is a first-class, observable outcome: the platform stops at a named RFC 9315 phase, emits a structured OpenTelemetry span event, and reports an auditable assessment. Four canonical scenarios (happy path, DLP redaction, tool-policy deny, prompt-injection block) are shipped as replayable OTLP/HTTP trace payloads (27 spans, 4 gateway events) and loaded into a Neo4j graph for queryable evidence.</w:t>
      </w:r>
    </w:p>
    <w:p>
      <w:pPr>
        <w:spacing w:after="120"/>
        <w:jc w:val="both"/>
      </w:pPr>
      <w:r>
        <w:t xml:space="preserve">This whitepaper is presented in two parts. Part A is the solution view: architecture, the six-phase RFC 9315 cycle, the AI Gateway controls, ODA Canvas integration, and the empirical scenarios. Part B is the EU AI Act compliance dossier: under EU Regulation 2024/1689, ibn-core in its current form is classified as a limited-risk AI system with Article 50 transparency obligations, embedding a GPAI model (Anthropic Claude Sonnet) under Article 53 downstream-provider conditions. The dossier maps existing controls to AI Act articles, identifies four open gaps, and provides deployer guidance for EU operators who carry Article 26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Bottom line</w:t>
            </w:r>
          </w:p>
          <w:p>
            <w:pPr>
              <w:spacing w:after="120"/>
              <w:jc w:val="both"/>
            </w:pPr>
            <w:r>
              <w:t xml:space="preserve">ibn-core delivers a production-grade RFC 9315 implementation with verifiable TMF921 conformance, a threat-informed AI Gateway, and trace-level observability that doubles as audit evidence. Its open-core architecture and the documented control set position it within the limited-risk tier of the EU AI Act, with a clear, short remediation list to close residual transparency and post-market-monitoring gaps.</w:t>
            </w:r>
          </w:p>
        </w:tc>
      </w:tr>
    </w:tbl>
    <w:p>
      <w:r>
        <w:br w:type="page"/>
      </w:r>
    </w:p>
    <w:p>
      <w:pPr>
        <w:spacing w:after="120" w:before="1200"/>
        <w:jc w:val="center"/>
      </w:pPr>
      <w:r>
        <w:rPr>
          <w:b/>
          <w:bCs/>
          <w:color w:val="0E7C86"/>
          <w:sz w:val="22"/>
          <w:szCs w:val="22"/>
        </w:rPr>
        <w:t xml:space="preserve">PART A</w:t>
      </w:r>
    </w:p>
    <w:p>
      <w:pPr>
        <w:spacing w:after="1200"/>
        <w:jc w:val="center"/>
      </w:pPr>
      <w:r>
        <w:rPr>
          <w:b/>
          <w:bCs/>
          <w:color w:val="1F2A44"/>
          <w:sz w:val="36"/>
          <w:szCs w:val="36"/>
        </w:rPr>
        <w:t xml:space="preserve">Solution architecture and empirical results</w:t>
      </w:r>
    </w:p>
    <w:p>
      <w:r>
        <w:br w:type="page"/>
      </w:r>
    </w:p>
    <w:p>
      <w:pPr>
        <w:pStyle w:val="Heading1"/>
      </w:pPr>
      <w:r>
        <w:rPr>
          <w:b/>
          <w:bCs/>
        </w:rPr>
        <w:t xml:space="preserve">1. Introduction and problem statement</w:t>
      </w:r>
    </w:p>
    <w:p>
      <w:pPr>
        <w:pStyle w:val="Heading2"/>
      </w:pPr>
      <w:r>
        <w:rPr>
          <w:b/>
          <w:bCs/>
        </w:rPr>
        <w:t xml:space="preserve">1.1 Why intent, why now</w:t>
      </w:r>
    </w:p>
    <w:p>
      <w:pPr>
        <w:spacing w:after="120"/>
        <w:jc w:val="both"/>
      </w:pPr>
      <w:r>
        <w:t xml:space="preserve">Telecommunications back-offices are dense, vertically siloed, and dominated by request-of-the-month integrations. A customer’s real-world need (“I need broadband that won’t drop my video calls”) is translated through layers of human intermediation into product codes, catalogue items, eligibility checks and orchestration steps. Each layer is a place where intent is lost or distorted.</w:t>
      </w:r>
    </w:p>
    <w:p>
      <w:pPr>
        <w:spacing w:after="120"/>
        <w:jc w:val="both"/>
      </w:pPr>
      <w:r>
        <w:t xml:space="preserve">IRTF RFC 9315 (October 2022) defines Intent-Based Networking (IBN) as a model in which high-level, declarative outcomes — expressed by humans or machines — are converted by the network itself into low-level configuration and continuously reconciled against observed state. The RFC defines six phases of an intent-handling cycle (§5): Ingesting, Translating, Orchestrating, Monitoring, Assessing and Acting. It does not specify a particular machine-learning or large-language-model approach; it specifies an architectural shape and an observability discipline.</w:t>
      </w:r>
    </w:p>
    <w:p>
      <w:pPr>
        <w:spacing w:after="120"/>
        <w:jc w:val="both"/>
      </w:pPr>
      <w:r>
        <w:t xml:space="preserve">ibn-core implements that shape, with a contemporary AI engine in the Translation phase, MCP in the Orchestration phase, and OpenTelemetry as the unifying observability substrate. The TM Forum TMF921 IntentManagement API (v5.0.0) provides the over-the-wire contract; ibn-core passes 83 of 83 TMF921 CTK tests.</w:t>
      </w:r>
    </w:p>
    <w:p>
      <w:pPr>
        <w:pStyle w:val="Heading2"/>
      </w:pPr>
      <w:r>
        <w:rPr>
          <w:b/>
          <w:bCs/>
        </w:rPr>
        <w:t xml:space="preserve">1.2 What ibn-core is — and what it is not</w:t>
      </w:r>
    </w:p>
    <w:p>
      <w:pPr>
        <w:spacing w:after="120"/>
        <w:jc w:val="both"/>
      </w:pPr>
      <w:r>
        <w:t xml:space="preserve">ibn-core is the public framework: API, IMF cycle runner, AI Gateway, McpAdapter interface, telemetry bootstrap, Redis-backed source-of-truth, and a deployable Helm chart that registers as an ODA Canvas Component. It does not contain real CAMARA adapters for any operator (those live in a private repository delivered through Vpnet Systems Integration engagements); the open core ships a MockMcpAdapter for local development.</w:t>
      </w:r>
    </w:p>
    <w:p>
      <w:pPr>
        <w:spacing w:after="120"/>
        <w:jc w:val="both"/>
      </w:pPr>
      <w:r>
        <w:t xml:space="preserve">This separation — public open-core framework, private operator adapters — is deliberate. The open core encodes the standards-implementing parts (RFC 9315, TMF921, MCP, OpenTelemetry, ODA Canvas) and the controls (AI Gateway), so the architectural guarantees travel with anyone who deploys it. The operator-specific adapters encode credentials and integration secrets, which by policy never enter the public repository.</w:t>
      </w:r>
    </w:p>
    <w:p>
      <w:pPr>
        <w:pStyle w:val="Heading2"/>
      </w:pPr>
      <w:r>
        <w:rPr>
          <w:b/>
          <w:bCs/>
        </w:rPr>
        <w:t xml:space="preserve">1.3 Audience for this document</w:t>
      </w:r>
    </w:p>
    <w:p>
      <w:pPr>
        <w:spacing w:after="120"/>
        <w:jc w:val="both"/>
      </w:pPr>
      <w:r>
        <w:t xml:space="preserve">This is a dual-track whitepaper. Part A is written for technical architects, network engineers and standards readers evaluating the solution. Part B is written for compliance officers, data-protection officers and legal counsel assessing the system under EU Regulation 2024/1689. Both audiences are expected to read the executive summary; thereafter, each part is self-contained, with cross-references where the technical reality grounds the regulatory analysis.</w:t>
      </w:r>
    </w:p>
    <w:p>
      <w:pPr>
        <w:spacing w:after="120"/>
      </w:pPr>
    </w:p>
    <w:p>
      <w:pPr>
        <w:pStyle w:val="Heading1"/>
      </w:pPr>
      <w:r>
        <w:rPr>
          <w:b/>
          <w:bCs/>
        </w:rPr>
        <w:t xml:space="preserve">2. Architecture</w:t>
      </w:r>
    </w:p>
    <w:p>
      <w:pPr>
        <w:pStyle w:val="Heading2"/>
      </w:pPr>
      <w:r>
        <w:rPr>
          <w:b/>
          <w:bCs/>
        </w:rPr>
        <w:t xml:space="preserve">2.1 Container view</w:t>
      </w:r>
    </w:p>
    <w:p>
      <w:pPr>
        <w:spacing w:after="120"/>
        <w:jc w:val="both"/>
      </w:pPr>
      <w:r>
        <w:t xml:space="preserve">A TMF921 caller (the customer, an agent, or another system) submits an intent over HTTPS to the ibn-core API. The request passes through an inline AI Gateway with three controls, then enters the IMF cycle runner, which advances the intent across the six RFC 9315 phases. Translation invokes Claude (single-turn JSON extraction, temperature and max_tokens fixed per deployment). Orchestration calls three MCP back-ends (customer-data, knowledge-graph, BSS). The cycle’s end-state — a fulfilled offer, a compliantFailure, or a hard rejection — is persisted to Redis (the single source of truth) and returned as a TMF921 IntentReport-shaped response. Every component emits OpenTelemetry spans to an OTLP/HTTP backend (LangSmith EU by default, overridable to any Canvas collector).</w:t>
      </w:r>
    </w:p>
    <w:p>
      <w:pPr>
        <w:pStyle w:val="Heading2"/>
      </w:pPr>
      <w:r>
        <w:rPr>
          <w:b/>
          <w:bCs/>
        </w:rPr>
        <w:t xml:space="preserve">2.2 The open-core seam: McpAdapter</w:t>
      </w:r>
    </w:p>
    <w:p>
      <w:pPr>
        <w:spacing w:after="120"/>
        <w:jc w:val="both"/>
      </w:pPr>
      <w:r>
        <w:t xml:space="preserve">src/mcp/McpAdapter.ts defines the interface that binds the open core to the outside world. Its four methods map directly onto RFC 9315 responsibilities: orchestrate() to §5.1.3 Orchestration, getIntentStatus() to §5.2.1 Monitoring, getCapabilities() to §4 Principle 5 (Capability Exposure), and cancelIntent() to §5.2.3 Compliance Actions. The interface stays in the public Apache-2.0 repository; the production implementations (a CamaraUMobileMcpAdapter, a CamaraTmMcpAdapter, and similar) live in the private repository together with operator credentials.</w:t>
      </w:r>
    </w:p>
    <w:p>
      <w:pPr>
        <w:pStyle w:val="Heading2"/>
      </w:pPr>
      <w:r>
        <w:rPr>
          <w:b/>
          <w:bCs/>
        </w:rPr>
        <w:t xml:space="preserve">2.3 Deployment topology</w:t>
      </w:r>
    </w:p>
    <w:p>
      <w:pPr>
        <w:spacing w:after="120"/>
        <w:jc w:val="both"/>
      </w:pPr>
      <w:r>
        <w:t xml:space="preserve">Production deployment is via Helm chart helm/ibn-core (v2.2.0), which renders the ODA Component CR plus a Kubernetes Deployment (replicaCount 2), HPA, Service, an Istio Gateway/VirtualService/DestinationRule trio, a PeerAuthentication (mTLS enforced), a Redis sub-component, and Secret resources for Anthropic, LangSmith and Keycloak credentials (injected as envFrom). The chart annotates Chart.yaml with oda.tmforum.org/componentName, /featureSet and /aiNative so a Canvas operator can discover and reconcile it.</w:t>
      </w:r>
    </w:p>
    <w:p>
      <w:pPr>
        <w:pStyle w:val="Heading2"/>
      </w:pPr>
      <w:r>
        <w:rPr>
          <w:b/>
          <w:bCs/>
        </w:rPr>
        <w:t xml:space="preserve">2.4 Standards traceability map</w:t>
      </w:r>
    </w:p>
    <w:p>
      <w:pPr>
        <w:spacing w:after="120"/>
        <w:jc w:val="both"/>
      </w:pPr>
      <w:r>
        <w:t xml:space="preserve">Every implementation component traces to a specific clause in a public standard. The table below — maintained in CLAUDE.md at the repository root and enforced via commit-message convention — is the canonical mapping for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ibn-core component</w:t>
            </w:r>
          </w:p>
        </w:tc>
        <w:tc>
          <w:tcPr>
            <w:tcW w:type="dxa" w:w="29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RFC 9315 reference</w:t>
            </w:r>
          </w:p>
        </w:tc>
        <w:tc>
          <w:tcPr>
            <w:tcW w:type="dxa" w:w="29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TMF921 v5.0.0 reference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POST /api/v1/intent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§5.1.1 Ingestion</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POST /intent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claude-client.ts (analyzeIntent)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§5.1.2 Translation</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Handler-internal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McpAdapter.orchestrate()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§5.1.3 Orchestration</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Cross-layer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metrics.ts + Prometheus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§5.2.1 Monitoring</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IntentReport source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IntentReport.reportState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§5.2.2 Compliance Assessment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reportState field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Istio circuit breakers + HPA</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§5.2.3 Compliance Actions</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Handler triggers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/api/v1/intent/:id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 P1 SSoT/SVoT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/intent/{id}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DELETE /api/v1/intent/:id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 Lifecycle</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DELETE /intent/{id}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auth-jwt.ts + auth-router.ts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 P3 Autonomy (identity)</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ODA UC007 — Keycloak JWT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telemetry.ts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§5.2.1 Monitoring (OTel)</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ODA UC006 — Custom Observability</w:t>
            </w:r>
          </w:p>
        </w:tc>
      </w:tr>
    </w:tbl>
    <w:p>
      <w:pPr>
        <w:spacing w:after="120"/>
      </w:pPr>
    </w:p>
    <w:p>
      <w:pPr>
        <w:pStyle w:val="Heading1"/>
      </w:pPr>
      <w:r>
        <w:rPr>
          <w:b/>
          <w:bCs/>
        </w:rPr>
        <w:t xml:space="preserve">3. The RFC 9315 intent-handling cycle</w:t>
      </w:r>
    </w:p>
    <w:p>
      <w:pPr>
        <w:spacing w:after="120"/>
        <w:jc w:val="both"/>
      </w:pPr>
      <w:r>
        <w:t xml:space="preserve">RFC 9315 §5 defines six phases. ibn-core models them as IntentHandlingCycleRunner phases that operate over a single IntentHandlingContext object.</w:t>
      </w:r>
    </w:p>
    <w:p>
      <w:pPr>
        <w:pStyle w:val="Heading2"/>
      </w:pPr>
      <w:r>
        <w:rPr>
          <w:b/>
          <w:bCs/>
        </w:rPr>
        <w:t xml:space="preserve">3.1 Context discipline — immutability and accumulation</w:t>
      </w:r>
    </w:p>
    <w:p>
      <w:pPr>
        <w:spacing w:after="120"/>
        <w:jc w:val="both"/>
      </w:pPr>
      <w:r>
        <w:t xml:space="preserve">IntentHandlingContext is immutable. Each phase receives the previous context and returns an enriched copy (object spread); it is never mutated in place. Identity fields (intentId, customerId, intentText, startedAt, retriesRemaining) are readonly and carried unchanged end-to-end; each phase only adds the fields it owns. This makes the state evolution explicit, the trajectory replayable, and a failure precisely attributable to the phase that produced it. It is also the substrate that lets OpenTelemetry span attributes carry a coherent rfc9315.phase tag at every depth of the trace tree.</w:t>
      </w:r>
    </w:p>
    <w:p>
      <w:pPr>
        <w:pStyle w:val="Heading2"/>
      </w:pPr>
      <w:r>
        <w:rPr>
          <w:b/>
          <w:bCs/>
        </w:rPr>
        <w:t xml:space="preserve">3.2 The six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Phase (RFC 9315 §)</w:t>
            </w:r>
          </w:p>
        </w:tc>
        <w:tc>
          <w:tcPr>
            <w:tcW w:type="dxa" w:w="3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What ibn-core does</w:t>
            </w:r>
          </w:p>
        </w:tc>
        <w:tc>
          <w:tcPr>
            <w:tcW w:type="dxa" w:w="31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Context fields added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INGESTING (§5.1.1)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Validate request, resolve the customer profile, apply PII masking before any external AI call.</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customerProfile, rawCustomerProfile (masked)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TRANSLATING (§5.1.2)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Call analyzeIntent on Claude: scaffold + intent text + masked profile → JSON of tags, product_types, priority.</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intentAnalysis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ORCHESTRATING (§5.1.3)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MCP calls into customer-data, knowledge-graph and BSS; generateOffer assembles selected products, pricing and discounts.</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availableProducts, selectedOffer, quote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MONITORING (§5.2.1)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Observe live fulfilment state of the orchestrated services.</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(observation only; no state addition)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ASSESSING (§5.2.2)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Compute the IntentReport reportState: fulfilled, compliantFailure or pending.</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reportState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ACTING (§5.2.3)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If not fulfilled and retriesRemaining &gt; 0, re-enter ORCHESTRATING with a corrective action.</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(retry budget decremented)</w:t>
            </w:r>
          </w:p>
        </w:tc>
      </w:tr>
    </w:tbl>
    <w:p>
      <w:pPr>
        <w:spacing w:after="120"/>
        <w:jc w:val="both"/>
      </w:pPr>
      <w:r>
        <w:t xml:space="preserve">The ACTING → ORCHESTRATING re-entry is bounded by the retry budget on the immutable context. A request that has exhausted its budget without reaching fulfilled exits as compliantFailure with a documented assessment, not as a silent failure.</w:t>
      </w:r>
    </w:p>
    <w:p>
      <w:pPr>
        <w:spacing w:after="120"/>
      </w:pPr>
    </w:p>
    <w:p>
      <w:pPr>
        <w:pStyle w:val="Heading1"/>
      </w:pPr>
      <w:r>
        <w:rPr>
          <w:b/>
          <w:bCs/>
        </w:rPr>
        <w:t xml:space="preserve">4. The AI Gateway — three deny-capable controls</w:t>
      </w:r>
    </w:p>
    <w:p>
      <w:pPr>
        <w:spacing w:after="120"/>
        <w:jc w:val="both"/>
      </w:pPr>
      <w:r>
        <w:t xml:space="preserve">The AI Gateway is the security boundary between the external request and the model, and between the model’s decisions and the network. It comprises three independent controls. Each is rooted in a published control set, each emits an ai_gateway.* span event when it fires, and each can — alone — halt the cycle.</w:t>
      </w:r>
    </w:p>
    <w:p>
      <w:pPr>
        <w:pStyle w:val="Heading2"/>
      </w:pPr>
      <w:r>
        <w:rPr>
          <w:b/>
          <w:bCs/>
        </w:rPr>
        <w:t xml:space="preserve">4.1 Prompt-injection detection — boundary gate</w:t>
      </w:r>
    </w:p>
    <w:p>
      <w:pPr>
        <w:spacing w:after="120"/>
        <w:jc w:val="both"/>
      </w:pPr>
      <w:r>
        <w:t xml:space="preserve">Implementation: prompt-injection-detection.ts. Reference control: OWASP LLM01 (Prompt Injection).</w:t>
      </w:r>
    </w:p>
    <w:p>
      <w:pPr>
        <w:spacing w:after="120"/>
        <w:jc w:val="both"/>
      </w:pPr>
      <w:r>
        <w:t xml:space="preserve">A signature engine matches the raw intent text against tiered regular expressions:</w:t>
      </w:r>
    </w:p>
    <w:p>
      <w:pPr>
        <w:pStyle w:val="ListParagraph"/>
        <w:numPr>
          <w:ilvl w:val="0"/>
          <w:numId w:val="2"/>
        </w:numPr>
        <w:spacing w:after="60"/>
      </w:pPr>
      <w:r>
        <w:rPr>
          <w:b/>
          <w:bCs/>
        </w:rPr>
        <w:t xml:space="preserve">HIGH — jailbreak patterns: </w:t>
      </w:r>
      <w:r>
        <w:t xml:space="preserve">ignore previous instructions, pretend you are…, reveal your system prompt.</w:t>
      </w:r>
    </w:p>
    <w:p>
      <w:pPr>
        <w:pStyle w:val="ListParagraph"/>
        <w:numPr>
          <w:ilvl w:val="0"/>
          <w:numId w:val="2"/>
        </w:numPr>
        <w:spacing w:after="60"/>
      </w:pPr>
      <w:r>
        <w:rPr>
          <w:b/>
          <w:bCs/>
        </w:rPr>
        <w:t xml:space="preserve">MEDIUM — </w:t>
      </w:r>
      <w:r>
        <w:t xml:space="preserve">developer/admin mode, bypass safety, embedded &lt;script&gt;.</w:t>
      </w:r>
    </w:p>
    <w:p>
      <w:pPr>
        <w:pStyle w:val="ListParagraph"/>
        <w:numPr>
          <w:ilvl w:val="0"/>
          <w:numId w:val="2"/>
        </w:numPr>
        <w:spacing w:after="60"/>
      </w:pPr>
      <w:r>
        <w:rPr>
          <w:b/>
          <w:bCs/>
        </w:rPr>
        <w:t xml:space="preserve">LOW — </w:t>
      </w:r>
      <w:r>
        <w:t xml:space="preserve">drop table, sudo, template-variable injection.</w:t>
      </w:r>
    </w:p>
    <w:p>
      <w:pPr>
        <w:spacing w:after="120"/>
        <w:jc w:val="both"/>
      </w:pPr>
      <w:r>
        <w:t xml:space="preserve">Rule: HIGH always blocks (blockHigh=true is non-overridable); MEDIUM and LOW are configurable per deployment. A block returns before TRANSLATING; the model never sees the payload. This is Scenario D — measured wall-clock cost ~12 ms, zero LLM tokens consumed.</w:t>
      </w:r>
    </w:p>
    <w:p>
      <w:pPr>
        <w:pStyle w:val="Heading2"/>
      </w:pPr>
      <w:r>
        <w:rPr>
          <w:b/>
          <w:bCs/>
        </w:rPr>
        <w:t xml:space="preserve">4.2 PII masking and DLP — containment in transit</w:t>
      </w:r>
    </w:p>
    <w:p>
      <w:pPr>
        <w:spacing w:after="120"/>
        <w:jc w:val="both"/>
      </w:pPr>
      <w:r>
        <w:t xml:space="preserve">Implementation: pii-masking.ts and DLPPolicy.ts. Reference control: MCP §4.4 data-handling.</w:t>
      </w:r>
    </w:p>
    <w:p>
      <w:pPr>
        <w:spacing w:after="120"/>
        <w:jc w:val="both"/>
      </w:pPr>
      <w:r>
        <w:t xml:space="preserve">Two layers protect data flowing to and from the model. On the way in, the customer profile is PII-masked before any external AI call: raw email, phone, address and similar fields are replaced with type-preserving sentinels so the model never receives the raw values. On the way out, the DLP policy applies per-tool, per-role field allowlists to each MCP response: fields not on the role’s allowlist are replaced with [DLP_REDACTED] while the JSON schema shape is preserved. For example, on get_customer_profile a caller in the customer role sees only non-identifying fields; email and phone come back as redactions.</w:t>
      </w:r>
    </w:p>
    <w:p>
      <w:pPr>
        <w:spacing w:after="120"/>
        <w:jc w:val="both"/>
      </w:pPr>
      <w:r>
        <w:t xml:space="preserve">Rule: DLP does not halt the cycle. The request continues with the redacted payload — this is containment, not refusal. This is Scenario B.</w:t>
      </w:r>
    </w:p>
    <w:p>
      <w:pPr>
        <w:pStyle w:val="Heading2"/>
      </w:pPr>
      <w:r>
        <w:rPr>
          <w:b/>
          <w:bCs/>
        </w:rPr>
        <w:t xml:space="preserve">4.3 Tool-policy RBAC — capability gate</w:t>
      </w:r>
    </w:p>
    <w:p>
      <w:pPr>
        <w:spacing w:after="120"/>
        <w:jc w:val="both"/>
      </w:pPr>
      <w:r>
        <w:t xml:space="preserve">Implementation: ToolPolicyEngine.ts. Reference control: MCP §4.1 (capability authorization) and RFC 9315 Principle 5.</w:t>
      </w:r>
    </w:p>
    <w:p>
      <w:pPr>
        <w:spacing w:after="120"/>
        <w:jc w:val="both"/>
      </w:pPr>
      <w:r>
        <w:t xml:space="preserve">Deny-by-default allowlists per role; the role is resolved from the caller’s API-key name (or, when configured, from a JWT claim):</w:t>
      </w:r>
    </w:p>
    <w:p>
      <w:pPr>
        <w:pStyle w:val="ListParagraph"/>
        <w:numPr>
          <w:ilvl w:val="0"/>
          <w:numId w:val="2"/>
        </w:numPr>
        <w:spacing w:after="60"/>
      </w:pPr>
      <w:r>
        <w:rPr>
          <w:rFonts w:ascii="Consolas" w:cs="Consolas" w:eastAsia="Consolas" w:hAnsi="Consolas"/>
          <w:sz w:val="20"/>
          <w:szCs w:val="20"/>
        </w:rPr>
        <w:t xml:space="preserve">customer</w:t>
      </w:r>
      <w:r>
        <w:t xml:space="preserve"> → get_customer_profile, get_intent_status, get_quote, list_products.</w:t>
      </w:r>
    </w:p>
    <w:p>
      <w:pPr>
        <w:pStyle w:val="ListParagraph"/>
        <w:numPr>
          <w:ilvl w:val="0"/>
          <w:numId w:val="2"/>
        </w:numPr>
        <w:spacing w:after="60"/>
      </w:pPr>
      <w:r>
        <w:rPr>
          <w:rFonts w:ascii="Consolas" w:cs="Consolas" w:eastAsia="Consolas" w:hAnsi="Consolas"/>
          <w:sz w:val="20"/>
          <w:szCs w:val="20"/>
        </w:rPr>
        <w:t xml:space="preserve">agent</w:t>
      </w:r>
      <w:r>
        <w:t xml:space="preserve"> → all of the above, plus catalog, quote, submit_order and knowledge-graph tools.</w:t>
      </w:r>
    </w:p>
    <w:p>
      <w:pPr>
        <w:pStyle w:val="ListParagraph"/>
        <w:numPr>
          <w:ilvl w:val="0"/>
          <w:numId w:val="2"/>
        </w:numPr>
        <w:spacing w:after="60"/>
      </w:pPr>
      <w:r>
        <w:rPr>
          <w:rFonts w:ascii="Consolas" w:cs="Consolas" w:eastAsia="Consolas" w:hAnsi="Consolas"/>
          <w:sz w:val="20"/>
          <w:szCs w:val="20"/>
        </w:rPr>
        <w:t xml:space="preserve">admin</w:t>
      </w:r>
      <w:r>
        <w:t xml:space="preserve"> → all of the above, plus cancel_order, update_customer_profile and manage_api_keys.</w:t>
      </w:r>
    </w:p>
    <w:p>
      <w:pPr>
        <w:spacing w:after="120"/>
        <w:jc w:val="both"/>
      </w:pPr>
      <w:r>
        <w:t xml:space="preserve">Rule: a tool not on the caller’s role allowlist is denied. A customer-role caller attempting the admin-only cancel_order is refused at ORCHESTRATING. This is Scenario C, resolving as compliantFailure with HTTP 403.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Two refusal semantics, deliberately different.</w:t>
            </w:r>
          </w:p>
          <w:p>
            <w:pPr>
              <w:spacing w:after="120"/>
              <w:jc w:val="both"/>
            </w:pPr>
            <w:r>
              <w:t xml:space="preserve">A policy refusal (Scenario C) is a compliantFailure: the request was well-formed and understood, but the principal is not authorised. The system did the right thing by refusing, and an auditable assessment is recorded. A security block (Scenario D) is a hard reject at the boundary (HTTP 400): the input is hostile, so it is stopped before it can influence the model. There is no reportState because no intent was ever admitted to the cycle.</w:t>
            </w:r>
          </w:p>
        </w:tc>
      </w:tr>
    </w:tbl>
    <w:p>
      <w:pPr>
        <w:spacing w:after="120"/>
      </w:pPr>
    </w:p>
    <w:p>
      <w:pPr>
        <w:pStyle w:val="Heading1"/>
      </w:pPr>
      <w:r>
        <w:rPr>
          <w:b/>
          <w:bCs/>
        </w:rPr>
        <w:t xml:space="preserve">5. ODA Canvas integration</w:t>
      </w:r>
    </w:p>
    <w:p>
      <w:pPr>
        <w:spacing w:after="120"/>
        <w:jc w:val="both"/>
      </w:pPr>
      <w:r>
        <w:t xml:space="preserve">ibn-core does not need a Canvas to run, but when deployed into one it surfaces as a typed, observable, governed component — and is forward-compatible with the emerging AI-Native Canvas design.</w:t>
      </w:r>
    </w:p>
    <w:p>
      <w:pPr>
        <w:pStyle w:val="Heading2"/>
      </w:pPr>
      <w:r>
        <w:rPr>
          <w:b/>
          <w:bCs/>
        </w:rPr>
        <w:t xml:space="preserve">5.1 The Component CR — the contract</w:t>
      </w:r>
    </w:p>
    <w:p>
      <w:pPr>
        <w:spacing w:after="120"/>
        <w:jc w:val="both"/>
      </w:pPr>
      <w:r>
        <w:t xml:space="preserve">The Helm chart renders one oda.tmforum.org/v1alpha3 · kind: component resource that declares everything Canvas operators need to bind to ibn-core: spec.coreFunction exposes the TMF921 v5.0.0 IntentManagement API; spec.security declares the controllerRole and the external-authentication binding to a Keycloak realm; spec.management exposes the Prometheus /metrics endpoint and the customObservability annotation that drives OTLP/HTTP traces; and spec.dependents lists the Deployment, Service, HPA, Istio resources and Redis that the chart provisions.</w:t>
      </w:r>
    </w:p>
    <w:p>
      <w:pPr>
        <w:pStyle w:val="Heading2"/>
      </w:pPr>
      <w:r>
        <w:rPr>
          <w:b/>
          <w:bCs/>
        </w:rPr>
        <w:t xml:space="preserve">5.2 Canvas use-case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26"/>
        <w:gridCol w:w="1900"/>
      </w:tblGrid>
      <w:tr>
        <w:trPr>
          <w:tblHeader/>
        </w:trPr>
        <w:tc>
          <w:tcPr>
            <w:tcW w:type="dxa" w:w="1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UC</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Canvas use case</w:t>
            </w:r>
          </w:p>
        </w:tc>
        <w:tc>
          <w:tcPr>
            <w:tcW w:type="dxa" w:w="35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How ibn-core binds</w:t>
            </w:r>
          </w:p>
        </w:tc>
        <w:tc>
          <w:tcPr>
            <w:tcW w:type="dxa" w:w="19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Status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Identity bootstrap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Component declares security.controllerRole; chart provisions the ServiceAccount and Keycloak realm-binding inputs.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Expose API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coreFunction.exposedAPIs[] registers the TMF921 v5.0.0 IntentManagement API; the API operator publishes routes.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implemented · 83/83 CTK</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UC004/5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Classic observability</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management.exposedAPIs publishes Prometheus /metrics on port 9090; pino structured logs.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Custom observability</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customObservability annotation plus src/telemetry.ts ships OTLP/HTTP traces (LangSmith default; Canvas-collector overridable).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Phase 1 merged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External authentication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externalAuthentication annotation; src/auth-jwt.ts validates RS256 against a Keycloak realm JWKS.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implemented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AI-Native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dependentModels · mcpInterfaces · agentCard · evaluationDataset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Forward-compatible annotations declare the LLM dependency, the MCP tool surface, the A2A agent card and the canonical evaluation set.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annotation-level (spec pending)</w:t>
            </w:r>
          </w:p>
        </w:tc>
      </w:tr>
    </w:tbl>
    <w:p>
      <w:pPr>
        <w:pStyle w:val="Heading2"/>
      </w:pPr>
      <w:r>
        <w:rPr>
          <w:b/>
          <w:bCs/>
        </w:rPr>
        <w:t xml:space="preserve">5.3 The AI-Native forward-compatibility lane</w:t>
      </w:r>
    </w:p>
    <w:p>
      <w:pPr>
        <w:spacing w:after="120"/>
        <w:jc w:val="both"/>
      </w:pPr>
      <w:r>
        <w:t xml:space="preserve">Until the TM Forum AI-Native Canvas specification formalises them, four AI-specific fields are declared as Component-CR annotations: dependentModels documents the external LLM dependency together with the guardrails in front of it (DLP, tool-policy, prompt-injection); mcpInterfaces lists the tools the McpAdapter exposes; agentCard identifies ibn-core as an A2A peer with named capabilities and an endpoint; and evaluationDataset points Canvas evaluation tooling at the canonical Order-to-Cash evaluation set. When the spec lands, these annotations migrate to first-class spec fields without breaking deployments.</w:t>
      </w:r>
    </w:p>
    <w:p>
      <w:pPr>
        <w:spacing w:after="120"/>
      </w:pPr>
    </w:p>
    <w:p>
      <w:pPr>
        <w:pStyle w:val="Heading1"/>
      </w:pPr>
      <w:r>
        <w:rPr>
          <w:b/>
          <w:bCs/>
        </w:rPr>
        <w:t xml:space="preserve">6. Telemetry and meta-observability</w:t>
      </w:r>
    </w:p>
    <w:p>
      <w:pPr>
        <w:spacing w:after="120"/>
        <w:jc w:val="both"/>
      </w:pPr>
      <w:r>
        <w:t xml:space="preserve">ibn-core treats OpenTelemetry as a first-class architectural component. Two design rules support this.</w:t>
      </w:r>
    </w:p>
    <w:p>
      <w:pPr>
        <w:spacing w:after="120"/>
        <w:jc w:val="both"/>
      </w:pPr>
      <w:r>
        <w:t xml:space="preserve">The first is the telemetry bootstrap rule. src/telemetry.ts must remain the very first import in src/index.ts and in every other entry point. The OpenTelemetry auto-instrumentation hooks register at module-load time; any import ordered before telemetry.ts will be bound before those hooks install and will never emit spans. Adding a new worker, cron job or script means its first line is import './telemetry'.</w:t>
      </w:r>
    </w:p>
    <w:p>
      <w:pPr>
        <w:spacing w:after="120"/>
        <w:jc w:val="both"/>
      </w:pPr>
      <w:r>
        <w:t xml:space="preserve">The second is span-attribute discipline. Spans carry three families of attributes: the GenAI semantic conventions (gen_ai.*) on LLM-call spans, an rfc9315.phase tag on every span that participates in the cycle, and ai_gateway.* event attributes on the structured events emitted by the three controls. The result is that a trace is simultaneously a debugging artefact, an audit record and a regulator-presentable event log.</w:t>
      </w:r>
    </w:p>
    <w:p>
      <w:pPr>
        <w:spacing w:after="120"/>
        <w:jc w:val="both"/>
      </w:pPr>
      <w:r>
        <w:t xml:space="preserve">By default the OTLP/HTTP exporter targets LangSmith EU (set via env at deploy time); it is overridable to any Canvas-managed collector, to a local Jaeger, or to a Neo4j ingestion pipeline that loads spans as a graph for queryable evidence.</w:t>
      </w:r>
    </w:p>
    <w:p>
      <w:pPr>
        <w:spacing w:after="120"/>
      </w:pPr>
    </w:p>
    <w:p>
      <w:pPr>
        <w:pStyle w:val="Heading1"/>
      </w:pPr>
      <w:r>
        <w:rPr>
          <w:b/>
          <w:bCs/>
        </w:rPr>
        <w:t xml:space="preserve">7. Empirical results — four canonical scenarios</w:t>
      </w:r>
    </w:p>
    <w:p>
      <w:pPr>
        <w:spacing w:after="120"/>
        <w:jc w:val="both"/>
      </w:pPr>
      <w:r>
        <w:t xml:space="preserve">The same request path produces four characteristic outcomes, each shipped as a replayable OTLP/HTTP trace payload and loaded into Neo4j as 1 service / 4 traces / 27 spans / 23 CHILD_OF relations / 4 gateway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400"/>
        <w:gridCol w:w="1100"/>
        <w:gridCol w:w="1526"/>
      </w:tblGrid>
      <w:tr>
        <w:trPr>
          <w:tblHeader/>
        </w:trPr>
        <w:tc>
          <w:tcPr>
            <w:tcW w:type="dxa" w:w="17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Scenario</w:t>
            </w:r>
          </w:p>
        </w:tc>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Gateway verdict</w:t>
            </w:r>
          </w:p>
        </w:tc>
        <w:tc>
          <w:tcPr>
            <w:tcW w:type="dxa" w:w="1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reportState</w:t>
            </w:r>
          </w:p>
        </w:tc>
        <w:tc>
          <w:tcPr>
            <w:tcW w:type="dxa" w:w="1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Total wall-clock</w:t>
            </w:r>
          </w:p>
        </w:tc>
        <w:tc>
          <w:tcPr>
            <w:tcW w:type="dxa" w:w="11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LLM calls</w:t>
            </w:r>
          </w:p>
        </w:tc>
        <w:tc>
          <w:tcPr>
            <w:tcW w:type="dxa" w:w="15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In / out tokens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 · happy 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all pass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fulfilled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820 ms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408 / 172</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 · DLP redaction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redact (in-line)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fulfilled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820 ms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394 / 175</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 · tool-policy deny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deny (RBAC)</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compliantFailure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480 ms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305 / 88</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 · injection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block (LLM01)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 ms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 / 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The economics of refusal.</w:t>
            </w:r>
          </w:p>
          <w:p>
            <w:pPr>
              <w:spacing w:after="120"/>
              <w:jc w:val="both"/>
            </w:pPr>
            <w:r>
              <w:t xml:space="preserve">Token cost scales with how far a request is allowed to travel. A prompt-injection block is two orders of magnitude cheaper than fulfilment because the LLM is never invoked; a tool-policy deny costs one LLM call rather than two because it short-circuits before the offer-generation prompt. A refusal is not only correct — it is also a cost saving. This is a property an AI-Gateway-equipped intent platform makes operationally visible, not an incidental observation.</w:t>
            </w:r>
          </w:p>
        </w:tc>
      </w:tr>
    </w:tbl>
    <w:p>
      <w:pPr>
        <w:pStyle w:val="Heading2"/>
      </w:pPr>
      <w:r>
        <w:rPr>
          <w:b/>
          <w:bCs/>
        </w:rPr>
        <w:t xml:space="preserve">7.1 Provenance notes</w:t>
      </w:r>
    </w:p>
    <w:p>
      <w:pPr>
        <w:spacing w:after="120"/>
        <w:jc w:val="both"/>
      </w:pPr>
      <w:r>
        <w:t xml:space="preserve">The sample traces are illustrative of the Phase-1 trace shape. The live service currently emits auto-instrumentation spans; the domain and gateway spans shown here are emitted by the scenario harness and represent the Phase-2/3 trace shape from the production claude-client.ts, McpAdapter and policy modules. The ai_gateway.* rule identifiers in the sample payloads (PI-017, jailbreak-v2, DLP-EMAIL-001) are demo labels; the real mechanisms are the regex signature engine, the per-role DLP allowlists and the RBAC allowlists described in §4. On the primary cycle path, the requester SessionContext is not yet threaded into MCP calls (tracked as a follow-up); live provenance attribution is pending that fix.</w:t>
      </w:r>
    </w:p>
    <w:p>
      <w:r>
        <w:br w:type="page"/>
      </w:r>
    </w:p>
    <w:p>
      <w:pPr>
        <w:spacing w:after="120" w:before="1200"/>
        <w:jc w:val="center"/>
      </w:pPr>
      <w:r>
        <w:rPr>
          <w:b/>
          <w:bCs/>
          <w:color w:val="1E40AF"/>
          <w:sz w:val="22"/>
          <w:szCs w:val="22"/>
        </w:rPr>
        <w:t xml:space="preserve">PART B</w:t>
      </w:r>
    </w:p>
    <w:p>
      <w:pPr>
        <w:spacing w:after="600"/>
        <w:jc w:val="center"/>
      </w:pPr>
      <w:r>
        <w:rPr>
          <w:b/>
          <w:bCs/>
          <w:color w:val="1F2A44"/>
          <w:sz w:val="36"/>
          <w:szCs w:val="36"/>
        </w:rPr>
        <w:t xml:space="preserve">EU AI Act compliance dossier</w:t>
      </w:r>
    </w:p>
    <w:p>
      <w:pPr>
        <w:spacing w:after="1200"/>
        <w:jc w:val="center"/>
      </w:pPr>
      <w:r>
        <w:rPr>
          <w:i/>
          <w:iCs/>
          <w:color w:val="475569"/>
          <w:sz w:val="22"/>
          <w:szCs w:val="22"/>
        </w:rPr>
        <w:t xml:space="preserve">Regulation (EU) 2024/1689 of 13 June 2024 — assessment of ibn-core v2.0.1</w:t>
      </w:r>
    </w:p>
    <w:p>
      <w:r>
        <w:br w:type="page"/>
      </w:r>
    </w:p>
    <w:p>
      <w:pPr>
        <w:pStyle w:val="Heading1"/>
      </w:pPr>
      <w:r>
        <w:rPr>
          <w:b/>
          <w:bCs/>
        </w:rPr>
        <w:t xml:space="preserve">8. System description for EU AI Act purposes</w:t>
      </w:r>
    </w:p>
    <w:p>
      <w:pPr>
        <w:spacing w:after="120"/>
        <w:jc w:val="both"/>
      </w:pPr>
      <w:r>
        <w:t xml:space="preserve">This section establishes the factual baseline for the regulatory assessment that follows. It restates only those facts from Part A that bear on classification, role assignment, and obligations.</w:t>
      </w:r>
    </w:p>
    <w:p>
      <w:pPr>
        <w:pStyle w:val="Heading2"/>
      </w:pPr>
      <w:r>
        <w:rPr>
          <w:b/>
          <w:bCs/>
        </w:rPr>
        <w:t xml:space="preserve">8.1 What ibn-core is</w:t>
      </w:r>
    </w:p>
    <w:p>
      <w:pPr>
        <w:spacing w:after="120"/>
        <w:jc w:val="both"/>
      </w:pPr>
      <w:r>
        <w:t xml:space="preserve">ibn-core is a server-side software framework that accepts a natural-language intent from a customer or upstream system, derives structured network-actionable requirements using a large-language model (Anthropic Claude Sonnet), orchestrates fulfilment across enterprise back-office systems via MCP, and returns a structured TMF921 IntentManagement response describing the offer and the assessment. It runs in Kubernetes as an ODA Canvas Component.</w:t>
      </w:r>
    </w:p>
    <w:p>
      <w:pPr>
        <w:pStyle w:val="Heading2"/>
      </w:pPr>
      <w:r>
        <w:rPr>
          <w:b/>
          <w:bCs/>
        </w:rPr>
        <w:t xml:space="preserve">8.2 Inputs, outputs and decisions</w:t>
      </w:r>
    </w:p>
    <w:p>
      <w:pPr>
        <w:spacing w:after="120"/>
        <w:jc w:val="both"/>
      </w:pPr>
      <w:r>
        <w:t xml:space="preserve">Inputs are: the customer’s natural-language intent text; the customer’s profile (masked before reaching the model); the BSS product catalogue and the knowledge-graph bundle list. Outputs are: a TMF921-shaped JSON response containing the selected products, the recommended bundle, pricing, discounts, a quote, and an IntentReport with reportState. Decisions taken by the system include: which tags and priorities best characterise the intent; which products and bundles best match the intent; what pricing and discounts to propose; and whether the orchestrated fulfilment is to be classified as fulfilled, compliantFailure, or pending.</w:t>
      </w:r>
    </w:p>
    <w:p>
      <w:pPr>
        <w:pStyle w:val="Heading2"/>
      </w:pPr>
      <w:r>
        <w:rPr>
          <w:b/>
          <w:bCs/>
        </w:rPr>
        <w:t xml:space="preserve">8.3 Where the model fits</w:t>
      </w:r>
    </w:p>
    <w:p>
      <w:pPr>
        <w:spacing w:after="120"/>
        <w:jc w:val="both"/>
      </w:pPr>
      <w:r>
        <w:t xml:space="preserve">Two LLM calls are made per fulfilled request: analyzeIntent (TRANSLATING) extracts structured requirements; generateOffer (within ORCHESTRATING, after MCP fetches complete) composes the offer. Both are single-turn JSON-extraction calls at fixed model, temperature and max-tokens settings; both run only after the AI Gateway controls have allowed the request to reach that point. Neither call ever receives raw PII — the input PII masker replaces sensitive fields with type-preserving sentinels before prompt assembly.</w:t>
      </w:r>
    </w:p>
    <w:p>
      <w:pPr>
        <w:pStyle w:val="Heading2"/>
      </w:pPr>
      <w:r>
        <w:rPr>
          <w:b/>
          <w:bCs/>
        </w:rPr>
        <w:t xml:space="preserve">8.4 Human in the loop</w:t>
      </w:r>
    </w:p>
    <w:p>
      <w:pPr>
        <w:spacing w:after="120"/>
        <w:jc w:val="both"/>
      </w:pPr>
      <w:r>
        <w:t xml:space="preserve">ibn-core is an automation framework rather than a closed-loop control system. The offer it produces is returned to the caller, which (in the canonical Order-to-Cash use case described in v2.0.1 release notes) is either a customer-facing channel that surfaces the offer for explicit acceptance, or an internal agent workflow. Network-mutating actions such as cancel_order or manage_api_keys are gated by the tool-policy RBAC layer to admin-role principals only. Human oversight therefore enters the loop at two natural points: the role-assignment decision that issues an API key with a given role, and the explicit acceptance step that follows offer generation.</w:t>
      </w:r>
    </w:p>
    <w:p>
      <w:pPr>
        <w:spacing w:after="120"/>
      </w:pPr>
    </w:p>
    <w:p>
      <w:pPr>
        <w:pStyle w:val="Heading1"/>
      </w:pPr>
      <w:r>
        <w:rPr>
          <w:b/>
          <w:bCs/>
        </w:rPr>
        <w:t xml:space="preserve">9. Role assignment under Article 25</w:t>
      </w:r>
    </w:p>
    <w:p>
      <w:pPr>
        <w:spacing w:after="120"/>
        <w:jc w:val="both"/>
      </w:pPr>
      <w:r>
        <w:t xml:space="preserve">Article 25 of Regulation (EU) 2024/1689 assigns responsibilities along the AI value chain. Three roles are relevant to ibn-core.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Entity</w:t>
            </w:r>
          </w:p>
        </w:tc>
        <w:tc>
          <w:tcPr>
            <w:tcW w:type="dxa" w:w="3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Role under EU AI Act</w:t>
            </w:r>
          </w:p>
        </w:tc>
        <w:tc>
          <w:tcPr>
            <w:tcW w:type="dxa" w:w="33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Why</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Anthropic, PBC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Provider of the underlying GPAI model (Claude Sonnet) — Art. 51 et seq.</w:t>
            </w:r>
          </w:p>
        </w:tc>
        <w:tc>
          <w:tcPr>
            <w:tcW w:type="dxa" w:w="33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Develops the general-purpose AI model and places it on the EU market via its API.</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Vpnet Cloud Solutions Sdn. Bhd.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 Provider of the AI system ibn-core; (b) Deployer of Claude within ibn-core. Art. 25 makes both attributions possible simultaneously.</w:t>
            </w:r>
          </w:p>
        </w:tc>
        <w:tc>
          <w:tcPr>
            <w:tcW w:type="dxa" w:w="33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Develops ibn-core and brings it to market under its own name; integrates Claude into that system. Vpnet is non-EU; Art. 2(1)(c) applies extraterritorially where output is used in the EU.</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 EU telecommunications operator deploying ibn-core (hypothetical)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Deployer of ibn-core, with the obligations in Art. 26.</w:t>
            </w:r>
          </w:p>
        </w:tc>
        <w:tc>
          <w:tcPr>
            <w:tcW w:type="dxa" w:w="33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Uses ibn-core under its own authority to support its business processes.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 EU importer (if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Importer under Art. 23 — only relevant if Vpnet places ibn-core via a third party.</w:t>
            </w:r>
          </w:p>
        </w:tc>
        <w:tc>
          <w:tcPr>
            <w:tcW w:type="dxa" w:w="33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ibn-core is published as Apache 2.0 open source; the importer role typically does not arise for the open core. It can arise for the private operator-adapter delivery channel.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Open-source exemption.</w:t>
            </w:r>
          </w:p>
          <w:p>
            <w:pPr>
              <w:spacing w:after="120"/>
              <w:jc w:val="both"/>
            </w:pPr>
            <w:r>
              <w:t xml:space="preserve">Article 2(12) exempts free and open-source AI systems from large parts of the Regulation. ibn-core is licensed under Apache 2.0 and therefore benefits from the exemption to the extent that it is distributed as free and open source. The exemption does NOT cover: (i) prohibited practices under Art. 5 (none triggered here), (ii) high-risk AI systems placed on the market or put into service, (iii) GPAI models with systemic risk. Vpnet retains documentation and transparency obligations that arise from its embedding of a GPAI model, irrespective of the open-source exemption applied to ibn-core itself. Operators who deploy ibn-core under their own authority remain subject to the deployer obligations of Art. 26.</w:t>
            </w:r>
          </w:p>
        </w:tc>
      </w:tr>
    </w:tbl>
    <w:p>
      <w:pPr>
        <w:spacing w:after="120"/>
      </w:pPr>
    </w:p>
    <w:p>
      <w:pPr>
        <w:pStyle w:val="Heading1"/>
      </w:pPr>
      <w:r>
        <w:rPr>
          <w:b/>
          <w:bCs/>
        </w:rPr>
        <w:t xml:space="preserve">10. Risk classification</w:t>
      </w:r>
    </w:p>
    <w:p>
      <w:pPr>
        <w:spacing w:after="120"/>
        <w:jc w:val="both"/>
      </w:pPr>
      <w:r>
        <w:t xml:space="preserve">The EU AI Act establishes four risk tiers — prohibited, high-risk, limited-risk (transparency obligations), and minimal-risk. The decision tree below is applied to ibn-core in its v2.0.1 scope.</w:t>
      </w:r>
    </w:p>
    <w:p>
      <w:pPr>
        <w:pStyle w:val="Heading2"/>
      </w:pPr>
      <w:r>
        <w:rPr>
          <w:b/>
          <w:bCs/>
        </w:rPr>
        <w:t xml:space="preserve">10.1 Step 1 — Annex I check (safety component of a regulated product)</w:t>
      </w:r>
    </w:p>
    <w:p>
      <w:pPr>
        <w:spacing w:after="120"/>
        <w:jc w:val="both"/>
      </w:pPr>
      <w:r>
        <w:t xml:space="preserve">ibn-core is not a safety component of a product covered by the Union harmonisation legislation listed in Annex I. It does not control medical devices, vehicles, machinery, lifts, radio equipment, or any other regulated product class. Annex I does not apply.</w:t>
      </w:r>
    </w:p>
    <w:p>
      <w:pPr>
        <w:pStyle w:val="Heading2"/>
      </w:pPr>
      <w:r>
        <w:rPr>
          <w:b/>
          <w:bCs/>
        </w:rPr>
        <w:t xml:space="preserve">10.2 Step 2 — Annex III check (specific high-risk areas)</w:t>
      </w:r>
    </w:p>
    <w:p>
      <w:pPr>
        <w:spacing w:after="120"/>
        <w:jc w:val="both"/>
      </w:pPr>
      <w:r>
        <w:t xml:space="preserve">Annex III lists eight areas in which AI systems are classified as high-risk by category. Two require careful examination for ibn-core.</w:t>
      </w:r>
    </w:p>
    <w:p>
      <w:pPr>
        <w:spacing w:after="120"/>
        <w:jc w:val="both"/>
      </w:pPr>
      <w:r>
        <w:t xml:space="preserve">Annex III(2) — critical infrastructure. The clause covers AI systems intended to be used as safety components in the management and operation of critical digital infrastructure, road traffic, or the supply of water, gas, heating, electricity and similar essential services. ibn-core in v2.0.1 selects and prices telecommunications service offers and assembles BSS orders; it does not act as a safety component in the operation of a telecommunications network and does not make decisions whose failure directly endangers life, health, property, or the environment. Telecommunications fulfilment workflows of this kind are not currently covered by Annex III(2). This assessment must be revisited if the system’s scope is extended to active network control plane decisions — for example, RAN slicing decisions that affect emergency or public-protection services.</w:t>
      </w:r>
    </w:p>
    <w:p>
      <w:pPr>
        <w:spacing w:after="120"/>
        <w:jc w:val="both"/>
      </w:pPr>
      <w:r>
        <w:t xml:space="preserve">Annex III(5)(a) — access to essential private services. The clause covers AI systems intended to be used to evaluate the creditworthiness of natural persons or to establish their credit score, and similar systems for life and health insurance pricing. ibn-core generates broadband service offers and pricing; its outputs are not credit scores and not insurance pricing decisions. The clause does not currently apply, although Vpnet will monitor any future broadening of Annex III by delegated act under Art. 7.</w:t>
      </w:r>
    </w:p>
    <w:p>
      <w:pPr>
        <w:pStyle w:val="Heading2"/>
      </w:pPr>
      <w:r>
        <w:rPr>
          <w:b/>
          <w:bCs/>
        </w:rPr>
        <w:t xml:space="preserve">10.3 Step 3 — prohibited practices (Art. 5)</w:t>
      </w:r>
    </w:p>
    <w:p>
      <w:pPr>
        <w:spacing w:after="120"/>
        <w:jc w:val="both"/>
      </w:pPr>
      <w:r>
        <w:t xml:space="preserve">None of the eight prohibited practices listed in Art. 5 are present in ibn-core. The system does not use subliminal techniques, does not exploit vulnerabilities of specific groups, does not implement social scoring, does not perform real-time remote biometric identification, does not biometrically categorise persons by sensitive attributes, does not recognise emotions in the workplace or education, does not build biometric databases by scraping, and does not perform predictive policing risk assessment.</w:t>
      </w:r>
    </w:p>
    <w:p>
      <w:pPr>
        <w:pStyle w:val="Heading2"/>
      </w:pPr>
      <w:r>
        <w:rPr>
          <w:b/>
          <w:bCs/>
        </w:rPr>
        <w:t xml:space="preserve">10.4 Step 4 — transparency obligations (Art. 50)</w:t>
      </w:r>
    </w:p>
    <w:p>
      <w:pPr>
        <w:spacing w:after="120"/>
        <w:jc w:val="both"/>
      </w:pPr>
      <w:r>
        <w:t xml:space="preserve">Article 50(1) applies. ibn-core is an AI system that interacts directly with natural persons through a chatbot-style interface (the customer expresses their intent in natural language). The provider must therefore ensure that the AI system is designed and developed in such a way that the natural persons concerned are informed that they are interacting with an AI system, unless this is obvious from the circumstances of use and the context to a reasonably well-informed person. Section 14 below identifies this as one of the open gaps to be closed in any end-user-facing surface that wraps the ibn-core API.</w:t>
      </w:r>
    </w:p>
    <w:p>
      <w:pPr>
        <w:pStyle w:val="Heading2"/>
      </w:pPr>
      <w:r>
        <w:rPr>
          <w:b/>
          <w:bCs/>
        </w:rPr>
        <w:t xml:space="preserve">10.5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Classification: limited-risk AI system (transparency tier) under Art. 50, embedding a GPAI model under Art. 53 downstream-provider conditions.</w:t>
            </w:r>
          </w:p>
          <w:p>
            <w:pPr>
              <w:spacing w:after="120"/>
              <w:jc w:val="both"/>
            </w:pPr>
            <w:r>
              <w:t xml:space="preserve">ibn-core v2.0.1 is not a prohibited system (Art. 5), is not high-risk under Annex I or Annex III, and is subject to Art. 50 transparency obligations because it interacts in natural language with natural persons. Because it embeds Claude, Vpnet additionally carries the downstream obligations that flow from integrating a GPAI model into an AI system (see Section 12).</w:t>
            </w:r>
          </w:p>
        </w:tc>
      </w:tr>
    </w:tbl>
    <w:p>
      <w:pPr>
        <w:spacing w:after="120"/>
      </w:pPr>
    </w:p>
    <w:p>
      <w:pPr>
        <w:pStyle w:val="Heading1"/>
      </w:pPr>
      <w:r>
        <w:rPr>
          <w:b/>
          <w:bCs/>
        </w:rPr>
        <w:t xml:space="preserve">11. Transparency obligations (Article 50)</w:t>
      </w:r>
    </w:p>
    <w:p>
      <w:pPr>
        <w:spacing w:after="120"/>
        <w:jc w:val="both"/>
      </w:pPr>
      <w:r>
        <w:t xml:space="preserve">Art. 50(1) requires providers of AI systems intended to interact directly with natural persons to ensure those persons are informed that they are interacting with an AI system. The obligation is met by the provider; the form is left open and may be the most appropriate one given the context — a notice in the user interface, an opening message, a contractual disclosure, or a system-level disclaimer.</w:t>
      </w:r>
    </w:p>
    <w:p>
      <w:pPr>
        <w:spacing w:after="120"/>
        <w:jc w:val="both"/>
      </w:pPr>
      <w:r>
        <w:t xml:space="preserve">For ibn-core, the API itself is a TMF921 IntentManagement endpoint; calling it directly does not constitute interaction with a natural person — the caller is a system. However, end-user-facing channels that wrap the ibn-core API (a customer self-service portal, an IVR, a chat surface) trigger Art. 50(1) and must disclose AI involvement at the point of interaction. The disclosure should be visible, in plain language, before the natural person submits their intent.</w:t>
      </w:r>
    </w:p>
    <w:p>
      <w:pPr>
        <w:spacing w:after="120"/>
        <w:jc w:val="both"/>
      </w:pPr>
      <w:r>
        <w:t xml:space="preserve">Art. 50(2)–(4) covering deepfakes, emotion recognition and biometric categorisation are not triggered: ibn-core does not generate synthetic media, does not perform emotion recognition, and does not biometrically categorise persons.</w:t>
      </w:r>
    </w:p>
    <w:p>
      <w:pPr>
        <w:spacing w:after="120"/>
      </w:pPr>
    </w:p>
    <w:p>
      <w:pPr>
        <w:pStyle w:val="Heading1"/>
      </w:pPr>
      <w:r>
        <w:rPr>
          <w:b/>
          <w:bCs/>
        </w:rPr>
        <w:t xml:space="preserve">12. GPAI considerations (Articles 51–56)</w:t>
      </w:r>
    </w:p>
    <w:p>
      <w:pPr>
        <w:spacing w:after="120"/>
        <w:jc w:val="both"/>
      </w:pPr>
      <w:r>
        <w:t xml:space="preserve">Claude Sonnet — the model ibn-core invokes — is a general-purpose AI model. Articles 51–56 govern the obligations of GPAI providers, and Article 53 governs how downstream entities that integrate a GPAI model into their own AI system must behave.</w:t>
      </w:r>
    </w:p>
    <w:p>
      <w:pPr>
        <w:pStyle w:val="Heading2"/>
      </w:pPr>
      <w:r>
        <w:rPr>
          <w:b/>
          <w:bCs/>
        </w:rPr>
        <w:t xml:space="preserve">12.1 The model provider</w:t>
      </w:r>
    </w:p>
    <w:p>
      <w:pPr>
        <w:spacing w:after="120"/>
        <w:jc w:val="both"/>
      </w:pPr>
      <w:r>
        <w:t xml:space="preserve">Anthropic, as the GPAI provider, carries Article 53 obligations: it must prepare and keep up to date technical documentation of the model, draw up information and documentation for downstream providers (Annex XII), put in place a policy to comply with Union copyright law, and publish a sufficiently detailed summary of the training data. Where Claude is or becomes designated as a GPAI model with systemic risk (Art. 51, computed on training compute or by Commission decision), the additional Article 55 obligations apply to Anthropic, including model evaluation, adversarial testing, serious-incident reporting and cybersecurity protection. None of those Article 55 obligations transfer to Vpnet automatically; Vpnet tracks the designation status as part of its post-market monitoring (see Section 14).</w:t>
      </w:r>
    </w:p>
    <w:p>
      <w:pPr>
        <w:pStyle w:val="Heading2"/>
      </w:pPr>
      <w:r>
        <w:rPr>
          <w:b/>
          <w:bCs/>
        </w:rPr>
        <w:t xml:space="preserve">12.2 Vpnet as a downstream integrator</w:t>
      </w:r>
    </w:p>
    <w:p>
      <w:pPr>
        <w:spacing w:after="120"/>
        <w:jc w:val="both"/>
      </w:pPr>
      <w:r>
        <w:t xml:space="preserve">Vpnet integrates a GPAI model into its AI system. Two practical consequences follow.</w:t>
      </w:r>
    </w:p>
    <w:p>
      <w:pPr>
        <w:spacing w:after="120"/>
        <w:jc w:val="both"/>
      </w:pPr>
      <w:r>
        <w:t xml:space="preserve">First, Vpnet retains the Annex XII information provided by Anthropic — the technical documentation summary, the input modalities, the policies and any reported evaluation results — and makes it available to operators (deployers) of ibn-core when they integrate the system. The Component CR’s dependentModels annotation is the mechanism by which this is surfaced at deployment time; it names the provider, the model identifier, the intended use, and the guardrails in front of it.</w:t>
      </w:r>
    </w:p>
    <w:p>
      <w:pPr>
        <w:spacing w:after="120"/>
        <w:jc w:val="both"/>
      </w:pPr>
      <w:r>
        <w:t xml:space="preserve">Second, Vpnet implements guardrails appropriate to the embedded GPAI’s use. The AI Gateway described in Section 4 — prompt-injection detection, PII masking with DLP, and tool-policy RBAC — is the concrete realisation of this obligation.</w:t>
      </w:r>
    </w:p>
    <w:p>
      <w:pPr>
        <w:pStyle w:val="Heading2"/>
      </w:pPr>
      <w:r>
        <w:rPr>
          <w:b/>
          <w:bCs/>
        </w:rPr>
        <w:t xml:space="preserve">12.3 Code of Practice tracking</w:t>
      </w:r>
    </w:p>
    <w:p>
      <w:pPr>
        <w:spacing w:after="120"/>
        <w:jc w:val="both"/>
      </w:pPr>
      <w:r>
        <w:t xml:space="preserve">Vpnet monitors the General-Purpose AI Code of Practice published by the EU AI Office. Where the Code includes commitments that are useful and proportionate to ibn-core’s downstream-integrator position, Vpnet will adopt them; adherence to the Code provides a presumption of conformity with the related GPAI obligations under Art. 56.</w:t>
      </w:r>
    </w:p>
    <w:p>
      <w:pPr>
        <w:spacing w:after="120"/>
      </w:pPr>
    </w:p>
    <w:p>
      <w:pPr>
        <w:pStyle w:val="Heading1"/>
      </w:pPr>
      <w:r>
        <w:rPr>
          <w:b/>
          <w:bCs/>
        </w:rPr>
        <w:t xml:space="preserve">13. Controls mapping — AI Act articles to ibn-core mechanisms</w:t>
      </w:r>
    </w:p>
    <w:p>
      <w:pPr>
        <w:spacing w:after="120"/>
        <w:jc w:val="both"/>
      </w:pPr>
      <w:r>
        <w:t xml:space="preserve">The following table maps the AI Act articles that bear on ibn-core to the concrete mechanisms in the codebase that satisfy them. It is the operative cross-reference for an auditor; the evidence column points to the file or document of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000"/>
        <w:gridCol w:w="2526"/>
      </w:tblGrid>
      <w:tr>
        <w:trPr>
          <w:tblHeader/>
        </w:trPr>
        <w:tc>
          <w:tcPr>
            <w:tcW w:type="dxa" w:w="11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Article</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Requirement</w:t>
            </w:r>
          </w:p>
        </w:tc>
        <w:tc>
          <w:tcPr>
            <w:tcW w:type="dxa" w:w="3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ibn-core control or mechanism</w:t>
            </w:r>
          </w:p>
        </w:tc>
        <w:tc>
          <w:tcPr>
            <w:tcW w:type="dxa" w:w="25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Evidence</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9</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Risk management system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Four-scenario test harness (A/B/C/D) with documented refusal semantics; structured assessment of every cycle; retry-budget bounding.</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UC006 sample traces; src/intent-handling/cycle-runner.ts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 governance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PII masking before LLM (input); per-role DLP allowlists on MCP responses (output); schema-preserving redaction.</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src/pii-masking.ts; src/DLPPolicy.ts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Technical documentation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Public documentation set: UC006 Implementation View, UC006 Executive Summary, RFC 9315 standards traceability map, repository-level CLAUDE.md.</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docs/ tree; CLAUDE.md</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Logging and record-keeping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Full OpenTelemetry traces with GenAI semantic conventions (gen_ai.*), RFC 9315 phase tags (rfc9315.phase), and AI Gateway event attributes (ai_gateway.*).</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src/telemetry.ts; OTLP sample payloads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Transparency to deployers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Open-source codebase with NOTICE file; Component CR contract; Architecture Decision Records; this whitepaper.</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Repository root; docs/architecture/</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Human oversight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Tool-policy RBAC gates admin-only actions; refusals are first-class observable outcomes, not silent; offer generation hands back to upstream for explicit acceptance.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src/mcp/ToolPolicyEngine.ts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15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Accuracy, robustness, cybersecurity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Prompt-injection detection (OWASP LLM01); Istio mTLS PeerAuthentication; JWT/API-key auth; horizontal pod autoscaling; idempotency in Redis.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AI Gateway control ①; Istio chart templates; src/auth-jwt.ts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Deployer obligations (inherited by operators)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Deployer guidance (Section 16); Component CR exposes externalAuth, customObservability and security fields so deployer can satisfy logging and oversight obligations.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Section 16 of this whitepaper</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50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End-user transparency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Required at any natural-person-facing surface that wraps the API. Open gap — see Section 14.</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Open gap</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Art. 53 (downstream)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GPAI integrator obligations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dependentModels annotation declares the model dependency and the guardrails; Anthropic Annex-XII documentation retained.</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Component CR annotations</w:t>
            </w:r>
          </w:p>
        </w:tc>
      </w:tr>
    </w:tbl>
    <w:p>
      <w:pPr>
        <w:spacing w:after="120"/>
      </w:pPr>
    </w:p>
    <w:p>
      <w:pPr>
        <w:pStyle w:val="Heading1"/>
      </w:pPr>
      <w:r>
        <w:rPr>
          <w:b/>
          <w:bCs/>
        </w:rPr>
        <w:t xml:space="preserve">14. Gaps and remediation roadmap</w:t>
      </w:r>
    </w:p>
    <w:p>
      <w:pPr>
        <w:spacing w:after="120"/>
        <w:jc w:val="both"/>
      </w:pPr>
      <w:r>
        <w:t xml:space="preserve">Four gaps remain after the current control set. Each is small in scope; together they bring ibn-core to a defensible position against an EU AI Office review.</w:t>
      </w:r>
    </w:p>
    <w:p>
      <w:pPr>
        <w:pStyle w:val="Heading2"/>
      </w:pPr>
      <w:r>
        <w:rPr>
          <w:b/>
          <w:bCs/>
        </w:rPr>
        <w:t xml:space="preserve">14.1 Art. 50 disclosure surface</w:t>
      </w:r>
    </w:p>
    <w:p>
      <w:pPr>
        <w:spacing w:after="120"/>
        <w:jc w:val="both"/>
      </w:pPr>
      <w:r>
        <w:t xml:space="preserve">The TMF921 API itself does not require an Art. 50(1) notice because the caller is a system, not a natural person. End-user-facing channels that wrap it (a customer portal, an in-app chat, an IVR) do require it. Remediation: publish a normative integrator guide naming the disclosure obligation and providing reference copy in EN/DE/FR; add an architectural note to the Component CR documentation.</w:t>
      </w:r>
    </w:p>
    <w:p>
      <w:pPr>
        <w:pStyle w:val="Heading2"/>
      </w:pPr>
      <w:r>
        <w:rPr>
          <w:b/>
          <w:bCs/>
        </w:rPr>
        <w:t xml:space="preserve">14.2 Post-market monitoring SOP</w:t>
      </w:r>
    </w:p>
    <w:p>
      <w:pPr>
        <w:spacing w:after="120"/>
        <w:jc w:val="both"/>
      </w:pPr>
      <w:r>
        <w:t xml:space="preserve">Operationally, the OTLP-driven dashboards already provide most of what Art. 72-style post-market monitoring would require. What is missing is the formalisation — a written SOP that names the monitored signals, the thresholds that constitute a serious incident, the reporting channel, and the retention period. Remediation: ship docs/compliance/POST_MARKET_MONITORING.md, referenced from CLAUDE.md.</w:t>
      </w:r>
    </w:p>
    <w:p>
      <w:pPr>
        <w:pStyle w:val="Heading2"/>
      </w:pPr>
      <w:r>
        <w:rPr>
          <w:b/>
          <w:bCs/>
        </w:rPr>
        <w:t xml:space="preserve">14.3 Fundamental-rights impact assessment as a shelf document</w:t>
      </w:r>
    </w:p>
    <w:p>
      <w:pPr>
        <w:spacing w:after="120"/>
        <w:jc w:val="both"/>
      </w:pPr>
      <w:r>
        <w:t xml:space="preserve">Art. 27 requires deployers in certain categories to perform a fundamental-rights impact assessment. At limited-risk classification this is not required, but the assessment is a useful artefact to have available if the system’s scope ever shifts. Remediation: prepare a template FRIA in docs/compliance/, populated to the current scope, ready to update if reclassification occurs.</w:t>
      </w:r>
    </w:p>
    <w:p>
      <w:pPr>
        <w:pStyle w:val="Heading2"/>
      </w:pPr>
      <w:r>
        <w:rPr>
          <w:b/>
          <w:bCs/>
        </w:rPr>
        <w:t xml:space="preserve">14.4 Annex III scope monitoring</w:t>
      </w:r>
    </w:p>
    <w:p>
      <w:pPr>
        <w:spacing w:after="120"/>
        <w:jc w:val="both"/>
      </w:pPr>
      <w:r>
        <w:t xml:space="preserve">Annex III may be amended by delegated act under Art. 7. Telecommunications service decisions are not currently within scope but cannot be assumed permanently out of scope. Remediation: add an item to the quarterly engineering review to scan AI Office publications and Annex III amendments; record any change of classification in CHANGELOG.md and re-trigger this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16"/>
              <w:bottom w:val="single" w:color="0E7C86" w:sz="4"/>
              <w:right w:val="single" w:color="0E7C86" w:sz="4"/>
            </w:tcBorders>
            <w:shd w:fill="F0FDFA" w:color="auto" w:val="clear"/>
            <w:tcMar>
              <w:top w:type="dxa" w:w="160"/>
              <w:left w:type="dxa" w:w="200"/>
              <w:bottom w:type="dxa" w:w="160"/>
              <w:right w:type="dxa" w:w="200"/>
            </w:tcMar>
          </w:tcPr>
          <w:p>
            <w:r>
              <w:rPr>
                <w:b/>
                <w:bCs/>
              </w:rPr>
              <w:t xml:space="preserve">Remediation timeline.</w:t>
            </w:r>
          </w:p>
          <w:p>
            <w:pPr>
              <w:spacing w:after="120"/>
              <w:jc w:val="both"/>
            </w:pPr>
            <w:r>
              <w:t xml:space="preserve">All four gaps are deliverable within one engineering cycle. None requires architectural change; each is a documentation or governance artefact backed by mechanisms already in the code. Target: docs/compliance/POST_MARKET_MONITORING.md and the integrator Art. 50 guide in the next release (v2.1); the FRIA template and the Annex III monitoring item in the same cycle.</w:t>
            </w:r>
          </w:p>
        </w:tc>
      </w:tr>
    </w:tbl>
    <w:p>
      <w:pPr>
        <w:spacing w:after="120"/>
      </w:pPr>
    </w:p>
    <w:p>
      <w:pPr>
        <w:pStyle w:val="Heading1"/>
      </w:pPr>
      <w:r>
        <w:rPr>
          <w:b/>
          <w:bCs/>
        </w:rPr>
        <w:t xml:space="preserve">15. Sanctions and risk exposure</w:t>
      </w:r>
    </w:p>
    <w:p>
      <w:pPr>
        <w:spacing w:after="120"/>
        <w:jc w:val="both"/>
      </w:pPr>
      <w:r>
        <w:t xml:space="preserve">For situational awareness, Article 99 sets the maximum administrative fines as follows: up to EUR 35 million or 7% of total worldwide annual turnover for prohibited-practice violations; up to EUR 15 million or 3% for high-risk-system and notified-body violations; up to EUR 7.5 million or 1% for supplying incorrect, incomplete or misleading information to authorities. For SMEs and startups, the lower of the two values applies. Because ibn-core is classified as a limited-risk system with no prohibited practices and the GPAI obligations resting primarily on the model provider, the realistic exposure is bounded by the third tier — incorrect information to authorities — and is mitigated by the documentation discipline this whitepaper exemplifies.</w:t>
      </w:r>
    </w:p>
    <w:p>
      <w:pPr>
        <w:spacing w:after="120"/>
      </w:pPr>
    </w:p>
    <w:p>
      <w:pPr>
        <w:pStyle w:val="Heading1"/>
      </w:pPr>
      <w:r>
        <w:rPr>
          <w:b/>
          <w:bCs/>
        </w:rPr>
        <w:t xml:space="preserve">16. Deployer (Betreiber) guidance — Article 26</w:t>
      </w:r>
    </w:p>
    <w:p>
      <w:pPr>
        <w:spacing w:after="120"/>
        <w:jc w:val="both"/>
      </w:pPr>
      <w:r>
        <w:t xml:space="preserve">An EU operator that deploys ibn-core in production is a deployer under Art. 26 and inherits the deployer obligations. The framework gives the deployer the controls and the surfaces needed to satisfy those obligations; the responsibility for using them is the deployer’s.</w:t>
      </w:r>
    </w:p>
    <w:p>
      <w:pPr>
        <w:pStyle w:val="Heading2"/>
      </w:pPr>
      <w:r>
        <w:rPr>
          <w:b/>
          <w:bCs/>
        </w:rPr>
        <w:t xml:space="preserve">16.1 Deployer checklist</w:t>
      </w:r>
    </w:p>
    <w:p>
      <w:pPr>
        <w:pStyle w:val="ListParagraph"/>
        <w:numPr>
          <w:ilvl w:val="0"/>
          <w:numId w:val="3"/>
        </w:numPr>
        <w:spacing w:after="60"/>
      </w:pPr>
      <w:r>
        <w:t xml:space="preserve">Follow the provider’s instructions for use. Configure ibn-core in line with the values documented in the Helm chart values.yaml and in the Component CR; do not silently override AI-Gateway control settings (HIGH-tier blockHigh is non-overridable for a reason).</w:t>
      </w:r>
    </w:p>
    <w:p>
      <w:pPr>
        <w:pStyle w:val="ListParagraph"/>
        <w:numPr>
          <w:ilvl w:val="0"/>
          <w:numId w:val="3"/>
        </w:numPr>
        <w:spacing w:after="60"/>
      </w:pPr>
      <w:r>
        <w:t xml:space="preserve">Ensure human oversight by qualified persons. Issue API keys against the documented roles (customer, agent, admin); restrict admin keys to a named, trained group; record the role-assignment decision.</w:t>
      </w:r>
    </w:p>
    <w:p>
      <w:pPr>
        <w:pStyle w:val="ListParagraph"/>
        <w:numPr>
          <w:ilvl w:val="0"/>
          <w:numId w:val="3"/>
        </w:numPr>
        <w:spacing w:after="60"/>
      </w:pPr>
      <w:r>
        <w:t xml:space="preserve">Control input data appropriate to the system’s intended purpose. Do not bypass the input-side PII masker. Do not pass customer data into intent text that exceeds the system’s documented purpose (broadband service-offer generation).</w:t>
      </w:r>
    </w:p>
    <w:p>
      <w:pPr>
        <w:pStyle w:val="ListParagraph"/>
        <w:numPr>
          <w:ilvl w:val="0"/>
          <w:numId w:val="3"/>
        </w:numPr>
        <w:spacing w:after="60"/>
      </w:pPr>
      <w:r>
        <w:t xml:space="preserve">Retain logs for at least six months where it is within the deployer’s control. The OTLP traces are the audit record; ensure the OTLP backend has a 6-month-minimum retention policy.</w:t>
      </w:r>
    </w:p>
    <w:p>
      <w:pPr>
        <w:pStyle w:val="ListParagraph"/>
        <w:numPr>
          <w:ilvl w:val="0"/>
          <w:numId w:val="3"/>
        </w:numPr>
        <w:spacing w:after="60"/>
      </w:pPr>
      <w:r>
        <w:t xml:space="preserve">Inform the relevant national authority of any serious incident. A serious incident here is most plausibly a security event (gateway bypass) or a sustained refusal-rate anomaly indicating model misuse; surface these via the OTLP dashboards.</w:t>
      </w:r>
    </w:p>
    <w:p>
      <w:pPr>
        <w:pStyle w:val="ListParagraph"/>
        <w:numPr>
          <w:ilvl w:val="0"/>
          <w:numId w:val="3"/>
        </w:numPr>
        <w:spacing w:after="60"/>
      </w:pPr>
      <w:r>
        <w:t xml:space="preserve">Where the deployment falls into a category requiring Article 27 fundamental-rights impact assessment (limited public-sector or essential-services contexts), perform and document the FRIA before going into production.</w:t>
      </w:r>
    </w:p>
    <w:p>
      <w:pPr>
        <w:pStyle w:val="Heading2"/>
      </w:pPr>
      <w:r>
        <w:rPr>
          <w:b/>
          <w:bCs/>
        </w:rPr>
        <w:t xml:space="preserve">16.2 Documentation handover from Vpnet</w:t>
      </w:r>
    </w:p>
    <w:p>
      <w:pPr>
        <w:spacing w:after="120"/>
        <w:jc w:val="both"/>
      </w:pPr>
      <w:r>
        <w:t xml:space="preserve">Vpnet provides the deployer with the following at engagement start: this whitepaper; the Component CR and Helm chart; the Anthropic Annex-XII GPAI documentation digest; the UC006 sample traces and the standards-traceability map. The deployer signs an acknowledgement that records these artefacts as part of its own technical documentation file under Art. 26(6).</w:t>
      </w:r>
    </w:p>
    <w:p>
      <w:pPr>
        <w:spacing w:after="120"/>
      </w:pPr>
    </w:p>
    <w:p>
      <w:pPr>
        <w:pStyle w:val="Heading1"/>
      </w:pPr>
      <w:r>
        <w:rPr>
          <w:b/>
          <w:bCs/>
        </w:rPr>
        <w:t xml:space="preserve">17. Conclusions</w:t>
      </w:r>
    </w:p>
    <w:p>
      <w:pPr>
        <w:spacing w:after="120"/>
        <w:jc w:val="both"/>
      </w:pPr>
      <w:r>
        <w:t xml:space="preserve">ibn-core delivers an Intent-Based Networking platform whose architecture is explicitly designed for verifiability: RFC 9315 phase tagging, TMF921 over-the-wire conformance, an AI Gateway whose refusals are observable, and an OpenTelemetry trace that doubles as audit evidence. Under EU Regulation 2024/1689, the v2.0.1 release classifies as a limited-risk AI system with Article 50 transparency obligations and downstream-integrator obligations under Article 53. The control set already in the codebase satisfies the substance of Articles 9, 10, 11, 12, 13, 14 and 15; four small documentation and governance gaps complete the picture.</w:t>
      </w:r>
    </w:p>
    <w:p>
      <w:pPr>
        <w:spacing w:after="120"/>
        <w:jc w:val="both"/>
      </w:pPr>
      <w:r>
        <w:t xml:space="preserve">The open-core architecture preserves Vpnet’s ability to ship operator-specific CAMARA adapters privately while keeping the standards-implementing, control-bearing, audit-relevant parts in the public Apache-2.0 repository. That separation is itself a regulatory virtue: the things a regulator most needs to inspect are in the open; the things that must be confidential by contract are not.</w:t>
      </w:r>
    </w:p>
    <w:p>
      <w:pPr>
        <w:spacing w:after="120"/>
        <w:jc w:val="both"/>
      </w:pPr>
      <w:r>
        <w:t xml:space="preserve">Subsequent releases will close the four gaps named in Section 14, formalise the post-market-monitoring SOP, and track the AI Office’s GPAI Code of Practice as it matures. The intent of this whitepaper is to be the living reference that ties the technical evolution and the regulatory evolution together.</w:t>
      </w:r>
    </w:p>
    <w:p>
      <w:r>
        <w:br w:type="page"/>
      </w:r>
    </w:p>
    <w:p>
      <w:pPr>
        <w:pStyle w:val="Heading1"/>
      </w:pPr>
      <w:r>
        <w:rPr>
          <w:b/>
          <w:bCs/>
        </w:rPr>
        <w:t xml:space="preserve">Appendix A — References</w:t>
      </w:r>
    </w:p>
    <w:p>
      <w:pPr>
        <w:pStyle w:val="ListParagraph"/>
        <w:numPr>
          <w:ilvl w:val="0"/>
          <w:numId w:val="2"/>
        </w:numPr>
        <w:spacing w:after="60"/>
      </w:pPr>
      <w:r>
        <w:t xml:space="preserve">IRTF RFC 9315 — “Intent-Based Networking — Concepts and Definitions”, Clemm et al., October 2022. DOI 10.17487/RFC9315.</w:t>
      </w:r>
    </w:p>
    <w:p>
      <w:pPr>
        <w:pStyle w:val="ListParagraph"/>
        <w:numPr>
          <w:ilvl w:val="0"/>
          <w:numId w:val="2"/>
        </w:numPr>
        <w:spacing w:after="60"/>
      </w:pPr>
      <w:r>
        <w:t xml:space="preserve">TM Forum TMF921 IntentManagement API REST Specification, v5.0.0. TM Forum Open API project (Apache 2.0).</w:t>
      </w:r>
    </w:p>
    <w:p>
      <w:pPr>
        <w:pStyle w:val="ListParagraph"/>
        <w:numPr>
          <w:ilvl w:val="0"/>
          <w:numId w:val="2"/>
        </w:numPr>
        <w:spacing w:after="60"/>
      </w:pPr>
      <w:r>
        <w:t xml:space="preserve">TM Forum ODA Canvas, Component v1alpha3 and AI-Native Canvas design. tmforum-oda/oda-canvas.</w:t>
      </w:r>
    </w:p>
    <w:p>
      <w:pPr>
        <w:pStyle w:val="ListParagraph"/>
        <w:numPr>
          <w:ilvl w:val="0"/>
          <w:numId w:val="2"/>
        </w:numPr>
        <w:spacing w:after="60"/>
      </w:pPr>
      <w:r>
        <w:t xml:space="preserve">Regulation (EU) 2024/1689 of the European Parliament and of the Council of 13 June 2024 laying down harmonised rules on artificial intelligence (Artificial Intelligence Act). OJ L, 12 July 2024.</w:t>
      </w:r>
    </w:p>
    <w:p>
      <w:pPr>
        <w:pStyle w:val="ListParagraph"/>
        <w:numPr>
          <w:ilvl w:val="0"/>
          <w:numId w:val="2"/>
        </w:numPr>
        <w:spacing w:after="60"/>
      </w:pPr>
      <w:r>
        <w:t xml:space="preserve">OWASP Top 10 for LLM Applications 2025 — LLM01: Prompt Injection.</w:t>
      </w:r>
    </w:p>
    <w:p>
      <w:pPr>
        <w:pStyle w:val="ListParagraph"/>
        <w:numPr>
          <w:ilvl w:val="0"/>
          <w:numId w:val="2"/>
        </w:numPr>
        <w:spacing w:after="60"/>
      </w:pPr>
      <w:r>
        <w:t xml:space="preserve">Errico, Ngiam, Sojan — MCP security controls. arXiv:2511.20920.</w:t>
      </w:r>
    </w:p>
    <w:p>
      <w:pPr>
        <w:pStyle w:val="ListParagraph"/>
        <w:numPr>
          <w:ilvl w:val="0"/>
          <w:numId w:val="2"/>
        </w:numPr>
        <w:spacing w:after="60"/>
      </w:pPr>
      <w:r>
        <w:t xml:space="preserve">OpenTelemetry GenAI semantic conventions.</w:t>
      </w:r>
    </w:p>
    <w:p>
      <w:pPr>
        <w:pStyle w:val="ListParagraph"/>
        <w:numPr>
          <w:ilvl w:val="0"/>
          <w:numId w:val="2"/>
        </w:numPr>
        <w:spacing w:after="60"/>
      </w:pPr>
      <w:r>
        <w:t xml:space="preserve">Vpnet ibn-core public repository: https://github.com/vpnetconsult/ibn-core (Apache 2.0).</w:t>
      </w:r>
    </w:p>
    <w:p>
      <w:pPr>
        <w:pStyle w:val="ListParagraph"/>
        <w:numPr>
          <w:ilvl w:val="0"/>
          <w:numId w:val="2"/>
        </w:numPr>
        <w:spacing w:after="60"/>
      </w:pPr>
      <w:r>
        <w:t xml:space="preserve">UC006 Implementation View, Vpnet Cloud Solutions, April 2026 — docs/compliance/UC006_ODA_CANVAS_IMPLEMENTATION.html.</w:t>
      </w:r>
    </w:p>
    <w:p>
      <w:pPr>
        <w:pStyle w:val="ListParagraph"/>
        <w:numPr>
          <w:ilvl w:val="0"/>
          <w:numId w:val="2"/>
        </w:numPr>
        <w:spacing w:after="60"/>
      </w:pPr>
      <w:r>
        <w:t xml:space="preserve">UC006 Executive Summary, Vpnet Cloud Solutions, April 2026 — docs/compliance/UC006_EXECUTIVE_SUMMARY.html.</w:t>
      </w:r>
    </w:p>
    <w:p>
      <w:pPr>
        <w:pStyle w:val="Heading1"/>
      </w:pPr>
      <w:r>
        <w:rPr>
          <w:b/>
          <w:bCs/>
        </w:rP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Term</w:t>
            </w:r>
          </w:p>
        </w:tc>
        <w:tc>
          <w:tcPr>
            <w:tcW w:type="dxa" w:w="66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Definition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AI Gateway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three-control security boundary in ibn-core: prompt-injection detection, PII masking and DLP, and tool-policy RBAC.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Anthropic Annex XII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downstream-provider documentation that GPAI providers must prepare under EU AI Act Art. 53 Annex XII.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BSS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Business Support System — order management, catalogue, billing.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CAMARA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Linux Foundation operator-API project (Apache 2.0).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Component CR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TM Forum ODA Component custom resource (oda.tmforum.org/v1alpha3) that declares ibn-core to a Canvas.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CTK</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TM Forum Conformance Test Kit.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DLP</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 Loss Prevention — here, per-tool per-role field allowlists on MCP responses.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FRIA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Fundamental-rights impact assessment under EU AI Act Art. 27.</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GPAI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General-purpose AI model — defined in EU AI Act Art. 3 and governed by Arts. 51–56.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Intent-handling Management Function — the cycle runner in ibn-core implementing RFC 9315 §5.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MCP</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Model Context Protocol — Anthropic, MIT licence.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O2C</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Order-to-Cash — the canonical end-to-end flow used in ibn-core regression.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ODA Canvas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TM Forum Open Digital Architecture Canvas — a Kubernetes-based runtime platform for ODA Components.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OTLP</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OpenTelemetry Protocol — used here over HTTP for trace export.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RFC 9315</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IRTF NMRG, Intent-Based Networking — Concepts and Definitions.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TMF921</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TM Forum IntentManagement API.</w:t>
            </w:r>
          </w:p>
        </w:tc>
      </w:tr>
    </w:tbl>
    <w:p>
      <w:pPr>
        <w:pStyle w:val="Heading1"/>
      </w:pPr>
      <w:r>
        <w:rPr>
          <w:b/>
          <w:bCs/>
        </w:rPr>
        <w:t xml:space="preserve">Appendix C —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rPr>
          <w:tblHeader/>
        </w:trPr>
        <w:tc>
          <w:tcPr>
            <w:tcW w:type="dxa" w:w="1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Version</w:t>
            </w:r>
          </w:p>
        </w:tc>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Date</w:t>
            </w:r>
          </w:p>
        </w:tc>
        <w:tc>
          <w:tcPr>
            <w:tcW w:type="dxa" w:w="2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Author</w:t>
            </w:r>
          </w:p>
        </w:tc>
        <w:tc>
          <w:tcPr>
            <w:tcW w:type="dxa" w:w="3526"/>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b/>
                <w:bCs/>
              </w:rPr>
              <w:t xml:space="preserve">Changes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2026-05-28</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Vpnet Cloud Solutions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Initial release. Solution view based on UC006 Implementation and Executive Summary (April 2026); EU AI Act dossier based on Regulation (EU) 2024/1689.</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r>
      <w:rPr>
        <w:color w:val="94A3B8"/>
        <w:sz w:val="18"/>
        <w:szCs w:val="18"/>
      </w:rPr>
      <w:t xml:space="preserve">  ·  Apache 2.0  ·  © 2026 Vpnet Cloud Solutions Sdn. Bhd.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ibn-core whitepaper · v1.0 · Vpnet Cloud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E7C8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ibn-core — Solution and EU AI Act Compliance Whitepaper</dc:title>
  <dc:creator>Vpnet Cloud Solutions Sdn. Bhd.</dc:creator>
  <dc:description>A dual-track whitepaper covering the ibn-core Intent-Based Networking platform (RFC 9315 / TMF921 v5.0.0 / ODA Canvas) and its assessment under EU Regulation 2024/1689 (EU AI Act).</dc:description>
  <cp:lastModifiedBy>Un-named</cp:lastModifiedBy>
  <cp:revision>1</cp:revision>
  <dcterms:created xsi:type="dcterms:W3CDTF">2026-05-28T10:56:18.009Z</dcterms:created>
  <dcterms:modified xsi:type="dcterms:W3CDTF">2026-05-28T10:56:18.011Z</dcterms:modified>
</cp:coreProperties>
</file>

<file path=docProps/custom.xml><?xml version="1.0" encoding="utf-8"?>
<Properties xmlns="http://schemas.openxmlformats.org/officeDocument/2006/custom-properties" xmlns:vt="http://schemas.openxmlformats.org/officeDocument/2006/docPropsVTypes"/>
</file>