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D28D9"/>
          <w:sz w:val="22"/>
        </w:rPr>
        <w:t>MITRE ATLAS ASSESSMENT</w:t>
      </w:r>
    </w:p>
    <w:p>
      <w:pPr>
        <w:jc w:val="center"/>
      </w:pPr>
      <w:r>
        <w:rPr>
          <w:b/>
          <w:color w:val="1F2A44"/>
          <w:sz w:val="52"/>
        </w:rPr>
        <w:t>ibn-core v2.0.1</w:t>
      </w:r>
    </w:p>
    <w:p>
      <w:pPr>
        <w:jc w:val="center"/>
      </w:pPr>
      <w:r>
        <w:rPr>
          <w:i/>
          <w:color w:val="1F2A44"/>
          <w:sz w:val="26"/>
        </w:rPr>
        <w:t>Adversarial-AI threat-informed coverage analysis</w:t>
      </w:r>
    </w:p>
    <w:p>
      <w:pPr>
        <w:jc w:val="center"/>
      </w:pPr>
      <w:r>
        <w:rPr>
          <w:color w:val="475569"/>
          <w:sz w:val="20"/>
        </w:rPr>
        <w:t>Vpnet Cloud Solutions Sdn. Bhd. · 2026-05-28 · Apache 2.0</w:t>
      </w:r>
    </w:p>
    <w:p/>
    <w:p>
      <w:pPr>
        <w:pStyle w:val="Heading1"/>
      </w:pPr>
      <w:r>
        <w:t>1. Executive summary</w:t>
      </w:r>
    </w:p>
    <w:p>
      <w:r>
        <w:t>This assessment evaluates ibn-core (Apache 2.0 open core) against the MITRE ATLAS framework — the adversarial-AI complement to the ATT&amp;CK Enterprise assessment produced separately. 39 ATLAS techniques are in scope, drawn from the canonical ATLAS data published at github.com/mitre-atlas/atlas-data and selected for relevance to ibn-core's LLM-using, MCP-orchestrating, customer-facing intent platform.</w:t>
      </w:r>
    </w:p>
    <w:p>
      <w:r>
        <w:t>Result: 11 techniques are fully Mitigated, 21 are Partially Mitigated, and 7 are Open. The strongest position is in the LLM-specific tactics — Credential Access (LLM Data Leakage, Unsecured Credentials), Execution (Command and Scripting Interpreter, Direct Prompt Injection, AI Agent Tool Invocation), Defense Evasion (LLM Jailbreak), and Impact (Cost Harvesting, Self-Replication). These are the techniques the AI Gateway was designed to address; the assessment confirms the design holds against the published ATLAS catalogue.</w:t>
      </w:r>
    </w:p>
    <w:p>
      <w:r>
        <w:t>The Open set is dominated by supply-chain integrity (AI Software supply chain, AI Intellectual Property Theft) and by techniques that are not applicable to a stateless, non-RAG, non-fine-tuning consumer of a hosted model (Poison Training Data, Extract AI Model). The Partially Mitigated set is dominated by techniques where the regex-based prompt-injection engine has a known evasion surface (LLM Prompt Obfuscation, Evade AI Model) — addressed by defence-in-depth via PII masking and DLP, but worth tracking.</w:t>
      </w:r>
    </w:p>
    <w:p>
      <w:pPr>
        <w:pStyle w:val="Heading1"/>
      </w:pPr>
      <w:r>
        <w:t>2. Scope and methodology</w:t>
      </w:r>
    </w:p>
    <w:p>
      <w:r>
        <w:t>Scope: ibn-core v2.0.1, Helm chart 2.2.0, public Apache 2.0 repository. ATLAS techniques included where the technique is plausibly executable against ibn-core given its architecture (LLM call via Anthropic API, MCP back-ends, TMF921 front, Kubernetes/Istio runtime). Techniques tied to fine-tuning, training-data poisoning, or retrieval-augmented generation are excluded because ibn-core does not use those patterns; they would need re-assessment if a future release adopts them.</w:t>
      </w:r>
    </w:p>
    <w:p>
      <w:r>
        <w:t>Data source: the ATLAS YAML at github.com/mitre-atlas/atlas-data was fetched on 2026-05-28 and used as the canonical technique registry. The MEOK Labs mitre-atlas-mcp package on PyPI was evaluated but is a scaffold stub at v1.0.x — every tool returns the same placeholder rather than ATLAS data; v1.1.x is announced but not yet released.</w:t>
      </w:r>
    </w:p>
    <w:p>
      <w:r>
        <w:t>Scoring rubric (identical to the ATT&amp;CK assessment): Mitigated (80) — control fully addresses; PartiallyMitigated (50) — control exists with gaps; Open (20) — primary control missing or out-of-scope for the open core. The tiers, controls and evidence-of-control are listed in the technique-by-technique tables below.</w:t>
      </w:r>
    </w:p>
    <w:p>
      <w:pPr>
        <w:pStyle w:val="Heading1"/>
      </w:pPr>
      <w:r>
        <w:t>3. Posture summary</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
              <w:rPr>
                <w:b/>
              </w:rPr>
              <w:t>Residual-risk tier</w:t>
            </w:r>
          </w:p>
        </w:tc>
        <w:tc>
          <w:tcPr>
            <w:tcW w:type="dxa" w:w="3324"/>
          </w:tcPr>
          <w:p>
            <w:r/>
            <w:r>
              <w:rPr>
                <w:b/>
              </w:rPr>
              <w:t>Count</w:t>
            </w:r>
          </w:p>
        </w:tc>
        <w:tc>
          <w:tcPr>
            <w:tcW w:type="dxa" w:w="3324"/>
          </w:tcPr>
          <w:p>
            <w:r/>
            <w:r>
              <w:rPr>
                <w:b/>
              </w:rPr>
              <w:t>% of in-scope techniques</w:t>
            </w:r>
          </w:p>
        </w:tc>
      </w:tr>
      <w:tr>
        <w:tc>
          <w:tcPr>
            <w:tcW w:type="dxa" w:w="3324"/>
          </w:tcPr>
          <w:p>
            <w:r>
              <w:rPr>
                <w:b/>
                <w:color w:val="15803D"/>
              </w:rPr>
              <w:t>Mitigated</w:t>
            </w:r>
          </w:p>
        </w:tc>
        <w:tc>
          <w:tcPr>
            <w:tcW w:type="dxa" w:w="3324"/>
          </w:tcPr>
          <w:p>
            <w:r>
              <w:t>11</w:t>
            </w:r>
          </w:p>
        </w:tc>
        <w:tc>
          <w:tcPr>
            <w:tcW w:type="dxa" w:w="3324"/>
          </w:tcPr>
          <w:p>
            <w:r>
              <w:t>28%</w:t>
            </w:r>
          </w:p>
        </w:tc>
      </w:tr>
      <w:tr>
        <w:tc>
          <w:tcPr>
            <w:tcW w:type="dxa" w:w="3324"/>
          </w:tcPr>
          <w:p>
            <w:r>
              <w:rPr>
                <w:b/>
                <w:color w:val="B45309"/>
              </w:rPr>
              <w:t>PartiallyMitigated</w:t>
            </w:r>
          </w:p>
        </w:tc>
        <w:tc>
          <w:tcPr>
            <w:tcW w:type="dxa" w:w="3324"/>
          </w:tcPr>
          <w:p>
            <w:r>
              <w:t>21</w:t>
            </w:r>
          </w:p>
        </w:tc>
        <w:tc>
          <w:tcPr>
            <w:tcW w:type="dxa" w:w="3324"/>
          </w:tcPr>
          <w:p>
            <w:r>
              <w:t>54%</w:t>
            </w:r>
          </w:p>
        </w:tc>
      </w:tr>
      <w:tr>
        <w:tc>
          <w:tcPr>
            <w:tcW w:type="dxa" w:w="3324"/>
          </w:tcPr>
          <w:p>
            <w:r>
              <w:rPr>
                <w:b/>
                <w:color w:val="B91C1C"/>
              </w:rPr>
              <w:t>Open</w:t>
            </w:r>
          </w:p>
        </w:tc>
        <w:tc>
          <w:tcPr>
            <w:tcW w:type="dxa" w:w="3324"/>
          </w:tcPr>
          <w:p>
            <w:r>
              <w:t>7</w:t>
            </w:r>
          </w:p>
        </w:tc>
        <w:tc>
          <w:tcPr>
            <w:tcW w:type="dxa" w:w="3324"/>
          </w:tcPr>
          <w:p>
            <w:r>
              <w:t>18%</w:t>
            </w:r>
          </w:p>
        </w:tc>
      </w:tr>
    </w:tbl>
    <w:p/>
    <w:p>
      <w:pPr>
        <w:pStyle w:val="Heading1"/>
      </w:pPr>
      <w:r>
        <w:t>4. Technique-by-technique walkthrough</w:t>
      </w:r>
    </w:p>
    <w:p>
      <w:r>
        <w:t>Grouped by ATLAS tactic in kill-chain order. The Control column names the in-code mechanism(s) and gaps.</w:t>
      </w:r>
    </w:p>
    <w:p>
      <w:r>
        <w:t>On RAG: ATLAS techniques AML.T0067 (LLM Prompt Crafting), AML.T0070 (RAG Poisoning), AML.T0071 (False RAG Entry Injection) and related RAG-pattern entries are NOT INCLUDED in the tables below because ibn-core does not use retrieval-augmented generation. analyzeIntent and generateOffer are single-turn JSON extractions over a fixed scaffold; MCP responses are not embedded as untrusted context in the prompt. If a future release adds RAG, those techniques must be added with a fresh assessment.</w:t>
      </w:r>
    </w:p>
    <w:p>
      <w:pPr>
        <w:pStyle w:val="Heading2"/>
      </w:pPr>
      <w:r>
        <w:t>4.1 Reconnaissance (AML.TA0002)</w:t>
      </w:r>
    </w:p>
    <w:tbl>
      <w:tblPr>
        <w:tblStyle w:val="LightGrid-Accent1"/>
        <w:tblW w:type="auto" w:w="0"/>
        <w:tblLook w:firstColumn="1" w:firstRow="1" w:lastColumn="0" w:lastRow="0" w:noHBand="0" w:noVBand="1" w:val="04A0"/>
      </w:tblPr>
      <w:tblGrid>
        <w:gridCol w:w="2493"/>
        <w:gridCol w:w="2493"/>
        <w:gridCol w:w="2493"/>
        <w:gridCol w:w="2493"/>
      </w:tblGrid>
      <w:tr>
        <w:tc>
          <w:tcPr>
            <w:tcW w:type="dxa" w:w="1361"/>
          </w:tcPr>
          <w:p>
            <w:r/>
            <w:r>
              <w:rPr>
                <w:b/>
              </w:rPr>
              <w:t>ID</w:t>
            </w:r>
          </w:p>
        </w:tc>
        <w:tc>
          <w:tcPr>
            <w:tcW w:type="dxa" w:w="2551"/>
          </w:tcPr>
          <w:p>
            <w:r/>
            <w:r>
              <w:rPr>
                <w:b/>
              </w:rPr>
              <w:t>Technique</w:t>
            </w:r>
          </w:p>
        </w:tc>
        <w:tc>
          <w:tcPr>
            <w:tcW w:type="dxa" w:w="1417"/>
          </w:tcPr>
          <w:p>
            <w:r/>
            <w:r>
              <w:rPr>
                <w:b/>
              </w:rPr>
              <w:t>Tier</w:t>
            </w:r>
          </w:p>
        </w:tc>
        <w:tc>
          <w:tcPr>
            <w:tcW w:type="dxa" w:w="4309"/>
          </w:tcPr>
          <w:p>
            <w:r/>
            <w:r>
              <w:rPr>
                <w:b/>
              </w:rPr>
              <w:t>Control summary</w:t>
            </w:r>
          </w:p>
        </w:tc>
      </w:tr>
      <w:tr>
        <w:tc>
          <w:tcPr>
            <w:tcW w:type="dxa" w:w="1361"/>
          </w:tcPr>
          <w:p>
            <w:r>
              <w:t>AML.T0006</w:t>
            </w:r>
          </w:p>
        </w:tc>
        <w:tc>
          <w:tcPr>
            <w:tcW w:type="dxa" w:w="2551"/>
          </w:tcPr>
          <w:p>
            <w:r>
              <w:t>Active Scanning</w:t>
            </w:r>
          </w:p>
        </w:tc>
        <w:tc>
          <w:tcPr>
            <w:tcW w:type="dxa" w:w="1417"/>
          </w:tcPr>
          <w:p>
            <w:r>
              <w:t>PartiallyMitigated</w:t>
            </w:r>
          </w:p>
        </w:tc>
        <w:tc>
          <w:tcPr>
            <w:tcW w:type="dxa" w:w="4309"/>
          </w:tcPr>
          <w:p>
            <w:r>
              <w:t>TMF921 endpoints expose only the documented schema; the OpenAPI spec is public by design. Istio rate-limit on probing patterns. Gap: discoverable model dependency via OSS docs is intentional.</w:t>
            </w:r>
          </w:p>
        </w:tc>
      </w:tr>
      <w:tr>
        <w:tc>
          <w:tcPr>
            <w:tcW w:type="dxa" w:w="1361"/>
          </w:tcPr>
          <w:p>
            <w:r>
              <w:t>AML.T0000.002</w:t>
            </w:r>
          </w:p>
        </w:tc>
        <w:tc>
          <w:tcPr>
            <w:tcW w:type="dxa" w:w="2551"/>
          </w:tcPr>
          <w:p>
            <w:r>
              <w:t>Technical Blogs</w:t>
            </w:r>
          </w:p>
        </w:tc>
        <w:tc>
          <w:tcPr>
            <w:tcW w:type="dxa" w:w="1417"/>
          </w:tcPr>
          <w:p>
            <w:r>
              <w:t>Open</w:t>
            </w:r>
          </w:p>
        </w:tc>
        <w:tc>
          <w:tcPr>
            <w:tcW w:type="dxa" w:w="4309"/>
          </w:tcPr>
          <w:p>
            <w:r>
              <w:t>Out of scope. ibn-core architecture and AI Gateway design are intentionally published; an attacker may learn the controls in detail from this whitepaper.</w:t>
            </w:r>
          </w:p>
        </w:tc>
      </w:tr>
    </w:tbl>
    <w:p/>
    <w:p>
      <w:pPr>
        <w:pStyle w:val="Heading2"/>
      </w:pPr>
      <w:r>
        <w:t>4.2 Resource Development (AML.TA0003)</w:t>
      </w:r>
    </w:p>
    <w:tbl>
      <w:tblPr>
        <w:tblStyle w:val="LightGrid-Accent1"/>
        <w:tblW w:type="auto" w:w="0"/>
        <w:tblLook w:firstColumn="1" w:firstRow="1" w:lastColumn="0" w:lastRow="0" w:noHBand="0" w:noVBand="1" w:val="04A0"/>
      </w:tblPr>
      <w:tblGrid>
        <w:gridCol w:w="2493"/>
        <w:gridCol w:w="2493"/>
        <w:gridCol w:w="2493"/>
        <w:gridCol w:w="2493"/>
      </w:tblGrid>
      <w:tr>
        <w:tc>
          <w:tcPr>
            <w:tcW w:type="dxa" w:w="1361"/>
          </w:tcPr>
          <w:p>
            <w:r/>
            <w:r>
              <w:rPr>
                <w:b/>
              </w:rPr>
              <w:t>ID</w:t>
            </w:r>
          </w:p>
        </w:tc>
        <w:tc>
          <w:tcPr>
            <w:tcW w:type="dxa" w:w="2551"/>
          </w:tcPr>
          <w:p>
            <w:r/>
            <w:r>
              <w:rPr>
                <w:b/>
              </w:rPr>
              <w:t>Technique</w:t>
            </w:r>
          </w:p>
        </w:tc>
        <w:tc>
          <w:tcPr>
            <w:tcW w:type="dxa" w:w="1417"/>
          </w:tcPr>
          <w:p>
            <w:r/>
            <w:r>
              <w:rPr>
                <w:b/>
              </w:rPr>
              <w:t>Tier</w:t>
            </w:r>
          </w:p>
        </w:tc>
        <w:tc>
          <w:tcPr>
            <w:tcW w:type="dxa" w:w="4309"/>
          </w:tcPr>
          <w:p>
            <w:r/>
            <w:r>
              <w:rPr>
                <w:b/>
              </w:rPr>
              <w:t>Control summary</w:t>
            </w:r>
          </w:p>
        </w:tc>
      </w:tr>
      <w:tr>
        <w:tc>
          <w:tcPr>
            <w:tcW w:type="dxa" w:w="1361"/>
          </w:tcPr>
          <w:p>
            <w:r>
              <w:t>AML.T0017.000</w:t>
            </w:r>
          </w:p>
        </w:tc>
        <w:tc>
          <w:tcPr>
            <w:tcW w:type="dxa" w:w="2551"/>
          </w:tcPr>
          <w:p>
            <w:r>
              <w:t>Adversarial AI Attacks</w:t>
            </w:r>
          </w:p>
        </w:tc>
        <w:tc>
          <w:tcPr>
            <w:tcW w:type="dxa" w:w="1417"/>
          </w:tcPr>
          <w:p>
            <w:r>
              <w:t>Open</w:t>
            </w:r>
          </w:p>
        </w:tc>
        <w:tc>
          <w:tcPr>
            <w:tcW w:type="dxa" w:w="4309"/>
          </w:tcPr>
          <w:p>
            <w:r>
              <w:t>Adversaries can develop prompt-injection and jailbreak payloads against published OWASP-LLM patterns. ibn-core's defence: the HIGH-tier signature engine is updated against current OWASP LLM01 patterns; MEDIUM/LOW are configurable.</w:t>
            </w:r>
          </w:p>
        </w:tc>
      </w:tr>
      <w:tr>
        <w:tc>
          <w:tcPr>
            <w:tcW w:type="dxa" w:w="1361"/>
          </w:tcPr>
          <w:p>
            <w:r>
              <w:t>AML.T0010.001</w:t>
            </w:r>
          </w:p>
        </w:tc>
        <w:tc>
          <w:tcPr>
            <w:tcW w:type="dxa" w:w="2551"/>
          </w:tcPr>
          <w:p>
            <w:r>
              <w:t>AI Software (Supply Chain Compromise)</w:t>
            </w:r>
          </w:p>
        </w:tc>
        <w:tc>
          <w:tcPr>
            <w:tcW w:type="dxa" w:w="1417"/>
          </w:tcPr>
          <w:p>
            <w:r>
              <w:t>Open</w:t>
            </w:r>
          </w:p>
        </w:tc>
        <w:tc>
          <w:tcPr>
            <w:tcW w:type="dxa" w:w="4309"/>
          </w:tcPr>
          <w:p>
            <w:r>
              <w:t>Anthropic SDK and other npm packages — supply-chain assurance relies on CodeQL CI + dependabot. Gap: no SBOM, no image signing — same finding as ATT&amp;CK T1195.</w:t>
            </w:r>
          </w:p>
        </w:tc>
      </w:tr>
    </w:tbl>
    <w:p/>
    <w:p>
      <w:pPr>
        <w:pStyle w:val="Heading2"/>
      </w:pPr>
      <w:r>
        <w:t>4.3 Initial Access (AML.TA0004)</w:t>
      </w:r>
    </w:p>
    <w:tbl>
      <w:tblPr>
        <w:tblStyle w:val="LightGrid-Accent1"/>
        <w:tblW w:type="auto" w:w="0"/>
        <w:tblLook w:firstColumn="1" w:firstRow="1" w:lastColumn="0" w:lastRow="0" w:noHBand="0" w:noVBand="1" w:val="04A0"/>
      </w:tblPr>
      <w:tblGrid>
        <w:gridCol w:w="2493"/>
        <w:gridCol w:w="2493"/>
        <w:gridCol w:w="2493"/>
        <w:gridCol w:w="2493"/>
      </w:tblGrid>
      <w:tr>
        <w:tc>
          <w:tcPr>
            <w:tcW w:type="dxa" w:w="1361"/>
          </w:tcPr>
          <w:p>
            <w:r/>
            <w:r>
              <w:rPr>
                <w:b/>
              </w:rPr>
              <w:t>ID</w:t>
            </w:r>
          </w:p>
        </w:tc>
        <w:tc>
          <w:tcPr>
            <w:tcW w:type="dxa" w:w="2551"/>
          </w:tcPr>
          <w:p>
            <w:r/>
            <w:r>
              <w:rPr>
                <w:b/>
              </w:rPr>
              <w:t>Technique</w:t>
            </w:r>
          </w:p>
        </w:tc>
        <w:tc>
          <w:tcPr>
            <w:tcW w:type="dxa" w:w="1417"/>
          </w:tcPr>
          <w:p>
            <w:r/>
            <w:r>
              <w:rPr>
                <w:b/>
              </w:rPr>
              <w:t>Tier</w:t>
            </w:r>
          </w:p>
        </w:tc>
        <w:tc>
          <w:tcPr>
            <w:tcW w:type="dxa" w:w="4309"/>
          </w:tcPr>
          <w:p>
            <w:r/>
            <w:r>
              <w:rPr>
                <w:b/>
              </w:rPr>
              <w:t>Control summary</w:t>
            </w:r>
          </w:p>
        </w:tc>
      </w:tr>
      <w:tr>
        <w:tc>
          <w:tcPr>
            <w:tcW w:type="dxa" w:w="1361"/>
          </w:tcPr>
          <w:p>
            <w:r>
              <w:t>AML.T0049</w:t>
            </w:r>
          </w:p>
        </w:tc>
        <w:tc>
          <w:tcPr>
            <w:tcW w:type="dxa" w:w="2551"/>
          </w:tcPr>
          <w:p>
            <w:r>
              <w:t>Exploit Public-Facing Application</w:t>
            </w:r>
          </w:p>
        </w:tc>
        <w:tc>
          <w:tcPr>
            <w:tcW w:type="dxa" w:w="1417"/>
          </w:tcPr>
          <w:p>
            <w:r>
              <w:t>PartiallyMitigated</w:t>
            </w:r>
          </w:p>
        </w:tc>
        <w:tc>
          <w:tcPr>
            <w:tcW w:type="dxa" w:w="4309"/>
          </w:tcPr>
          <w:p>
            <w:r>
              <w:t>TMF921 API gated by Istio TLS + JWT/api-key auth + AI Gateway prompt-injection check; idempotency in Redis. Gap: no managed WAF; no recent third-party pentest.</w:t>
            </w:r>
          </w:p>
        </w:tc>
      </w:tr>
      <w:tr>
        <w:tc>
          <w:tcPr>
            <w:tcW w:type="dxa" w:w="1361"/>
          </w:tcPr>
          <w:p>
            <w:r>
              <w:t>AML.T0012</w:t>
            </w:r>
          </w:p>
        </w:tc>
        <w:tc>
          <w:tcPr>
            <w:tcW w:type="dxa" w:w="2551"/>
          </w:tcPr>
          <w:p>
            <w:r>
              <w:t>Valid Accounts</w:t>
            </w:r>
          </w:p>
        </w:tc>
        <w:tc>
          <w:tcPr>
            <w:tcW w:type="dxa" w:w="1417"/>
          </w:tcPr>
          <w:p>
            <w:r>
              <w:t>PartiallyMitigated</w:t>
            </w:r>
          </w:p>
        </w:tc>
        <w:tc>
          <w:tcPr>
            <w:tcW w:type="dxa" w:w="4309"/>
          </w:tcPr>
          <w:p>
            <w:r>
              <w:t>JWT (RS256/Keycloak JWKS) or api-key; named roles. Gap: no key-rotation SOP for downstream operators.</w:t>
            </w:r>
          </w:p>
        </w:tc>
      </w:tr>
      <w:tr>
        <w:tc>
          <w:tcPr>
            <w:tcW w:type="dxa" w:w="1361"/>
          </w:tcPr>
          <w:p>
            <w:r>
              <w:t>AML.T0011</w:t>
            </w:r>
          </w:p>
        </w:tc>
        <w:tc>
          <w:tcPr>
            <w:tcW w:type="dxa" w:w="2551"/>
          </w:tcPr>
          <w:p>
            <w:r>
              <w:t>User Execution</w:t>
            </w:r>
          </w:p>
        </w:tc>
        <w:tc>
          <w:tcPr>
            <w:tcW w:type="dxa" w:w="1417"/>
          </w:tcPr>
          <w:p>
            <w:r>
              <w:t>Open</w:t>
            </w:r>
          </w:p>
        </w:tc>
        <w:tc>
          <w:tcPr>
            <w:tcW w:type="dxa" w:w="4309"/>
          </w:tcPr>
          <w:p>
            <w:r>
              <w:t>ibn-core does not load user-supplied AI artefacts; users do not bring their own models. Listed Open because the technique is not applicable rather than because mitigated.</w:t>
            </w:r>
          </w:p>
        </w:tc>
      </w:tr>
    </w:tbl>
    <w:p/>
    <w:p>
      <w:pPr>
        <w:pStyle w:val="Heading2"/>
      </w:pPr>
      <w:r>
        <w:t>4.4 AI Model Access (AML.TA0000)</w:t>
      </w:r>
    </w:p>
    <w:tbl>
      <w:tblPr>
        <w:tblStyle w:val="LightGrid-Accent1"/>
        <w:tblW w:type="auto" w:w="0"/>
        <w:tblLook w:firstColumn="1" w:firstRow="1" w:lastColumn="0" w:lastRow="0" w:noHBand="0" w:noVBand="1" w:val="04A0"/>
      </w:tblPr>
      <w:tblGrid>
        <w:gridCol w:w="2493"/>
        <w:gridCol w:w="2493"/>
        <w:gridCol w:w="2493"/>
        <w:gridCol w:w="2493"/>
      </w:tblGrid>
      <w:tr>
        <w:tc>
          <w:tcPr>
            <w:tcW w:type="dxa" w:w="1361"/>
          </w:tcPr>
          <w:p>
            <w:r/>
            <w:r>
              <w:rPr>
                <w:b/>
              </w:rPr>
              <w:t>ID</w:t>
            </w:r>
          </w:p>
        </w:tc>
        <w:tc>
          <w:tcPr>
            <w:tcW w:type="dxa" w:w="2551"/>
          </w:tcPr>
          <w:p>
            <w:r/>
            <w:r>
              <w:rPr>
                <w:b/>
              </w:rPr>
              <w:t>Technique</w:t>
            </w:r>
          </w:p>
        </w:tc>
        <w:tc>
          <w:tcPr>
            <w:tcW w:type="dxa" w:w="1417"/>
          </w:tcPr>
          <w:p>
            <w:r/>
            <w:r>
              <w:rPr>
                <w:b/>
              </w:rPr>
              <w:t>Tier</w:t>
            </w:r>
          </w:p>
        </w:tc>
        <w:tc>
          <w:tcPr>
            <w:tcW w:type="dxa" w:w="4309"/>
          </w:tcPr>
          <w:p>
            <w:r/>
            <w:r>
              <w:rPr>
                <w:b/>
              </w:rPr>
              <w:t>Control summary</w:t>
            </w:r>
          </w:p>
        </w:tc>
      </w:tr>
      <w:tr>
        <w:tc>
          <w:tcPr>
            <w:tcW w:type="dxa" w:w="1361"/>
          </w:tcPr>
          <w:p>
            <w:r>
              <w:t>AML.T0040</w:t>
            </w:r>
          </w:p>
        </w:tc>
        <w:tc>
          <w:tcPr>
            <w:tcW w:type="dxa" w:w="2551"/>
          </w:tcPr>
          <w:p>
            <w:r>
              <w:t>AI Model Inference API Access</w:t>
            </w:r>
          </w:p>
        </w:tc>
        <w:tc>
          <w:tcPr>
            <w:tcW w:type="dxa" w:w="1417"/>
          </w:tcPr>
          <w:p>
            <w:r>
              <w:t>PartiallyMitigated</w:t>
            </w:r>
          </w:p>
        </w:tc>
        <w:tc>
          <w:tcPr>
            <w:tcW w:type="dxa" w:w="4309"/>
          </w:tcPr>
          <w:p>
            <w:r>
              <w:t>Anthropic API key in k8s Secret, envFrom; outbound restricted to api.anthropic.com via Istio egress template. Per-call max_tokens cap. Gap: no per-API-key budget.</w:t>
            </w:r>
          </w:p>
        </w:tc>
      </w:tr>
      <w:tr>
        <w:tc>
          <w:tcPr>
            <w:tcW w:type="dxa" w:w="1361"/>
          </w:tcPr>
          <w:p>
            <w:r>
              <w:t>AML.T0047</w:t>
            </w:r>
          </w:p>
        </w:tc>
        <w:tc>
          <w:tcPr>
            <w:tcW w:type="dxa" w:w="2551"/>
          </w:tcPr>
          <w:p>
            <w:r>
              <w:t>AI-Enabled Product or Service</w:t>
            </w:r>
          </w:p>
        </w:tc>
        <w:tc>
          <w:tcPr>
            <w:tcW w:type="dxa" w:w="1417"/>
          </w:tcPr>
          <w:p>
            <w:r>
              <w:t>PartiallyMitigated</w:t>
            </w:r>
          </w:p>
        </w:tc>
        <w:tc>
          <w:tcPr>
            <w:tcW w:type="dxa" w:w="4309"/>
          </w:tcPr>
          <w:p>
            <w:r>
              <w:t>ibn-core IS the AI-enabled product. Attacker access is gated by TMF921 auth + AI Gateway 3 controls + tool-policy RBAC; refusal is a first-class observable outcome.</w:t>
            </w:r>
          </w:p>
        </w:tc>
      </w:tr>
    </w:tbl>
    <w:p/>
    <w:p>
      <w:pPr>
        <w:pStyle w:val="Heading2"/>
      </w:pPr>
      <w:r>
        <w:t>4.5 Execution (AML.TA0005)</w:t>
      </w:r>
    </w:p>
    <w:tbl>
      <w:tblPr>
        <w:tblStyle w:val="LightGrid-Accent1"/>
        <w:tblW w:type="auto" w:w="0"/>
        <w:tblLook w:firstColumn="1" w:firstRow="1" w:lastColumn="0" w:lastRow="0" w:noHBand="0" w:noVBand="1" w:val="04A0"/>
      </w:tblPr>
      <w:tblGrid>
        <w:gridCol w:w="2493"/>
        <w:gridCol w:w="2493"/>
        <w:gridCol w:w="2493"/>
        <w:gridCol w:w="2493"/>
      </w:tblGrid>
      <w:tr>
        <w:tc>
          <w:tcPr>
            <w:tcW w:type="dxa" w:w="1361"/>
          </w:tcPr>
          <w:p>
            <w:r/>
            <w:r>
              <w:rPr>
                <w:b/>
              </w:rPr>
              <w:t>ID</w:t>
            </w:r>
          </w:p>
        </w:tc>
        <w:tc>
          <w:tcPr>
            <w:tcW w:type="dxa" w:w="2551"/>
          </w:tcPr>
          <w:p>
            <w:r/>
            <w:r>
              <w:rPr>
                <w:b/>
              </w:rPr>
              <w:t>Technique</w:t>
            </w:r>
          </w:p>
        </w:tc>
        <w:tc>
          <w:tcPr>
            <w:tcW w:type="dxa" w:w="1417"/>
          </w:tcPr>
          <w:p>
            <w:r/>
            <w:r>
              <w:rPr>
                <w:b/>
              </w:rPr>
              <w:t>Tier</w:t>
            </w:r>
          </w:p>
        </w:tc>
        <w:tc>
          <w:tcPr>
            <w:tcW w:type="dxa" w:w="4309"/>
          </w:tcPr>
          <w:p>
            <w:r/>
            <w:r>
              <w:rPr>
                <w:b/>
              </w:rPr>
              <w:t>Control summary</w:t>
            </w:r>
          </w:p>
        </w:tc>
      </w:tr>
      <w:tr>
        <w:tc>
          <w:tcPr>
            <w:tcW w:type="dxa" w:w="1361"/>
          </w:tcPr>
          <w:p>
            <w:r>
              <w:t>AML.T0050</w:t>
            </w:r>
          </w:p>
        </w:tc>
        <w:tc>
          <w:tcPr>
            <w:tcW w:type="dxa" w:w="2551"/>
          </w:tcPr>
          <w:p>
            <w:r>
              <w:t>Command and Scripting Interpreter</w:t>
            </w:r>
          </w:p>
        </w:tc>
        <w:tc>
          <w:tcPr>
            <w:tcW w:type="dxa" w:w="1417"/>
          </w:tcPr>
          <w:p>
            <w:r>
              <w:t>Mitigated</w:t>
            </w:r>
          </w:p>
        </w:tc>
        <w:tc>
          <w:tcPr>
            <w:tcW w:type="dxa" w:w="4309"/>
          </w:tcPr>
          <w:p>
            <w:r>
              <w:t>Model output is parsed as strict JSON (analyzeIntent, generateOffer); ibn-core never executes model output as code or shell. No agent loop, no eval. Architectural elimination.</w:t>
            </w:r>
          </w:p>
        </w:tc>
      </w:tr>
      <w:tr>
        <w:tc>
          <w:tcPr>
            <w:tcW w:type="dxa" w:w="1361"/>
          </w:tcPr>
          <w:p>
            <w:r>
              <w:t>AML.T0051</w:t>
            </w:r>
          </w:p>
        </w:tc>
        <w:tc>
          <w:tcPr>
            <w:tcW w:type="dxa" w:w="2551"/>
          </w:tcPr>
          <w:p>
            <w:r>
              <w:t>LLM Prompt Injection</w:t>
            </w:r>
          </w:p>
        </w:tc>
        <w:tc>
          <w:tcPr>
            <w:tcW w:type="dxa" w:w="1417"/>
          </w:tcPr>
          <w:p>
            <w:r>
              <w:t>PartiallyMitigated</w:t>
            </w:r>
          </w:p>
        </w:tc>
        <w:tc>
          <w:tcPr>
            <w:tcW w:type="dxa" w:w="4309"/>
          </w:tcPr>
          <w:p>
            <w:r>
              <w:t>AI Gateway control ① (prompt-injection-detection.ts) — HIGH-tier signatures (jailbreak, prompt-override, reveal-prompt) block at INGEST; MEDIUM/LOW configurable. Gap: signature engine is regex-based and can be bypassed with sufficient obfuscation.</w:t>
            </w:r>
          </w:p>
        </w:tc>
      </w:tr>
      <w:tr>
        <w:tc>
          <w:tcPr>
            <w:tcW w:type="dxa" w:w="1361"/>
          </w:tcPr>
          <w:p>
            <w:r>
              <w:t>AML.T0051.000</w:t>
            </w:r>
          </w:p>
        </w:tc>
        <w:tc>
          <w:tcPr>
            <w:tcW w:type="dxa" w:w="2551"/>
          </w:tcPr>
          <w:p>
            <w:r>
              <w:t>LLM Prompt Injection: Direct</w:t>
            </w:r>
          </w:p>
        </w:tc>
        <w:tc>
          <w:tcPr>
            <w:tcW w:type="dxa" w:w="1417"/>
          </w:tcPr>
          <w:p>
            <w:r>
              <w:t>Mitigated</w:t>
            </w:r>
          </w:p>
        </w:tc>
        <w:tc>
          <w:tcPr>
            <w:tcW w:type="dxa" w:w="4309"/>
          </w:tcPr>
          <w:p>
            <w:r>
              <w:t>Same engine; direct attacks via the intent text field are the primary case the engine is tuned for. HIGH-tier matches block before TRANSLATING; the model never sees the payload.</w:t>
            </w:r>
          </w:p>
        </w:tc>
      </w:tr>
      <w:tr>
        <w:tc>
          <w:tcPr>
            <w:tcW w:type="dxa" w:w="1361"/>
          </w:tcPr>
          <w:p>
            <w:r>
              <w:t>AML.T0051.001</w:t>
            </w:r>
          </w:p>
        </w:tc>
        <w:tc>
          <w:tcPr>
            <w:tcW w:type="dxa" w:w="2551"/>
          </w:tcPr>
          <w:p>
            <w:r>
              <w:t>LLM Prompt Injection: Indirect</w:t>
            </w:r>
          </w:p>
        </w:tc>
        <w:tc>
          <w:tcPr>
            <w:tcW w:type="dxa" w:w="1417"/>
          </w:tcPr>
          <w:p>
            <w:r>
              <w:t>PartiallyMitigated</w:t>
            </w:r>
          </w:p>
        </w:tc>
        <w:tc>
          <w:tcPr>
            <w:tcW w:type="dxa" w:w="4309"/>
          </w:tcPr>
          <w:p>
            <w:r>
              <w:t>MCP back-end responses pass through DLP redaction before being added to the prompt context — limits attacker-controlled content that the model sees. Gap: a malicious MCP tool response could still embed instructions inside an allowlisted field.</w:t>
            </w:r>
          </w:p>
        </w:tc>
      </w:tr>
      <w:tr>
        <w:tc>
          <w:tcPr>
            <w:tcW w:type="dxa" w:w="1361"/>
          </w:tcPr>
          <w:p>
            <w:r>
              <w:t>AML.T0053</w:t>
            </w:r>
          </w:p>
        </w:tc>
        <w:tc>
          <w:tcPr>
            <w:tcW w:type="dxa" w:w="2551"/>
          </w:tcPr>
          <w:p>
            <w:r>
              <w:t>AI Agent Tool Invocation</w:t>
            </w:r>
          </w:p>
        </w:tc>
        <w:tc>
          <w:tcPr>
            <w:tcW w:type="dxa" w:w="1417"/>
          </w:tcPr>
          <w:p>
            <w:r>
              <w:t>Mitigated</w:t>
            </w:r>
          </w:p>
        </w:tc>
        <w:tc>
          <w:tcPr>
            <w:tcW w:type="dxa" w:w="4309"/>
          </w:tcPr>
          <w:p>
            <w:r>
              <w:t>ToolPolicyEngine RBAC deny-by-default per-role; admin-only operations (cancel_order, manage_api_keys) require admin role; refusal returns compliantFailure with auditable assessment.</w:t>
            </w:r>
          </w:p>
        </w:tc>
      </w:tr>
    </w:tbl>
    <w:p/>
    <w:p>
      <w:pPr>
        <w:pStyle w:val="Heading2"/>
      </w:pPr>
      <w:r>
        <w:t>4.6 Persistence (AML.TA0006)</w:t>
      </w:r>
    </w:p>
    <w:tbl>
      <w:tblPr>
        <w:tblStyle w:val="LightGrid-Accent1"/>
        <w:tblW w:type="auto" w:w="0"/>
        <w:tblLook w:firstColumn="1" w:firstRow="1" w:lastColumn="0" w:lastRow="0" w:noHBand="0" w:noVBand="1" w:val="04A0"/>
      </w:tblPr>
      <w:tblGrid>
        <w:gridCol w:w="2493"/>
        <w:gridCol w:w="2493"/>
        <w:gridCol w:w="2493"/>
        <w:gridCol w:w="2493"/>
      </w:tblGrid>
      <w:tr>
        <w:tc>
          <w:tcPr>
            <w:tcW w:type="dxa" w:w="1361"/>
          </w:tcPr>
          <w:p>
            <w:r/>
            <w:r>
              <w:rPr>
                <w:b/>
              </w:rPr>
              <w:t>ID</w:t>
            </w:r>
          </w:p>
        </w:tc>
        <w:tc>
          <w:tcPr>
            <w:tcW w:type="dxa" w:w="2551"/>
          </w:tcPr>
          <w:p>
            <w:r/>
            <w:r>
              <w:rPr>
                <w:b/>
              </w:rPr>
              <w:t>Technique</w:t>
            </w:r>
          </w:p>
        </w:tc>
        <w:tc>
          <w:tcPr>
            <w:tcW w:type="dxa" w:w="1417"/>
          </w:tcPr>
          <w:p>
            <w:r/>
            <w:r>
              <w:rPr>
                <w:b/>
              </w:rPr>
              <w:t>Tier</w:t>
            </w:r>
          </w:p>
        </w:tc>
        <w:tc>
          <w:tcPr>
            <w:tcW w:type="dxa" w:w="4309"/>
          </w:tcPr>
          <w:p>
            <w:r/>
            <w:r>
              <w:rPr>
                <w:b/>
              </w:rPr>
              <w:t>Control summary</w:t>
            </w:r>
          </w:p>
        </w:tc>
      </w:tr>
      <w:tr>
        <w:tc>
          <w:tcPr>
            <w:tcW w:type="dxa" w:w="1361"/>
          </w:tcPr>
          <w:p>
            <w:r>
              <w:t>AML.T0020</w:t>
            </w:r>
          </w:p>
        </w:tc>
        <w:tc>
          <w:tcPr>
            <w:tcW w:type="dxa" w:w="2551"/>
          </w:tcPr>
          <w:p>
            <w:r>
              <w:t>Poison Training Data</w:t>
            </w:r>
          </w:p>
        </w:tc>
        <w:tc>
          <w:tcPr>
            <w:tcW w:type="dxa" w:w="1417"/>
          </w:tcPr>
          <w:p>
            <w:r>
              <w:t>Open</w:t>
            </w:r>
          </w:p>
        </w:tc>
        <w:tc>
          <w:tcPr>
            <w:tcW w:type="dxa" w:w="4309"/>
          </w:tcPr>
          <w:p>
            <w:r>
              <w:t>Out of scope — ibn-core does not train or fine-tune the model; uses Anthropic Claude as a hosted inference endpoint. Model-side persistence is Anthropic's responsibility.</w:t>
            </w:r>
          </w:p>
        </w:tc>
      </w:tr>
    </w:tbl>
    <w:p/>
    <w:p>
      <w:pPr>
        <w:pStyle w:val="Heading2"/>
      </w:pPr>
      <w:r>
        <w:t>4.7 Defense Evasion (AML.TA0007)</w:t>
      </w:r>
    </w:p>
    <w:tbl>
      <w:tblPr>
        <w:tblStyle w:val="LightGrid-Accent1"/>
        <w:tblW w:type="auto" w:w="0"/>
        <w:tblLook w:firstColumn="1" w:firstRow="1" w:lastColumn="0" w:lastRow="0" w:noHBand="0" w:noVBand="1" w:val="04A0"/>
      </w:tblPr>
      <w:tblGrid>
        <w:gridCol w:w="2493"/>
        <w:gridCol w:w="2493"/>
        <w:gridCol w:w="2493"/>
        <w:gridCol w:w="2493"/>
      </w:tblGrid>
      <w:tr>
        <w:tc>
          <w:tcPr>
            <w:tcW w:type="dxa" w:w="1361"/>
          </w:tcPr>
          <w:p>
            <w:r/>
            <w:r>
              <w:rPr>
                <w:b/>
              </w:rPr>
              <w:t>ID</w:t>
            </w:r>
          </w:p>
        </w:tc>
        <w:tc>
          <w:tcPr>
            <w:tcW w:type="dxa" w:w="2551"/>
          </w:tcPr>
          <w:p>
            <w:r/>
            <w:r>
              <w:rPr>
                <w:b/>
              </w:rPr>
              <w:t>Technique</w:t>
            </w:r>
          </w:p>
        </w:tc>
        <w:tc>
          <w:tcPr>
            <w:tcW w:type="dxa" w:w="1417"/>
          </w:tcPr>
          <w:p>
            <w:r/>
            <w:r>
              <w:rPr>
                <w:b/>
              </w:rPr>
              <w:t>Tier</w:t>
            </w:r>
          </w:p>
        </w:tc>
        <w:tc>
          <w:tcPr>
            <w:tcW w:type="dxa" w:w="4309"/>
          </w:tcPr>
          <w:p>
            <w:r/>
            <w:r>
              <w:rPr>
                <w:b/>
              </w:rPr>
              <w:t>Control summary</w:t>
            </w:r>
          </w:p>
        </w:tc>
      </w:tr>
      <w:tr>
        <w:tc>
          <w:tcPr>
            <w:tcW w:type="dxa" w:w="1361"/>
          </w:tcPr>
          <w:p>
            <w:r>
              <w:t>AML.T0015</w:t>
            </w:r>
          </w:p>
        </w:tc>
        <w:tc>
          <w:tcPr>
            <w:tcW w:type="dxa" w:w="2551"/>
          </w:tcPr>
          <w:p>
            <w:r>
              <w:t>Evade AI Model</w:t>
            </w:r>
          </w:p>
        </w:tc>
        <w:tc>
          <w:tcPr>
            <w:tcW w:type="dxa" w:w="1417"/>
          </w:tcPr>
          <w:p>
            <w:r>
              <w:t>PartiallyMitigated</w:t>
            </w:r>
          </w:p>
        </w:tc>
        <w:tc>
          <w:tcPr>
            <w:tcW w:type="dxa" w:w="4309"/>
          </w:tcPr>
          <w:p>
            <w:r>
              <w:t>Inputs that mask intent (obfuscated prompt-injection, unicode tricks) may slip past regex signatures. Mitigation: HIGH-tier blockHigh is non-overridable; suspicious requests still produce auditable spans.</w:t>
            </w:r>
          </w:p>
        </w:tc>
      </w:tr>
      <w:tr>
        <w:tc>
          <w:tcPr>
            <w:tcW w:type="dxa" w:w="1361"/>
          </w:tcPr>
          <w:p>
            <w:r>
              <w:t>AML.T0054</w:t>
            </w:r>
          </w:p>
        </w:tc>
        <w:tc>
          <w:tcPr>
            <w:tcW w:type="dxa" w:w="2551"/>
          </w:tcPr>
          <w:p>
            <w:r>
              <w:t>LLM Jailbreak</w:t>
            </w:r>
          </w:p>
        </w:tc>
        <w:tc>
          <w:tcPr>
            <w:tcW w:type="dxa" w:w="1417"/>
          </w:tcPr>
          <w:p>
            <w:r>
              <w:t>Mitigated</w:t>
            </w:r>
          </w:p>
        </w:tc>
        <w:tc>
          <w:tcPr>
            <w:tcW w:type="dxa" w:w="4309"/>
          </w:tcPr>
          <w:p>
            <w:r>
              <w:t>AI Gateway control ① HIGH-tier patterns explicitly target jailbreak phrasing ("ignore previous instructions", "pretend you are…", "reveal your system prompt"). Combined with single-turn prompt design — no multi-turn manipulation surface.</w:t>
            </w:r>
          </w:p>
        </w:tc>
      </w:tr>
      <w:tr>
        <w:tc>
          <w:tcPr>
            <w:tcW w:type="dxa" w:w="1361"/>
          </w:tcPr>
          <w:p>
            <w:r>
              <w:t>AML.T0068</w:t>
            </w:r>
          </w:p>
        </w:tc>
        <w:tc>
          <w:tcPr>
            <w:tcW w:type="dxa" w:w="2551"/>
          </w:tcPr>
          <w:p>
            <w:r>
              <w:t>LLM Prompt Obfuscation</w:t>
            </w:r>
          </w:p>
        </w:tc>
        <w:tc>
          <w:tcPr>
            <w:tcW w:type="dxa" w:w="1417"/>
          </w:tcPr>
          <w:p>
            <w:r>
              <w:t>PartiallyMitigated</w:t>
            </w:r>
          </w:p>
        </w:tc>
        <w:tc>
          <w:tcPr>
            <w:tcW w:type="dxa" w:w="4309"/>
          </w:tcPr>
          <w:p>
            <w:r>
              <w:t>Regex signatures can be bypassed by sufficient obfuscation (base64, leetspeak, language switching). Mitigation: even an obfuscated jailbreak that slips the signature engine cannot extract data the model never sees (PII masker, DLP). Open as a known gap; addressed by defence-in-depth.</w:t>
            </w:r>
          </w:p>
        </w:tc>
      </w:tr>
    </w:tbl>
    <w:p/>
    <w:p>
      <w:pPr>
        <w:pStyle w:val="Heading2"/>
      </w:pPr>
      <w:r>
        <w:t>4.8 Credential Access (AML.TA0013)</w:t>
      </w:r>
    </w:p>
    <w:tbl>
      <w:tblPr>
        <w:tblStyle w:val="LightGrid-Accent1"/>
        <w:tblW w:type="auto" w:w="0"/>
        <w:tblLook w:firstColumn="1" w:firstRow="1" w:lastColumn="0" w:lastRow="0" w:noHBand="0" w:noVBand="1" w:val="04A0"/>
      </w:tblPr>
      <w:tblGrid>
        <w:gridCol w:w="2493"/>
        <w:gridCol w:w="2493"/>
        <w:gridCol w:w="2493"/>
        <w:gridCol w:w="2493"/>
      </w:tblGrid>
      <w:tr>
        <w:tc>
          <w:tcPr>
            <w:tcW w:type="dxa" w:w="1361"/>
          </w:tcPr>
          <w:p>
            <w:r/>
            <w:r>
              <w:rPr>
                <w:b/>
              </w:rPr>
              <w:t>ID</w:t>
            </w:r>
          </w:p>
        </w:tc>
        <w:tc>
          <w:tcPr>
            <w:tcW w:type="dxa" w:w="2551"/>
          </w:tcPr>
          <w:p>
            <w:r/>
            <w:r>
              <w:rPr>
                <w:b/>
              </w:rPr>
              <w:t>Technique</w:t>
            </w:r>
          </w:p>
        </w:tc>
        <w:tc>
          <w:tcPr>
            <w:tcW w:type="dxa" w:w="1417"/>
          </w:tcPr>
          <w:p>
            <w:r/>
            <w:r>
              <w:rPr>
                <w:b/>
              </w:rPr>
              <w:t>Tier</w:t>
            </w:r>
          </w:p>
        </w:tc>
        <w:tc>
          <w:tcPr>
            <w:tcW w:type="dxa" w:w="4309"/>
          </w:tcPr>
          <w:p>
            <w:r/>
            <w:r>
              <w:rPr>
                <w:b/>
              </w:rPr>
              <w:t>Control summary</w:t>
            </w:r>
          </w:p>
        </w:tc>
      </w:tr>
      <w:tr>
        <w:tc>
          <w:tcPr>
            <w:tcW w:type="dxa" w:w="1361"/>
          </w:tcPr>
          <w:p>
            <w:r>
              <w:t>AML.T0055</w:t>
            </w:r>
          </w:p>
        </w:tc>
        <w:tc>
          <w:tcPr>
            <w:tcW w:type="dxa" w:w="2551"/>
          </w:tcPr>
          <w:p>
            <w:r>
              <w:t>Unsecured Credentials</w:t>
            </w:r>
          </w:p>
        </w:tc>
        <w:tc>
          <w:tcPr>
            <w:tcW w:type="dxa" w:w="1417"/>
          </w:tcPr>
          <w:p>
            <w:r>
              <w:t>Mitigated</w:t>
            </w:r>
          </w:p>
        </w:tc>
        <w:tc>
          <w:tcPr>
            <w:tcW w:type="dxa" w:w="4309"/>
          </w:tcPr>
          <w:p>
            <w:r>
              <w:t>Direct ibn-core control: PII masker replaces email/phone/address with sentinels BEFORE any LLM call; per-role DLP allowlists redact non-allowlisted fields in MCP responses; the model literally never sees raw credentials.</w:t>
            </w:r>
          </w:p>
        </w:tc>
      </w:tr>
      <w:tr>
        <w:tc>
          <w:tcPr>
            <w:tcW w:type="dxa" w:w="1361"/>
          </w:tcPr>
          <w:p>
            <w:r>
              <w:t>AML.T0056</w:t>
            </w:r>
          </w:p>
        </w:tc>
        <w:tc>
          <w:tcPr>
            <w:tcW w:type="dxa" w:w="2551"/>
          </w:tcPr>
          <w:p>
            <w:r>
              <w:t>Extract LLM System Prompt</w:t>
            </w:r>
          </w:p>
        </w:tc>
        <w:tc>
          <w:tcPr>
            <w:tcW w:type="dxa" w:w="1417"/>
          </w:tcPr>
          <w:p>
            <w:r>
              <w:t>PartiallyMitigated</w:t>
            </w:r>
          </w:p>
        </w:tc>
        <w:tc>
          <w:tcPr>
            <w:tcW w:type="dxa" w:w="4309"/>
          </w:tcPr>
          <w:p>
            <w:r>
              <w:t>Jailbreak block (HIGH-tier) targets reveal-system-prompt phrasing. The scaffold isn't a secret; it's documented in claude-client.ts. Gap: a sufficiently clever paraphrase could still leak scaffold content.</w:t>
            </w:r>
          </w:p>
        </w:tc>
      </w:tr>
      <w:tr>
        <w:tc>
          <w:tcPr>
            <w:tcW w:type="dxa" w:w="1361"/>
          </w:tcPr>
          <w:p>
            <w:r>
              <w:t>AML.T0057</w:t>
            </w:r>
          </w:p>
        </w:tc>
        <w:tc>
          <w:tcPr>
            <w:tcW w:type="dxa" w:w="2551"/>
          </w:tcPr>
          <w:p>
            <w:r>
              <w:t>LLM Data Leakage</w:t>
            </w:r>
          </w:p>
        </w:tc>
        <w:tc>
          <w:tcPr>
            <w:tcW w:type="dxa" w:w="1417"/>
          </w:tcPr>
          <w:p>
            <w:r>
              <w:t>Mitigated</w:t>
            </w:r>
          </w:p>
        </w:tc>
        <w:tc>
          <w:tcPr>
            <w:tcW w:type="dxa" w:w="4309"/>
          </w:tcPr>
          <w:p>
            <w:r>
              <w:t>Containment-in-transit: PII masking on the way IN; per-role DLP on MCP responses on the way OUT before being added to context. Schema-preserving redaction means structure is preserved but no PII is ever in the prompt.</w:t>
            </w:r>
          </w:p>
        </w:tc>
      </w:tr>
    </w:tbl>
    <w:p/>
    <w:p>
      <w:pPr>
        <w:pStyle w:val="Heading2"/>
      </w:pPr>
      <w:r>
        <w:t>4.9 Discovery (AML.TA0008)</w:t>
      </w:r>
    </w:p>
    <w:tbl>
      <w:tblPr>
        <w:tblStyle w:val="LightGrid-Accent1"/>
        <w:tblW w:type="auto" w:w="0"/>
        <w:tblLook w:firstColumn="1" w:firstRow="1" w:lastColumn="0" w:lastRow="0" w:noHBand="0" w:noVBand="1" w:val="04A0"/>
      </w:tblPr>
      <w:tblGrid>
        <w:gridCol w:w="2493"/>
        <w:gridCol w:w="2493"/>
        <w:gridCol w:w="2493"/>
        <w:gridCol w:w="2493"/>
      </w:tblGrid>
      <w:tr>
        <w:tc>
          <w:tcPr>
            <w:tcW w:type="dxa" w:w="1361"/>
          </w:tcPr>
          <w:p>
            <w:r/>
            <w:r>
              <w:rPr>
                <w:b/>
              </w:rPr>
              <w:t>ID</w:t>
            </w:r>
          </w:p>
        </w:tc>
        <w:tc>
          <w:tcPr>
            <w:tcW w:type="dxa" w:w="2551"/>
          </w:tcPr>
          <w:p>
            <w:r/>
            <w:r>
              <w:rPr>
                <w:b/>
              </w:rPr>
              <w:t>Technique</w:t>
            </w:r>
          </w:p>
        </w:tc>
        <w:tc>
          <w:tcPr>
            <w:tcW w:type="dxa" w:w="1417"/>
          </w:tcPr>
          <w:p>
            <w:r/>
            <w:r>
              <w:rPr>
                <w:b/>
              </w:rPr>
              <w:t>Tier</w:t>
            </w:r>
          </w:p>
        </w:tc>
        <w:tc>
          <w:tcPr>
            <w:tcW w:type="dxa" w:w="4309"/>
          </w:tcPr>
          <w:p>
            <w:r/>
            <w:r>
              <w:rPr>
                <w:b/>
              </w:rPr>
              <w:t>Control summary</w:t>
            </w:r>
          </w:p>
        </w:tc>
      </w:tr>
      <w:tr>
        <w:tc>
          <w:tcPr>
            <w:tcW w:type="dxa" w:w="1361"/>
          </w:tcPr>
          <w:p>
            <w:r>
              <w:t>AML.T0013</w:t>
            </w:r>
          </w:p>
        </w:tc>
        <w:tc>
          <w:tcPr>
            <w:tcW w:type="dxa" w:w="2551"/>
          </w:tcPr>
          <w:p>
            <w:r>
              <w:t>Discover AI Model Ontology</w:t>
            </w:r>
          </w:p>
        </w:tc>
        <w:tc>
          <w:tcPr>
            <w:tcW w:type="dxa" w:w="1417"/>
          </w:tcPr>
          <w:p>
            <w:r>
              <w:t>PartiallyMitigated</w:t>
            </w:r>
          </w:p>
        </w:tc>
        <w:tc>
          <w:tcPr>
            <w:tcW w:type="dxa" w:w="4309"/>
          </w:tcPr>
          <w:p>
            <w:r>
              <w:t>The model and provider are publicly documented in the Component CR dependentModels annotation by design. Operationally not a defendable secret.</w:t>
            </w:r>
          </w:p>
        </w:tc>
      </w:tr>
      <w:tr>
        <w:tc>
          <w:tcPr>
            <w:tcW w:type="dxa" w:w="1361"/>
          </w:tcPr>
          <w:p>
            <w:r>
              <w:t>AML.T0014</w:t>
            </w:r>
          </w:p>
        </w:tc>
        <w:tc>
          <w:tcPr>
            <w:tcW w:type="dxa" w:w="2551"/>
          </w:tcPr>
          <w:p>
            <w:r>
              <w:t>Discover AI Model Family</w:t>
            </w:r>
          </w:p>
        </w:tc>
        <w:tc>
          <w:tcPr>
            <w:tcW w:type="dxa" w:w="1417"/>
          </w:tcPr>
          <w:p>
            <w:r>
              <w:t>PartiallyMitigated</w:t>
            </w:r>
          </w:p>
        </w:tc>
        <w:tc>
          <w:tcPr>
            <w:tcW w:type="dxa" w:w="4309"/>
          </w:tcPr>
          <w:p>
            <w:r>
              <w:t>Same — public by design. Disclosure is part of the AI Act Art. 50 transparency posture.</w:t>
            </w:r>
          </w:p>
        </w:tc>
      </w:tr>
      <w:tr>
        <w:tc>
          <w:tcPr>
            <w:tcW w:type="dxa" w:w="1361"/>
          </w:tcPr>
          <w:p>
            <w:r>
              <w:t>AML.T0044</w:t>
            </w:r>
          </w:p>
        </w:tc>
        <w:tc>
          <w:tcPr>
            <w:tcW w:type="dxa" w:w="2551"/>
          </w:tcPr>
          <w:p>
            <w:r>
              <w:t>Discover AI Artifacts</w:t>
            </w:r>
          </w:p>
        </w:tc>
        <w:tc>
          <w:tcPr>
            <w:tcW w:type="dxa" w:w="1417"/>
          </w:tcPr>
          <w:p>
            <w:r>
              <w:t>Mitigated</w:t>
            </w:r>
          </w:p>
        </w:tc>
        <w:tc>
          <w:tcPr>
            <w:tcW w:type="dxa" w:w="4309"/>
          </w:tcPr>
          <w:p>
            <w:r>
              <w:t>ibn-core has no user-uploaded model artefacts to discover; there is no artefact store.</w:t>
            </w:r>
          </w:p>
        </w:tc>
      </w:tr>
      <w:tr>
        <w:tc>
          <w:tcPr>
            <w:tcW w:type="dxa" w:w="1361"/>
          </w:tcPr>
          <w:p>
            <w:r>
              <w:t>AML.T0063</w:t>
            </w:r>
          </w:p>
        </w:tc>
        <w:tc>
          <w:tcPr>
            <w:tcW w:type="dxa" w:w="2551"/>
          </w:tcPr>
          <w:p>
            <w:r>
              <w:t>Discover AI Model Outputs</w:t>
            </w:r>
          </w:p>
        </w:tc>
        <w:tc>
          <w:tcPr>
            <w:tcW w:type="dxa" w:w="1417"/>
          </w:tcPr>
          <w:p>
            <w:r>
              <w:t>PartiallyMitigated</w:t>
            </w:r>
          </w:p>
        </w:tc>
        <w:tc>
          <w:tcPr>
            <w:tcW w:type="dxa" w:w="4309"/>
          </w:tcPr>
          <w:p>
            <w:r>
              <w:t>TMF921 responses contain the structured offer; discovery of model output structure is intentional. Gap: an attacker can map response variance to model behaviour.</w:t>
            </w:r>
          </w:p>
        </w:tc>
      </w:tr>
      <w:tr>
        <w:tc>
          <w:tcPr>
            <w:tcW w:type="dxa" w:w="1361"/>
          </w:tcPr>
          <w:p>
            <w:r>
              <w:t>AML.T0069</w:t>
            </w:r>
          </w:p>
        </w:tc>
        <w:tc>
          <w:tcPr>
            <w:tcW w:type="dxa" w:w="2551"/>
          </w:tcPr>
          <w:p>
            <w:r>
              <w:t>Discover LLM System Information</w:t>
            </w:r>
          </w:p>
        </w:tc>
        <w:tc>
          <w:tcPr>
            <w:tcW w:type="dxa" w:w="1417"/>
          </w:tcPr>
          <w:p>
            <w:r>
              <w:t>PartiallyMitigated</w:t>
            </w:r>
          </w:p>
        </w:tc>
        <w:tc>
          <w:tcPr>
            <w:tcW w:type="dxa" w:w="4309"/>
          </w:tcPr>
          <w:p>
            <w:r>
              <w:t>Combined defence with T0056. Architectural: scaffold is not loaded with operator secrets; only model name + extraction instructions.</w:t>
            </w:r>
          </w:p>
        </w:tc>
      </w:tr>
    </w:tbl>
    <w:p/>
    <w:p>
      <w:pPr>
        <w:pStyle w:val="Heading2"/>
      </w:pPr>
      <w:r>
        <w:t>4.10 Collection (AML.TA0009)</w:t>
      </w:r>
    </w:p>
    <w:tbl>
      <w:tblPr>
        <w:tblStyle w:val="LightGrid-Accent1"/>
        <w:tblW w:type="auto" w:w="0"/>
        <w:tblLook w:firstColumn="1" w:firstRow="1" w:lastColumn="0" w:lastRow="0" w:noHBand="0" w:noVBand="1" w:val="04A0"/>
      </w:tblPr>
      <w:tblGrid>
        <w:gridCol w:w="2493"/>
        <w:gridCol w:w="2493"/>
        <w:gridCol w:w="2493"/>
        <w:gridCol w:w="2493"/>
      </w:tblGrid>
      <w:tr>
        <w:tc>
          <w:tcPr>
            <w:tcW w:type="dxa" w:w="1361"/>
          </w:tcPr>
          <w:p>
            <w:r/>
            <w:r>
              <w:rPr>
                <w:b/>
              </w:rPr>
              <w:t>ID</w:t>
            </w:r>
          </w:p>
        </w:tc>
        <w:tc>
          <w:tcPr>
            <w:tcW w:type="dxa" w:w="2551"/>
          </w:tcPr>
          <w:p>
            <w:r/>
            <w:r>
              <w:rPr>
                <w:b/>
              </w:rPr>
              <w:t>Technique</w:t>
            </w:r>
          </w:p>
        </w:tc>
        <w:tc>
          <w:tcPr>
            <w:tcW w:type="dxa" w:w="1417"/>
          </w:tcPr>
          <w:p>
            <w:r/>
            <w:r>
              <w:rPr>
                <w:b/>
              </w:rPr>
              <w:t>Tier</w:t>
            </w:r>
          </w:p>
        </w:tc>
        <w:tc>
          <w:tcPr>
            <w:tcW w:type="dxa" w:w="4309"/>
          </w:tcPr>
          <w:p>
            <w:r/>
            <w:r>
              <w:rPr>
                <w:b/>
              </w:rPr>
              <w:t>Control summary</w:t>
            </w:r>
          </w:p>
        </w:tc>
      </w:tr>
      <w:tr>
        <w:tc>
          <w:tcPr>
            <w:tcW w:type="dxa" w:w="1361"/>
          </w:tcPr>
          <w:p>
            <w:r>
              <w:t>AML.T0035</w:t>
            </w:r>
          </w:p>
        </w:tc>
        <w:tc>
          <w:tcPr>
            <w:tcW w:type="dxa" w:w="2551"/>
          </w:tcPr>
          <w:p>
            <w:r>
              <w:t>Data from Information Repositories</w:t>
            </w:r>
          </w:p>
        </w:tc>
        <w:tc>
          <w:tcPr>
            <w:tcW w:type="dxa" w:w="1417"/>
          </w:tcPr>
          <w:p>
            <w:r>
              <w:t>Mitigated</w:t>
            </w:r>
          </w:p>
        </w:tc>
        <w:tc>
          <w:tcPr>
            <w:tcW w:type="dxa" w:w="4309"/>
          </w:tcPr>
          <w:p>
            <w:r>
              <w:t>MCP back-end access gated by ToolPolicyEngine deny-by-default; per-role allowlists limit what each principal can pull. Reads from customer-data, knowledge-graph and BSS are scoped.</w:t>
            </w:r>
          </w:p>
        </w:tc>
      </w:tr>
    </w:tbl>
    <w:p/>
    <w:p>
      <w:pPr>
        <w:pStyle w:val="Heading2"/>
      </w:pPr>
      <w:r>
        <w:t>4.11 Exfiltration (AML.TA0010)</w:t>
      </w:r>
    </w:p>
    <w:tbl>
      <w:tblPr>
        <w:tblStyle w:val="LightGrid-Accent1"/>
        <w:tblW w:type="auto" w:w="0"/>
        <w:tblLook w:firstColumn="1" w:firstRow="1" w:lastColumn="0" w:lastRow="0" w:noHBand="0" w:noVBand="1" w:val="04A0"/>
      </w:tblPr>
      <w:tblGrid>
        <w:gridCol w:w="2493"/>
        <w:gridCol w:w="2493"/>
        <w:gridCol w:w="2493"/>
        <w:gridCol w:w="2493"/>
      </w:tblGrid>
      <w:tr>
        <w:tc>
          <w:tcPr>
            <w:tcW w:type="dxa" w:w="1361"/>
          </w:tcPr>
          <w:p>
            <w:r/>
            <w:r>
              <w:rPr>
                <w:b/>
              </w:rPr>
              <w:t>ID</w:t>
            </w:r>
          </w:p>
        </w:tc>
        <w:tc>
          <w:tcPr>
            <w:tcW w:type="dxa" w:w="2551"/>
          </w:tcPr>
          <w:p>
            <w:r/>
            <w:r>
              <w:rPr>
                <w:b/>
              </w:rPr>
              <w:t>Technique</w:t>
            </w:r>
          </w:p>
        </w:tc>
        <w:tc>
          <w:tcPr>
            <w:tcW w:type="dxa" w:w="1417"/>
          </w:tcPr>
          <w:p>
            <w:r/>
            <w:r>
              <w:rPr>
                <w:b/>
              </w:rPr>
              <w:t>Tier</w:t>
            </w:r>
          </w:p>
        </w:tc>
        <w:tc>
          <w:tcPr>
            <w:tcW w:type="dxa" w:w="4309"/>
          </w:tcPr>
          <w:p>
            <w:r/>
            <w:r>
              <w:rPr>
                <w:b/>
              </w:rPr>
              <w:t>Control summary</w:t>
            </w:r>
          </w:p>
        </w:tc>
      </w:tr>
      <w:tr>
        <w:tc>
          <w:tcPr>
            <w:tcW w:type="dxa" w:w="1361"/>
          </w:tcPr>
          <w:p>
            <w:r>
              <w:t>AML.T0024</w:t>
            </w:r>
          </w:p>
        </w:tc>
        <w:tc>
          <w:tcPr>
            <w:tcW w:type="dxa" w:w="2551"/>
          </w:tcPr>
          <w:p>
            <w:r>
              <w:t>Exfiltration via AI Inference API</w:t>
            </w:r>
          </w:p>
        </w:tc>
        <w:tc>
          <w:tcPr>
            <w:tcW w:type="dxa" w:w="1417"/>
          </w:tcPr>
          <w:p>
            <w:r>
              <w:t>Mitigated</w:t>
            </w:r>
          </w:p>
        </w:tc>
        <w:tc>
          <w:tcPr>
            <w:tcW w:type="dxa" w:w="4309"/>
          </w:tcPr>
          <w:p>
            <w:r>
              <w:t>The model only ever sees masked data (PII redacted in, DLP redacted out). An attacker exfiltrating via inference can only pull what the model legitimately knows — which excludes raw customer data by construction.</w:t>
            </w:r>
          </w:p>
        </w:tc>
      </w:tr>
      <w:tr>
        <w:tc>
          <w:tcPr>
            <w:tcW w:type="dxa" w:w="1361"/>
          </w:tcPr>
          <w:p>
            <w:r>
              <w:t>AML.T0024.002</w:t>
            </w:r>
          </w:p>
        </w:tc>
        <w:tc>
          <w:tcPr>
            <w:tcW w:type="dxa" w:w="2551"/>
          </w:tcPr>
          <w:p>
            <w:r>
              <w:t>Extract AI Model (via excessive queries)</w:t>
            </w:r>
          </w:p>
        </w:tc>
        <w:tc>
          <w:tcPr>
            <w:tcW w:type="dxa" w:w="1417"/>
          </w:tcPr>
          <w:p>
            <w:r>
              <w:t>Open</w:t>
            </w:r>
          </w:p>
        </w:tc>
        <w:tc>
          <w:tcPr>
            <w:tcW w:type="dxa" w:w="4309"/>
          </w:tcPr>
          <w:p>
            <w:r>
              <w:t>Out of scope — model is hosted by Anthropic; model extraction is Anthropic's risk to bear, not ibn-core's. Per-API-key request quotas (recommended) would further limit lateral risk.</w:t>
            </w:r>
          </w:p>
        </w:tc>
      </w:tr>
      <w:tr>
        <w:tc>
          <w:tcPr>
            <w:tcW w:type="dxa" w:w="1361"/>
          </w:tcPr>
          <w:p>
            <w:r>
              <w:t>AML.T0025</w:t>
            </w:r>
          </w:p>
        </w:tc>
        <w:tc>
          <w:tcPr>
            <w:tcW w:type="dxa" w:w="2551"/>
          </w:tcPr>
          <w:p>
            <w:r>
              <w:t>Exfiltration via Cyber Means</w:t>
            </w:r>
          </w:p>
        </w:tc>
        <w:tc>
          <w:tcPr>
            <w:tcW w:type="dxa" w:w="1417"/>
          </w:tcPr>
          <w:p>
            <w:r>
              <w:t>PartiallyMitigated</w:t>
            </w:r>
          </w:p>
        </w:tc>
        <w:tc>
          <w:tcPr>
            <w:tcW w:type="dxa" w:w="4309"/>
          </w:tcPr>
          <w:p>
            <w:r>
              <w:t>Istio egress template restricts outbound. Gap: hard-enforced egress allowlist is operator-side as noted in ATT&amp;CK T1041 finding.</w:t>
            </w:r>
          </w:p>
        </w:tc>
      </w:tr>
    </w:tbl>
    <w:p/>
    <w:p>
      <w:pPr>
        <w:pStyle w:val="Heading2"/>
      </w:pPr>
      <w:r>
        <w:t>4.12 Impact (AML.TA0011)</w:t>
      </w:r>
    </w:p>
    <w:tbl>
      <w:tblPr>
        <w:tblStyle w:val="LightGrid-Accent1"/>
        <w:tblW w:type="auto" w:w="0"/>
        <w:tblLook w:firstColumn="1" w:firstRow="1" w:lastColumn="0" w:lastRow="0" w:noHBand="0" w:noVBand="1" w:val="04A0"/>
      </w:tblPr>
      <w:tblGrid>
        <w:gridCol w:w="2493"/>
        <w:gridCol w:w="2493"/>
        <w:gridCol w:w="2493"/>
        <w:gridCol w:w="2493"/>
      </w:tblGrid>
      <w:tr>
        <w:tc>
          <w:tcPr>
            <w:tcW w:type="dxa" w:w="1361"/>
          </w:tcPr>
          <w:p>
            <w:r/>
            <w:r>
              <w:rPr>
                <w:b/>
              </w:rPr>
              <w:t>ID</w:t>
            </w:r>
          </w:p>
        </w:tc>
        <w:tc>
          <w:tcPr>
            <w:tcW w:type="dxa" w:w="2551"/>
          </w:tcPr>
          <w:p>
            <w:r/>
            <w:r>
              <w:rPr>
                <w:b/>
              </w:rPr>
              <w:t>Technique</w:t>
            </w:r>
          </w:p>
        </w:tc>
        <w:tc>
          <w:tcPr>
            <w:tcW w:type="dxa" w:w="1417"/>
          </w:tcPr>
          <w:p>
            <w:r/>
            <w:r>
              <w:rPr>
                <w:b/>
              </w:rPr>
              <w:t>Tier</w:t>
            </w:r>
          </w:p>
        </w:tc>
        <w:tc>
          <w:tcPr>
            <w:tcW w:type="dxa" w:w="4309"/>
          </w:tcPr>
          <w:p>
            <w:r/>
            <w:r>
              <w:rPr>
                <w:b/>
              </w:rPr>
              <w:t>Control summary</w:t>
            </w:r>
          </w:p>
        </w:tc>
      </w:tr>
      <w:tr>
        <w:tc>
          <w:tcPr>
            <w:tcW w:type="dxa" w:w="1361"/>
          </w:tcPr>
          <w:p>
            <w:r>
              <w:t>AML.T0029</w:t>
            </w:r>
          </w:p>
        </w:tc>
        <w:tc>
          <w:tcPr>
            <w:tcW w:type="dxa" w:w="2551"/>
          </w:tcPr>
          <w:p>
            <w:r>
              <w:t>Denial of AI Service</w:t>
            </w:r>
          </w:p>
        </w:tc>
        <w:tc>
          <w:tcPr>
            <w:tcW w:type="dxa" w:w="1417"/>
          </w:tcPr>
          <w:p>
            <w:r>
              <w:t>PartiallyMitigated</w:t>
            </w:r>
          </w:p>
        </w:tc>
        <w:tc>
          <w:tcPr>
            <w:tcW w:type="dxa" w:w="4309"/>
          </w:tcPr>
          <w:p>
            <w:r>
              <w:t>HPA + Istio rate-limit + AI-Gateway short-circuit at boundary. Refusal at INGEST = 12 ms / 0 tokens (Scenario D). Gap: no per-API-key quota; chaff attacks at the model API level still consume tokens.</w:t>
            </w:r>
          </w:p>
        </w:tc>
      </w:tr>
      <w:tr>
        <w:tc>
          <w:tcPr>
            <w:tcW w:type="dxa" w:w="1361"/>
          </w:tcPr>
          <w:p>
            <w:r>
              <w:t>AML.T0034</w:t>
            </w:r>
          </w:p>
        </w:tc>
        <w:tc>
          <w:tcPr>
            <w:tcW w:type="dxa" w:w="2551"/>
          </w:tcPr>
          <w:p>
            <w:r>
              <w:t>Cost Harvesting (Denial of Wallet)</w:t>
            </w:r>
          </w:p>
        </w:tc>
        <w:tc>
          <w:tcPr>
            <w:tcW w:type="dxa" w:w="1417"/>
          </w:tcPr>
          <w:p>
            <w:r>
              <w:t>Mitigated</w:t>
            </w:r>
          </w:p>
        </w:tc>
        <w:tc>
          <w:tcPr>
            <w:tcW w:type="dxa" w:w="4309"/>
          </w:tcPr>
          <w:p>
            <w:r>
              <w:t>AI Gateway gates the model call: D scenario blocks before LLM call (0 tokens), C blocks after one LLM call (saves the offer-generation call). max_tokens cap bounds per-call spend. Architectural cost protection.</w:t>
            </w:r>
          </w:p>
        </w:tc>
      </w:tr>
      <w:tr>
        <w:tc>
          <w:tcPr>
            <w:tcW w:type="dxa" w:w="1361"/>
          </w:tcPr>
          <w:p>
            <w:r>
              <w:t>AML.T0046</w:t>
            </w:r>
          </w:p>
        </w:tc>
        <w:tc>
          <w:tcPr>
            <w:tcW w:type="dxa" w:w="2551"/>
          </w:tcPr>
          <w:p>
            <w:r>
              <w:t>Spamming AI System with Chaff Data</w:t>
            </w:r>
          </w:p>
        </w:tc>
        <w:tc>
          <w:tcPr>
            <w:tcW w:type="dxa" w:w="1417"/>
          </w:tcPr>
          <w:p>
            <w:r>
              <w:t>PartiallyMitigated</w:t>
            </w:r>
          </w:p>
        </w:tc>
        <w:tc>
          <w:tcPr>
            <w:tcW w:type="dxa" w:w="4309"/>
          </w:tcPr>
          <w:p>
            <w:r>
              <w:t>Combined defence with T0029 + T0034. Gap: an attacker with a legitimate api-key can submit many well-formed intents that pass the gateway but waste compute.</w:t>
            </w:r>
          </w:p>
        </w:tc>
      </w:tr>
      <w:tr>
        <w:tc>
          <w:tcPr>
            <w:tcW w:type="dxa" w:w="1361"/>
          </w:tcPr>
          <w:p>
            <w:r>
              <w:t>AML.T0048.001</w:t>
            </w:r>
          </w:p>
        </w:tc>
        <w:tc>
          <w:tcPr>
            <w:tcW w:type="dxa" w:w="2551"/>
          </w:tcPr>
          <w:p>
            <w:r>
              <w:t>External Harms: Reputational</w:t>
            </w:r>
          </w:p>
        </w:tc>
        <w:tc>
          <w:tcPr>
            <w:tcW w:type="dxa" w:w="1417"/>
          </w:tcPr>
          <w:p>
            <w:r>
              <w:t>PartiallyMitigated</w:t>
            </w:r>
          </w:p>
        </w:tc>
        <w:tc>
          <w:tcPr>
            <w:tcW w:type="dxa" w:w="4309"/>
          </w:tcPr>
          <w:p>
            <w:r>
              <w:t>AI Gateway prevents the model from being coerced into offensive output via jailbreak; refusals are observable, not silent. Gap: cannot prevent reputational harm if the system is used as intended but the offer surface is misperceived externally.</w:t>
            </w:r>
          </w:p>
        </w:tc>
      </w:tr>
      <w:tr>
        <w:tc>
          <w:tcPr>
            <w:tcW w:type="dxa" w:w="1361"/>
          </w:tcPr>
          <w:p>
            <w:r>
              <w:t>AML.T0048.002</w:t>
            </w:r>
          </w:p>
        </w:tc>
        <w:tc>
          <w:tcPr>
            <w:tcW w:type="dxa" w:w="2551"/>
          </w:tcPr>
          <w:p>
            <w:r>
              <w:t>External Harms: Societal</w:t>
            </w:r>
          </w:p>
        </w:tc>
        <w:tc>
          <w:tcPr>
            <w:tcW w:type="dxa" w:w="1417"/>
          </w:tcPr>
          <w:p>
            <w:r>
              <w:t>PartiallyMitigated</w:t>
            </w:r>
          </w:p>
        </w:tc>
        <w:tc>
          <w:tcPr>
            <w:tcW w:type="dxa" w:w="4309"/>
          </w:tcPr>
          <w:p>
            <w:r>
              <w:t>Same as above. Mitigated indirectly via EU AI Act Art. 50 transparency posture (whitepaper Part B).</w:t>
            </w:r>
          </w:p>
        </w:tc>
      </w:tr>
      <w:tr>
        <w:tc>
          <w:tcPr>
            <w:tcW w:type="dxa" w:w="1361"/>
          </w:tcPr>
          <w:p>
            <w:r>
              <w:t>AML.T0048.003</w:t>
            </w:r>
          </w:p>
        </w:tc>
        <w:tc>
          <w:tcPr>
            <w:tcW w:type="dxa" w:w="2551"/>
          </w:tcPr>
          <w:p>
            <w:r>
              <w:t>External Harms: User</w:t>
            </w:r>
          </w:p>
        </w:tc>
        <w:tc>
          <w:tcPr>
            <w:tcW w:type="dxa" w:w="1417"/>
          </w:tcPr>
          <w:p>
            <w:r>
              <w:t>PartiallyMitigated</w:t>
            </w:r>
          </w:p>
        </w:tc>
        <w:tc>
          <w:tcPr>
            <w:tcW w:type="dxa" w:w="4309"/>
          </w:tcPr>
          <w:p>
            <w:r>
              <w:t>Tool-policy RBAC bounds the actions a misused account can take; explicit human acceptance of the offer is required before any network change is provisioned.</w:t>
            </w:r>
          </w:p>
        </w:tc>
      </w:tr>
      <w:tr>
        <w:tc>
          <w:tcPr>
            <w:tcW w:type="dxa" w:w="1361"/>
          </w:tcPr>
          <w:p>
            <w:r>
              <w:t>AML.T0048.004</w:t>
            </w:r>
          </w:p>
        </w:tc>
        <w:tc>
          <w:tcPr>
            <w:tcW w:type="dxa" w:w="2551"/>
          </w:tcPr>
          <w:p>
            <w:r>
              <w:t>External Harms: AI Intellectual Property Theft</w:t>
            </w:r>
          </w:p>
        </w:tc>
        <w:tc>
          <w:tcPr>
            <w:tcW w:type="dxa" w:w="1417"/>
          </w:tcPr>
          <w:p>
            <w:r>
              <w:t>Open</w:t>
            </w:r>
          </w:p>
        </w:tc>
        <w:tc>
          <w:tcPr>
            <w:tcW w:type="dxa" w:w="4309"/>
          </w:tcPr>
          <w:p>
            <w:r>
              <w:t>Model IP is Anthropic's; ibn-core does not own model weights. Prompt-scaffold IP is published in the open core. Not defended because not defendable for an open-source project.</w:t>
            </w:r>
          </w:p>
        </w:tc>
      </w:tr>
      <w:tr>
        <w:tc>
          <w:tcPr>
            <w:tcW w:type="dxa" w:w="1361"/>
          </w:tcPr>
          <w:p>
            <w:r>
              <w:t>AML.T0061</w:t>
            </w:r>
          </w:p>
        </w:tc>
        <w:tc>
          <w:tcPr>
            <w:tcW w:type="dxa" w:w="2551"/>
          </w:tcPr>
          <w:p>
            <w:r>
              <w:t>LLM Prompt Self-Replication</w:t>
            </w:r>
          </w:p>
        </w:tc>
        <w:tc>
          <w:tcPr>
            <w:tcW w:type="dxa" w:w="1417"/>
          </w:tcPr>
          <w:p>
            <w:r>
              <w:t>Mitigated</w:t>
            </w:r>
          </w:p>
        </w:tc>
        <w:tc>
          <w:tcPr>
            <w:tcW w:type="dxa" w:w="4309"/>
          </w:tcPr>
          <w:p>
            <w:r>
              <w:t>Architectural: ibn-core's prompts are single-turn JSON extractions. Model output is parsed as JSON and never fed back as a prompt. No multi-turn loop exists for self-replication to take effect.</w:t>
            </w:r>
          </w:p>
        </w:tc>
      </w:tr>
      <w:tr>
        <w:tc>
          <w:tcPr>
            <w:tcW w:type="dxa" w:w="1361"/>
          </w:tcPr>
          <w:p>
            <w:r>
              <w:t>AML.T0066</w:t>
            </w:r>
          </w:p>
        </w:tc>
        <w:tc>
          <w:tcPr>
            <w:tcW w:type="dxa" w:w="2551"/>
          </w:tcPr>
          <w:p>
            <w:r>
              <w:t>LLM Trusted Output Components Manipulation</w:t>
            </w:r>
          </w:p>
        </w:tc>
        <w:tc>
          <w:tcPr>
            <w:tcW w:type="dxa" w:w="1417"/>
          </w:tcPr>
          <w:p>
            <w:r>
              <w:t>PartiallyMitigated</w:t>
            </w:r>
          </w:p>
        </w:tc>
        <w:tc>
          <w:tcPr>
            <w:tcW w:type="dxa" w:w="4309"/>
          </w:tcPr>
          <w:p>
            <w:r>
              <w:t>Model output is parsed as strict JSON; downstream effects (order, quote) are RBAC-gated. Gap: if the model is coerced into inflating a discount, the operator-side guardrails (pricing sanity checks) catch it — but those are operator-side, not in the open core.</w:t>
            </w:r>
          </w:p>
        </w:tc>
      </w:tr>
    </w:tbl>
    <w:p/>
    <w:p>
      <w:pPr>
        <w:pStyle w:val="Heading1"/>
      </w:pPr>
      <w:r>
        <w:t>5. Cross-reference to OWASP LLM Top 10 (2025)</w:t>
      </w:r>
    </w:p>
    <w:p>
      <w:r>
        <w:t>ibn-core's three AI Gateway controls map directly onto the OWASP LLM Top 10 categories that bear on a tool-using inference application. The table is a cross-walk; OWASP categories not listed (LLM10 Unbounded Consumption for inference-side compute exhaustion against the model provider) are partly out of scope because the model provider operates the protections.</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
              <w:rPr>
                <w:b/>
              </w:rPr>
              <w:t>OWASP LLM (2025)</w:t>
            </w:r>
          </w:p>
        </w:tc>
        <w:tc>
          <w:tcPr>
            <w:tcW w:type="dxa" w:w="3324"/>
          </w:tcPr>
          <w:p>
            <w:r/>
            <w:r>
              <w:rPr>
                <w:b/>
              </w:rPr>
              <w:t>ATLAS technique(s)</w:t>
            </w:r>
          </w:p>
        </w:tc>
        <w:tc>
          <w:tcPr>
            <w:tcW w:type="dxa" w:w="3324"/>
          </w:tcPr>
          <w:p>
            <w:r/>
            <w:r>
              <w:rPr>
                <w:b/>
              </w:rPr>
              <w:t>ibn-core control</w:t>
            </w:r>
          </w:p>
        </w:tc>
      </w:tr>
      <w:tr>
        <w:tc>
          <w:tcPr>
            <w:tcW w:type="dxa" w:w="3324"/>
          </w:tcPr>
          <w:p>
            <w:r>
              <w:t>LLM01:2025 Prompt Injection</w:t>
            </w:r>
          </w:p>
        </w:tc>
        <w:tc>
          <w:tcPr>
            <w:tcW w:type="dxa" w:w="3324"/>
          </w:tcPr>
          <w:p>
            <w:r>
              <w:t>AML.T0051 / .000 Direct / .001 Indirect</w:t>
            </w:r>
          </w:p>
        </w:tc>
        <w:tc>
          <w:tcPr>
            <w:tcW w:type="dxa" w:w="3324"/>
          </w:tcPr>
          <w:p>
            <w:r>
              <w:t>AI Gateway control ① (prompt-injection-detection.ts) — HIGH-tier signatures block at INGEST.</w:t>
            </w:r>
          </w:p>
        </w:tc>
      </w:tr>
      <w:tr>
        <w:tc>
          <w:tcPr>
            <w:tcW w:type="dxa" w:w="3324"/>
          </w:tcPr>
          <w:p>
            <w:r>
              <w:t>LLM02:2025 Sensitive Information Disclosure</w:t>
            </w:r>
          </w:p>
        </w:tc>
        <w:tc>
          <w:tcPr>
            <w:tcW w:type="dxa" w:w="3324"/>
          </w:tcPr>
          <w:p>
            <w:r>
              <w:t>AML.T0055 Unsecured Credentials; AML.T0057 LLM Data Leakage</w:t>
            </w:r>
          </w:p>
        </w:tc>
        <w:tc>
          <w:tcPr>
            <w:tcW w:type="dxa" w:w="3324"/>
          </w:tcPr>
          <w:p>
            <w:r>
              <w:t>AI Gateway control ② — PII masking on the way in; per-role DLP allowlists on the way out.</w:t>
            </w:r>
          </w:p>
        </w:tc>
      </w:tr>
      <w:tr>
        <w:tc>
          <w:tcPr>
            <w:tcW w:type="dxa" w:w="3324"/>
          </w:tcPr>
          <w:p>
            <w:r>
              <w:t>LLM03:2025 Supply Chain</w:t>
            </w:r>
          </w:p>
        </w:tc>
        <w:tc>
          <w:tcPr>
            <w:tcW w:type="dxa" w:w="3324"/>
          </w:tcPr>
          <w:p>
            <w:r>
              <w:t>AML.T0010.001 AI Software (supply chain)</w:t>
            </w:r>
          </w:p>
        </w:tc>
        <w:tc>
          <w:tcPr>
            <w:tcW w:type="dxa" w:w="3324"/>
          </w:tcPr>
          <w:p>
            <w:r>
              <w:t>CodeQL CI + dependabot; cosign / SBOM publication is the recommended remediation.</w:t>
            </w:r>
          </w:p>
        </w:tc>
      </w:tr>
      <w:tr>
        <w:tc>
          <w:tcPr>
            <w:tcW w:type="dxa" w:w="3324"/>
          </w:tcPr>
          <w:p>
            <w:r>
              <w:t>LLM04:2025 Data and Model Poisoning</w:t>
            </w:r>
          </w:p>
        </w:tc>
        <w:tc>
          <w:tcPr>
            <w:tcW w:type="dxa" w:w="3324"/>
          </w:tcPr>
          <w:p>
            <w:r>
              <w:t>AML.T0020 Poison Training Data</w:t>
            </w:r>
          </w:p>
        </w:tc>
        <w:tc>
          <w:tcPr>
            <w:tcW w:type="dxa" w:w="3324"/>
          </w:tcPr>
          <w:p>
            <w:r>
              <w:t>Out of scope — ibn-core does not train. Model integrity is Anthropic's responsibility.</w:t>
            </w:r>
          </w:p>
        </w:tc>
      </w:tr>
      <w:tr>
        <w:tc>
          <w:tcPr>
            <w:tcW w:type="dxa" w:w="3324"/>
          </w:tcPr>
          <w:p>
            <w:r>
              <w:t>LLM05:2025 Improper Output Handling</w:t>
            </w:r>
          </w:p>
        </w:tc>
        <w:tc>
          <w:tcPr>
            <w:tcW w:type="dxa" w:w="3324"/>
          </w:tcPr>
          <w:p>
            <w:r>
              <w:t>AML.T0050 Command &amp; Scripting Interpreter; AML.T0066 LLM Trusted Output Manipulation</w:t>
            </w:r>
          </w:p>
        </w:tc>
        <w:tc>
          <w:tcPr>
            <w:tcW w:type="dxa" w:w="3324"/>
          </w:tcPr>
          <w:p>
            <w:r>
              <w:t>Strict JSON parsing of model output; ToolPolicyEngine RBAC bounds downstream effects.</w:t>
            </w:r>
          </w:p>
        </w:tc>
      </w:tr>
      <w:tr>
        <w:tc>
          <w:tcPr>
            <w:tcW w:type="dxa" w:w="3324"/>
          </w:tcPr>
          <w:p>
            <w:r>
              <w:t>LLM06:2025 Excessive Agency</w:t>
            </w:r>
          </w:p>
        </w:tc>
        <w:tc>
          <w:tcPr>
            <w:tcW w:type="dxa" w:w="3324"/>
          </w:tcPr>
          <w:p>
            <w:r>
              <w:t>AML.T0053 AI Agent Tool Invocation</w:t>
            </w:r>
          </w:p>
        </w:tc>
        <w:tc>
          <w:tcPr>
            <w:tcW w:type="dxa" w:w="3324"/>
          </w:tcPr>
          <w:p>
            <w:r>
              <w:t>AI Gateway control ③ — ToolPolicyEngine deny-by-default; admin-only ops gated.</w:t>
            </w:r>
          </w:p>
        </w:tc>
      </w:tr>
      <w:tr>
        <w:tc>
          <w:tcPr>
            <w:tcW w:type="dxa" w:w="3324"/>
          </w:tcPr>
          <w:p>
            <w:r>
              <w:t>LLM07:2025 System Prompt Leakage</w:t>
            </w:r>
          </w:p>
        </w:tc>
        <w:tc>
          <w:tcPr>
            <w:tcW w:type="dxa" w:w="3324"/>
          </w:tcPr>
          <w:p>
            <w:r>
              <w:t>AML.T0056 Extract LLM System Prompt</w:t>
            </w:r>
          </w:p>
        </w:tc>
        <w:tc>
          <w:tcPr>
            <w:tcW w:type="dxa" w:w="3324"/>
          </w:tcPr>
          <w:p>
            <w:r>
              <w:t>Jailbreak block (HIGH-tier) targets reveal-prompt phrasing; scaffold is documented and not secret-bearing.</w:t>
            </w:r>
          </w:p>
        </w:tc>
      </w:tr>
      <w:tr>
        <w:tc>
          <w:tcPr>
            <w:tcW w:type="dxa" w:w="3324"/>
          </w:tcPr>
          <w:p>
            <w:r>
              <w:t>LLM08:2025 Vector and Embedding Weaknesses</w:t>
            </w:r>
          </w:p>
        </w:tc>
        <w:tc>
          <w:tcPr>
            <w:tcW w:type="dxa" w:w="3324"/>
          </w:tcPr>
          <w:p>
            <w:r>
              <w:t>AML.T0070 RAG Poisoning</w:t>
            </w:r>
          </w:p>
        </w:tc>
        <w:tc>
          <w:tcPr>
            <w:tcW w:type="dxa" w:w="3324"/>
          </w:tcPr>
          <w:p>
            <w:r>
              <w:t>Not applicable — ibn-core does not use RAG.</w:t>
            </w:r>
          </w:p>
        </w:tc>
      </w:tr>
      <w:tr>
        <w:tc>
          <w:tcPr>
            <w:tcW w:type="dxa" w:w="3324"/>
          </w:tcPr>
          <w:p>
            <w:r>
              <w:t>LLM09:2025 Misinformation</w:t>
            </w:r>
          </w:p>
        </w:tc>
        <w:tc>
          <w:tcPr>
            <w:tcW w:type="dxa" w:w="3324"/>
          </w:tcPr>
          <w:p>
            <w:r>
              <w:t>AML.T0066 LLM Trusted Output Manipulation</w:t>
            </w:r>
          </w:p>
        </w:tc>
        <w:tc>
          <w:tcPr>
            <w:tcW w:type="dxa" w:w="3324"/>
          </w:tcPr>
          <w:p>
            <w:r>
              <w:t>Strict JSON schema; downstream pricing/order checks are operator-side.</w:t>
            </w:r>
          </w:p>
        </w:tc>
      </w:tr>
      <w:tr>
        <w:tc>
          <w:tcPr>
            <w:tcW w:type="dxa" w:w="3324"/>
          </w:tcPr>
          <w:p>
            <w:r>
              <w:t>LLM10:2025 Unbounded Consumption</w:t>
            </w:r>
          </w:p>
        </w:tc>
        <w:tc>
          <w:tcPr>
            <w:tcW w:type="dxa" w:w="3324"/>
          </w:tcPr>
          <w:p>
            <w:r>
              <w:t>AML.T0029 DoS; AML.T0034 Cost Harvesting; AML.T0046 Chaff</w:t>
            </w:r>
          </w:p>
        </w:tc>
        <w:tc>
          <w:tcPr>
            <w:tcW w:type="dxa" w:w="3324"/>
          </w:tcPr>
          <w:p>
            <w:r>
              <w:t>max_tokens cap; HPA; Istio rate-limit; AI Gateway short-circuit. Per-API-key quota is a recommended addition.</w:t>
            </w:r>
          </w:p>
        </w:tc>
      </w:tr>
    </w:tbl>
    <w:p/>
    <w:p>
      <w:pPr>
        <w:pStyle w:val="Heading1"/>
      </w:pPr>
      <w:r>
        <w:t>6. Top recommendations</w:t>
      </w:r>
    </w:p>
    <w:p>
      <w:pPr>
        <w:pStyle w:val="ListBullet"/>
      </w:pPr>
      <w:r>
        <w:rPr>
          <w:b/>
        </w:rPr>
        <w:t>Per-API-key request and token-budget quotas</w:t>
      </w:r>
    </w:p>
    <w:p>
      <w:r>
        <w:t>Closes the remaining residual on AML.T0029 (Denial of AI Service), AML.T0034 (Cost Harvesting at scale by a legitimate-but-abusive caller), and AML.T0046 (Chaff). Implementation lives in the AI Gateway and ToolPolicyEngine layer.</w:t>
      </w:r>
    </w:p>
    <w:p>
      <w:pPr>
        <w:pStyle w:val="ListBullet"/>
      </w:pPr>
      <w:r>
        <w:rPr>
          <w:b/>
        </w:rPr>
        <w:t>Image signing and SBOM publication</w:t>
      </w:r>
    </w:p>
    <w:p>
      <w:r>
        <w:t>Closes AML.T0010.001 (AI Software supply chain). Same finding as ATT&amp;CK T1195 — one fix solves both. Recommend cosign signing for chart-released images, plus CycloneDX or SPDX SBOM with each release.</w:t>
      </w:r>
    </w:p>
    <w:p>
      <w:pPr>
        <w:pStyle w:val="ListBullet"/>
      </w:pPr>
      <w:r>
        <w:rPr>
          <w:b/>
        </w:rPr>
        <w:t>Prompt-injection engine update cadence</w:t>
      </w:r>
    </w:p>
    <w:p>
      <w:r>
        <w:t>AML.T0051 and AML.T0068 (Obfuscation) are PartiallyMitigated because the regex signature engine has a known evasion surface. Recommend quarterly updates against the OWASP LLM01 reference corpus and the published ATLAS case studies.</w:t>
      </w:r>
    </w:p>
    <w:p>
      <w:pPr>
        <w:pStyle w:val="ListBullet"/>
      </w:pPr>
      <w:r>
        <w:rPr>
          <w:b/>
        </w:rPr>
        <w:t>Defence-in-depth on indirect prompt injection</w:t>
      </w:r>
    </w:p>
    <w:p>
      <w:r>
        <w:t>AML.T0051.001 (Indirect) is the highest-residual LLM-specific technique. The DLP-redacted MCP responses are the primary defence today. Recommend explicit content-type tagging on MCP fields that may carry attacker-controlled content so the prompt builder can wrap them in untrusted-content sentinels.</w:t>
      </w:r>
    </w:p>
    <w:p>
      <w:pPr>
        <w:pStyle w:val="ListBullet"/>
      </w:pPr>
      <w:r>
        <w:rPr>
          <w:b/>
        </w:rPr>
        <w:t>Operator-side guardrails on downstream pricing/order</w:t>
      </w:r>
    </w:p>
    <w:p>
      <w:r>
        <w:t>AML.T0066 (LLM Trusted Output Manipulation) is bounded by the strict JSON schema but the actual price coercion has to be caught by the operator's BSS pricing guardrails. Document this responsibility in the deployer guidance (whitepaper Part C).</w:t>
      </w:r>
    </w:p>
    <w:p>
      <w:pPr>
        <w:pStyle w:val="Heading1"/>
      </w:pPr>
      <w:r>
        <w:t>7. Companion artefacts</w:t>
      </w:r>
    </w:p>
    <w:p>
      <w:pPr>
        <w:pStyle w:val="ListBullet"/>
      </w:pPr>
      <w:r>
        <w:rPr>
          <w:rFonts w:ascii="Consolas" w:hAnsi="Consolas"/>
          <w:b/>
          <w:sz w:val="20"/>
        </w:rPr>
        <w:t>ibn-core_atlas_layer.json</w:t>
      </w:r>
    </w:p>
    <w:p>
      <w:r>
        <w:t>MITRE ATLAS Navigator layer. Load at https://mitre-atlas.github.io/atlas-navigator/.</w:t>
      </w:r>
    </w:p>
    <w:p>
      <w:pPr>
        <w:pStyle w:val="ListBullet"/>
      </w:pPr>
      <w:r>
        <w:rPr>
          <w:rFonts w:ascii="Consolas" w:hAnsi="Consolas"/>
          <w:b/>
          <w:sz w:val="20"/>
        </w:rPr>
        <w:t>ibn-core_atlas_heatmap.html</w:t>
      </w:r>
    </w:p>
    <w:p>
      <w:r>
        <w:t>Standalone interactive heatmap (no external assets).</w:t>
      </w:r>
    </w:p>
    <w:p>
      <w:pPr>
        <w:pStyle w:val="ListBullet"/>
      </w:pPr>
      <w:r>
        <w:rPr>
          <w:rFonts w:ascii="Consolas" w:hAnsi="Consolas"/>
          <w:b/>
          <w:sz w:val="20"/>
        </w:rPr>
        <w:t>ibn-core_attack_layer.json + ibn-core_attack_heatmap.html + ibn-core_attack_assessment.docx</w:t>
      </w:r>
    </w:p>
    <w:p>
      <w:r>
        <w:t>Companion ATT&amp;CK Enterprise assessment. Read alongside — ATT&amp;CK covers the platform/runtime threat surface; ATLAS covers the LLM-specific threat surface.</w:t>
      </w:r>
    </w:p>
    <w:p>
      <w:pPr>
        <w:pStyle w:val="ListBullet"/>
      </w:pPr>
      <w:r>
        <w:rPr>
          <w:rFonts w:ascii="Consolas" w:hAnsi="Consolas"/>
          <w:b/>
          <w:sz w:val="20"/>
        </w:rPr>
        <w:t>docs/whitepapers/ibn-core_whitepaper.docx</w:t>
      </w:r>
    </w:p>
    <w:p>
      <w:r>
        <w:t>Solution + EU AI Act compliance whitepaper. Provides architectural context.</w:t>
      </w:r>
    </w:p>
    <w:p>
      <w:pPr>
        <w:pStyle w:val="ListBullet"/>
      </w:pPr>
      <w:r>
        <w:rPr>
          <w:rFonts w:ascii="Consolas" w:hAnsi="Consolas"/>
          <w:b/>
          <w:sz w:val="20"/>
        </w:rPr>
        <w:t>docs/compliance/UC006_ODA_CANVAS_IMPLEMENTATION.html</w:t>
      </w:r>
    </w:p>
    <w:p>
      <w:r>
        <w:t>ODA Canvas implementation view — names the controls cited above.</w:t>
      </w:r>
    </w:p>
    <w:p>
      <w:pPr>
        <w:pStyle w:val="Heading1"/>
      </w:pPr>
      <w:r>
        <w:t>8. Caveats</w:t>
      </w:r>
    </w:p>
    <w:p>
      <w:r>
        <w:t>1. The ATLAS framework is younger than ATT&amp;CK Enterprise and evolves quickly. The technique set used here is the 2026-04-22 snapshot fetched from github.com/mitre-atlas/atlas-data. Re-fetch and re-assess on a quarterly cadence.</w:t>
      </w:r>
    </w:p>
    <w:p>
      <w:r>
        <w:t>2. The published mitre-atlas-mcp package (v1.0.x on PyPI as of 2026-05-28) is a scaffold stub; every tool returns the same placeholder. v1.1.x is announced. Re-evaluate the MCP path when v1.1.x ships with real data ingestion.</w:t>
      </w:r>
    </w:p>
    <w:p>
      <w:r>
        <w:t>3. The assessment treats the open core. Operator-side deployments may add defences (WAF, per-key quotas, BSS pricing sanity checks) that strengthen the posture, or may weaken it by configuration (e.g., disabling MEDIUM-tier injection patterns). Operators should re-score against their own runtime.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6D28D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