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lang w:val="hy-AM"/>
        </w:rPr>
        <w:t>ՀԱՅԱՍՏԱՆԻ</w:t>
      </w:r>
      <w:r>
        <w:rPr>
          <w:rFonts w:ascii="Arial Armenian" w:hAnsi="Arial Armenian"/>
          <w:b/>
          <w:bCs/>
          <w:sz w:val="28"/>
          <w:szCs w:val="28"/>
          <w:lang w:val="hy-AM"/>
        </w:rPr>
        <w:t xml:space="preserve"> </w:t>
      </w:r>
      <w:r>
        <w:rPr>
          <w:rFonts w:cs="Arial" w:ascii="Arial" w:hAnsi="Arial"/>
          <w:b/>
          <w:bCs/>
          <w:sz w:val="28"/>
          <w:szCs w:val="28"/>
          <w:lang w:val="hy-AM"/>
        </w:rPr>
        <w:t>ԱԶԳԱՅԻՆ</w:t>
      </w:r>
      <w:r>
        <w:rPr>
          <w:rFonts w:ascii="Arial Armenian" w:hAnsi="Arial Armenian"/>
          <w:b/>
          <w:bCs/>
          <w:sz w:val="28"/>
          <w:szCs w:val="28"/>
          <w:lang w:val="hy-AM"/>
        </w:rPr>
        <w:t xml:space="preserve"> </w:t>
      </w:r>
      <w:r>
        <w:rPr>
          <w:rFonts w:cs="Arial" w:ascii="Arial" w:hAnsi="Arial"/>
          <w:b/>
          <w:bCs/>
          <w:sz w:val="28"/>
          <w:szCs w:val="28"/>
          <w:lang w:val="hy-AM"/>
        </w:rPr>
        <w:t>ՊՈԼԻՏԵԽՆԻԿԱԿԱՆ</w:t>
      </w:r>
      <w:r>
        <w:rPr>
          <w:rFonts w:ascii="Arial Armenian" w:hAnsi="Arial Armenian"/>
          <w:b/>
          <w:bCs/>
          <w:sz w:val="28"/>
          <w:szCs w:val="28"/>
          <w:lang w:val="hy-AM"/>
        </w:rPr>
        <w:t xml:space="preserve"> </w:t>
      </w:r>
      <w:r>
        <w:rPr>
          <w:rFonts w:cs="Arial" w:ascii="Arial" w:hAnsi="Arial"/>
          <w:b/>
          <w:bCs/>
          <w:sz w:val="28"/>
          <w:szCs w:val="28"/>
          <w:lang w:val="hy-AM"/>
        </w:rPr>
        <w:t>ՀԱՄԱԼՍԱՐԱՆ</w:t>
      </w:r>
    </w:p>
    <w:p>
      <w:pPr>
        <w:pStyle w:val="Normal"/>
        <w:bidi w:val="0"/>
        <w:spacing w:lineRule="auto" w:line="360"/>
        <w:jc w:val="start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bidi w:val="0"/>
        <w:spacing w:lineRule="auto" w:line="360"/>
        <w:jc w:val="start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bidi w:val="0"/>
        <w:spacing w:lineRule="auto" w:line="360"/>
        <w:jc w:val="start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bidi w:val="0"/>
        <w:spacing w:lineRule="auto" w:line="360"/>
        <w:jc w:val="start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bidi w:val="0"/>
        <w:spacing w:lineRule="auto" w:line="360"/>
        <w:jc w:val="start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bidi w:val="0"/>
        <w:spacing w:lineRule="auto" w:line="360"/>
        <w:jc w:val="start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bidi w:val="0"/>
        <w:spacing w:lineRule="auto" w:line="360"/>
        <w:jc w:val="start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bidi w:val="0"/>
        <w:spacing w:lineRule="auto" w:line="360"/>
        <w:jc w:val="start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bidi w:val="0"/>
        <w:spacing w:lineRule="auto" w:line="360"/>
        <w:jc w:val="start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bidi w:val="0"/>
        <w:spacing w:lineRule="auto" w:line="360"/>
        <w:jc w:val="start"/>
        <w:rPr>
          <w:rFonts w:ascii="Arial Armenian" w:hAnsi="Arial Armenian"/>
          <w:b/>
          <w:bCs/>
          <w:szCs w:val="24"/>
          <w:lang w:val="hy-AM"/>
        </w:rPr>
      </w:pPr>
      <w:r>
        <w:rPr>
          <w:rFonts w:ascii="Arial Armenian" w:hAnsi="Arial Armenian"/>
          <w:b/>
          <w:bCs/>
          <w:szCs w:val="24"/>
          <w:lang w:val="hy-AM"/>
        </w:rPr>
      </w:r>
    </w:p>
    <w:p>
      <w:pPr>
        <w:pStyle w:val="Normal"/>
        <w:bidi w:val="0"/>
        <w:spacing w:lineRule="auto" w:line="360"/>
        <w:jc w:val="start"/>
        <w:rPr>
          <w:szCs w:val="24"/>
          <w:lang w:val="hy-AM"/>
        </w:rPr>
      </w:pPr>
      <w:r>
        <w:rPr>
          <w:rFonts w:cs="Arial" w:ascii="Arial" w:hAnsi="Arial"/>
          <w:b/>
          <w:bCs/>
          <w:szCs w:val="24"/>
          <w:lang w:val="hy-AM"/>
        </w:rPr>
      </w:r>
    </w:p>
    <w:p>
      <w:pPr>
        <w:pStyle w:val="Normal"/>
        <w:bidi w:val="0"/>
        <w:spacing w:lineRule="auto" w:line="360"/>
        <w:jc w:val="start"/>
        <w:rPr>
          <w:szCs w:val="24"/>
          <w:lang w:val="hy-AM"/>
        </w:rPr>
      </w:pPr>
      <w:r>
        <w:rPr>
          <w:rFonts w:cs="Arial" w:ascii="Arial" w:hAnsi="Arial"/>
          <w:b/>
          <w:bCs/>
          <w:szCs w:val="24"/>
          <w:lang w:val="hy-AM"/>
        </w:rPr>
      </w:r>
    </w:p>
    <w:p>
      <w:pPr>
        <w:pStyle w:val="Normal"/>
        <w:bidi w:val="0"/>
        <w:spacing w:lineRule="auto" w:line="360"/>
        <w:jc w:val="start"/>
        <w:rPr>
          <w:szCs w:val="24"/>
          <w:lang w:val="hy-AM"/>
        </w:rPr>
      </w:pPr>
      <w:r>
        <w:rPr>
          <w:rFonts w:cs="Arial" w:ascii="Arial" w:hAnsi="Arial"/>
          <w:b/>
          <w:bCs/>
          <w:szCs w:val="24"/>
          <w:lang w:val="hy-AM"/>
        </w:rPr>
      </w:r>
    </w:p>
    <w:p>
      <w:pPr>
        <w:pStyle w:val="Normal"/>
        <w:bidi w:val="0"/>
        <w:spacing w:lineRule="auto" w:line="360"/>
        <w:jc w:val="start"/>
        <w:rPr>
          <w:szCs w:val="24"/>
          <w:lang w:val="hy-AM"/>
        </w:rPr>
      </w:pPr>
      <w:r>
        <w:rPr>
          <w:rFonts w:cs="Arial" w:ascii="Arial" w:hAnsi="Arial"/>
          <w:b/>
          <w:bCs/>
          <w:szCs w:val="24"/>
          <w:lang w:val="hy-AM"/>
        </w:rPr>
      </w:r>
    </w:p>
    <w:p>
      <w:pPr>
        <w:pStyle w:val="Normal"/>
        <w:bidi w:val="0"/>
        <w:spacing w:lineRule="auto" w:line="360"/>
        <w:jc w:val="start"/>
        <w:rPr>
          <w:szCs w:val="24"/>
          <w:lang w:val="hy-AM"/>
        </w:rPr>
      </w:pPr>
      <w:r>
        <w:rPr>
          <w:rFonts w:cs="Arial" w:ascii="Arial" w:hAnsi="Arial"/>
          <w:b/>
          <w:bCs/>
          <w:szCs w:val="24"/>
          <w:lang w:val="hy-AM"/>
        </w:rPr>
        <w:t>Թեմա։</w:t>
      </w:r>
      <w:r>
        <w:rPr>
          <w:rFonts w:ascii="Arial Armenian" w:hAnsi="Arial Armenian"/>
          <w:b/>
          <w:bCs/>
          <w:szCs w:val="24"/>
          <w:lang w:val="hy-AM"/>
        </w:rPr>
        <w:t xml:space="preserve"> </w:t>
      </w:r>
      <w:r>
        <w:rPr>
          <w:rStyle w:val="Strong"/>
          <w:rFonts w:cs="Arial" w:ascii="Arial" w:hAnsi="Arial"/>
          <w:szCs w:val="24"/>
          <w:lang w:val="hy-AM"/>
        </w:rPr>
        <w:t>Ֆիշինգային հարձակումներ և GoPhish գործիքի ուսումնասիրություն</w:t>
      </w:r>
    </w:p>
    <w:p>
      <w:pPr>
        <w:pStyle w:val="Normal"/>
        <w:bidi w:val="0"/>
        <w:spacing w:lineRule="auto" w:line="360"/>
        <w:jc w:val="start"/>
        <w:rPr>
          <w:szCs w:val="24"/>
          <w:lang w:val="hy-AM"/>
        </w:rPr>
      </w:pPr>
      <w:r>
        <w:rPr>
          <w:rFonts w:cs="Arial" w:ascii="Arial" w:hAnsi="Arial"/>
          <w:b/>
          <w:bCs/>
          <w:szCs w:val="24"/>
          <w:lang w:val="hy-AM"/>
        </w:rPr>
        <w:t>Խումբ։</w:t>
      </w:r>
      <w:r>
        <w:rPr>
          <w:rFonts w:ascii="Arial Armenian" w:hAnsi="Arial Armenian"/>
          <w:b/>
          <w:bCs/>
          <w:szCs w:val="24"/>
          <w:lang w:val="hy-AM"/>
        </w:rPr>
        <w:t xml:space="preserve"> </w:t>
      </w:r>
      <w:r>
        <w:rPr>
          <w:rFonts w:cs="Arial" w:ascii="Arial" w:hAnsi="Arial"/>
          <w:b/>
          <w:bCs/>
          <w:szCs w:val="24"/>
          <w:lang w:val="hy-AM"/>
        </w:rPr>
        <w:t>ՏՏ</w:t>
      </w:r>
      <w:r>
        <w:rPr>
          <w:rFonts w:ascii="Arial Armenian" w:hAnsi="Arial Armenian"/>
          <w:b/>
          <w:bCs/>
          <w:szCs w:val="24"/>
          <w:lang w:val="hy-AM"/>
        </w:rPr>
        <w:t>455</w:t>
      </w:r>
    </w:p>
    <w:p>
      <w:pPr>
        <w:pStyle w:val="Normal"/>
        <w:bidi w:val="0"/>
        <w:spacing w:lineRule="auto" w:line="360"/>
        <w:jc w:val="start"/>
        <w:rPr>
          <w:szCs w:val="24"/>
          <w:lang w:val="hy-AM"/>
        </w:rPr>
      </w:pPr>
      <w:r>
        <w:rPr>
          <w:rStyle w:val="Strong"/>
          <w:rFonts w:cs="Arial" w:ascii="Arial" w:hAnsi="Arial"/>
          <w:b/>
          <w:bCs/>
          <w:szCs w:val="24"/>
          <w:lang w:val="hy-AM"/>
        </w:rPr>
        <w:t>Ուսանող։</w:t>
      </w:r>
      <w:r>
        <w:rPr>
          <w:rStyle w:val="Strong"/>
          <w:rFonts w:ascii="Arial Armenian" w:hAnsi="Arial Armenian"/>
          <w:b/>
          <w:bCs/>
          <w:szCs w:val="24"/>
          <w:lang w:val="hy-AM"/>
        </w:rPr>
        <w:t xml:space="preserve"> </w:t>
      </w:r>
      <w:r>
        <w:rPr>
          <w:rStyle w:val="Strong"/>
          <w:rFonts w:cs="Arial" w:ascii="Arial" w:hAnsi="Arial"/>
          <w:b/>
          <w:bCs/>
          <w:szCs w:val="24"/>
          <w:lang w:val="hy-AM"/>
        </w:rPr>
        <w:t>Պոլիխատկո Վլադիմիր</w:t>
      </w:r>
    </w:p>
    <w:p>
      <w:pPr>
        <w:pStyle w:val="BodyText"/>
        <w:bidi w:val="0"/>
        <w:spacing w:lineRule="auto" w:line="360"/>
        <w:rPr>
          <w:rStyle w:val="Strong"/>
        </w:rPr>
      </w:pPr>
      <w:r>
        <w:rPr/>
      </w:r>
    </w:p>
    <w:p>
      <w:pPr>
        <w:pStyle w:val="BodyText"/>
        <w:bidi w:val="0"/>
        <w:spacing w:lineRule="auto" w:line="360"/>
        <w:rPr>
          <w:rStyle w:val="Strong"/>
        </w:rPr>
      </w:pPr>
      <w:r>
        <w:rPr/>
      </w:r>
    </w:p>
    <w:p>
      <w:pPr>
        <w:pStyle w:val="BodyText"/>
        <w:bidi w:val="0"/>
        <w:spacing w:lineRule="auto" w:line="360"/>
        <w:rPr>
          <w:rStyle w:val="Strong"/>
        </w:rPr>
      </w:pPr>
      <w:r>
        <w:rPr/>
      </w:r>
    </w:p>
    <w:p>
      <w:pPr>
        <w:pStyle w:val="BodyText"/>
        <w:bidi w:val="0"/>
        <w:spacing w:lineRule="auto" w:line="360"/>
        <w:rPr>
          <w:rStyle w:val="Strong"/>
        </w:rPr>
      </w:pPr>
      <w:r>
        <w:rPr/>
      </w:r>
    </w:p>
    <w:p>
      <w:pPr>
        <w:pStyle w:val="BodyText"/>
        <w:bidi w:val="0"/>
        <w:spacing w:lineRule="auto" w:line="360"/>
        <w:rPr>
          <w:rStyle w:val="Strong"/>
        </w:rPr>
      </w:pPr>
      <w:r>
        <w:rPr/>
      </w:r>
    </w:p>
    <w:p>
      <w:pPr>
        <w:pStyle w:val="BodyText"/>
        <w:bidi w:val="0"/>
        <w:spacing w:lineRule="auto" w:line="360"/>
        <w:rPr>
          <w:rStyle w:val="Strong"/>
        </w:rPr>
      </w:pPr>
      <w:r>
        <w:rPr/>
      </w:r>
    </w:p>
    <w:p>
      <w:pPr>
        <w:pStyle w:val="BodyText"/>
        <w:bidi w:val="0"/>
        <w:spacing w:lineRule="auto" w:line="360"/>
        <w:rPr>
          <w:rStyle w:val="Strong"/>
        </w:rPr>
      </w:pPr>
      <w:r>
        <w:rPr/>
      </w:r>
    </w:p>
    <w:p>
      <w:pPr>
        <w:pStyle w:val="BodyText"/>
        <w:bidi w:val="0"/>
        <w:spacing w:lineRule="auto" w:line="360"/>
        <w:rPr>
          <w:rStyle w:val="Strong"/>
        </w:rPr>
      </w:pPr>
      <w:r>
        <w:rPr/>
      </w:r>
    </w:p>
    <w:p>
      <w:pPr>
        <w:pStyle w:val="BodyText"/>
        <w:bidi w:val="0"/>
        <w:spacing w:lineRule="auto" w:line="360"/>
        <w:rPr>
          <w:rStyle w:val="Strong"/>
        </w:rPr>
      </w:pPr>
      <w:r>
        <w:rPr/>
      </w:r>
    </w:p>
    <w:p>
      <w:pPr>
        <w:pStyle w:val="BodyText"/>
        <w:bidi w:val="0"/>
        <w:spacing w:lineRule="auto" w:line="360"/>
        <w:rPr>
          <w:rStyle w:val="Strong"/>
        </w:rPr>
      </w:pPr>
      <w:r>
        <w:rPr/>
      </w:r>
    </w:p>
    <w:p>
      <w:pPr>
        <w:pStyle w:val="BodyText"/>
        <w:bidi w:val="0"/>
        <w:spacing w:lineRule="auto" w:line="360"/>
        <w:rPr>
          <w:rStyle w:val="Strong"/>
        </w:rPr>
      </w:pPr>
      <w:r>
        <w:rPr/>
      </w:r>
    </w:p>
    <w:p>
      <w:pPr>
        <w:pStyle w:val="Heading1"/>
        <w:bidi w:val="0"/>
        <w:spacing w:lineRule="auto" w:line="360"/>
        <w:rPr/>
      </w:pPr>
      <w:r>
        <w:rPr/>
        <w:t>Ներածություն</w:t>
      </w:r>
    </w:p>
    <w:p>
      <w:pPr>
        <w:pStyle w:val="BodyText"/>
        <w:bidi w:val="0"/>
        <w:spacing w:lineRule="auto" w:line="360"/>
        <w:rPr/>
      </w:pPr>
      <w:r>
        <w:rPr/>
        <w:t>Ժամանակակից աշխարհում էլեկտրոնային փոստը և վեբ ծառայությունները լայնորեն օգտագործվում են տեղեկատվության փոխանակման և տարբեր առաջադրանքների կատարման համար։ Միևնույն ժամանակ դրանք կարող են օգտագործվել չարագործների կողմից ֆիշինգային հարձակումներ իրականացնելու նպատակով, որոնց միջոցով փորձ է արվում ստանալ գաղտնի տեղեկություններ կամ օգտատիրոջը դրդել կատարել անցանկալի գործողություններ։</w:t>
      </w:r>
    </w:p>
    <w:p>
      <w:pPr>
        <w:pStyle w:val="BodyText"/>
        <w:bidi w:val="0"/>
        <w:spacing w:lineRule="auto" w:line="360"/>
        <w:rPr/>
      </w:pPr>
      <w:r>
        <w:rPr/>
        <w:t>Ֆիշինգը սոցիալական ինժեներիայի տարածված տեսակներից մեկն է։ Այն կարող է իրականացվել էլեկտրոնային նամակների, կեղծ վեբ էջերի, սոցիալական ցանցերի հաղորդագրությունների և օգտատերերի հետ փոխգործակցության այլ միջոցների միջոցով։</w:t>
      </w:r>
    </w:p>
    <w:p>
      <w:pPr>
        <w:pStyle w:val="BodyText"/>
        <w:bidi w:val="0"/>
        <w:spacing w:lineRule="auto" w:line="360"/>
        <w:rPr/>
      </w:pPr>
      <w:r>
        <w:rPr/>
        <w:t>Նման հարձակումներն ուսումնասիրելու համար վերահսկվող միջավայրում օգտագործվում է GoPhish գործիքը, որը նախատեսված է ֆիշինգային սիմուլյացիաներ իրականացնելու և օգտատերերին տեղեկատվական անվտանգության հիմունքները սովորեցնելու համար։</w:t>
      </w:r>
    </w:p>
    <w:p>
      <w:pPr>
        <w:pStyle w:val="BodyText"/>
        <w:bidi w:val="0"/>
        <w:spacing w:lineRule="auto" w:line="360"/>
        <w:rPr/>
      </w:pPr>
      <w:r>
        <w:rPr/>
        <w:t>Լաբորատոր աշխատանքի նպատակն է ուսումնասիրել ֆիշինգային հարձակումների հիմնական սկզբունքները, դրանցից պաշտպանվելու եղանակները և GoPhish գործիքի հիմնական հնարավորությունները։</w:t>
      </w:r>
    </w:p>
    <w:p>
      <w:pPr>
        <w:pStyle w:val="Heading1"/>
        <w:bidi w:val="0"/>
        <w:spacing w:lineRule="auto" w:line="360"/>
        <w:rPr/>
      </w:pPr>
      <w:r>
        <w:rPr/>
        <w:t>1. Ի՞նչ է ֆիշինգային հարձակումը</w:t>
      </w:r>
    </w:p>
    <w:p>
      <w:pPr>
        <w:pStyle w:val="BodyText"/>
        <w:bidi w:val="0"/>
        <w:spacing w:lineRule="auto" w:line="360"/>
        <w:rPr/>
      </w:pPr>
      <w:r>
        <w:rPr/>
        <w:t>Ֆիշինգային հարձակումը սոցիալական ինժեներիայի տեսակ է, որի ընթացքում չարագործը փորձում է խաբեության միջոցով օգտատիրոջից ստանալ գաղտնի տեղեկություններ, դրդել նրան անցնել որոշակի հղումով կամ կատարել որևէ գործողություն։</w:t>
      </w:r>
    </w:p>
    <w:p>
      <w:pPr>
        <w:pStyle w:val="BodyText"/>
        <w:bidi w:val="0"/>
        <w:spacing w:lineRule="auto" w:line="360"/>
        <w:rPr/>
      </w:pPr>
      <w:r>
        <w:rPr/>
        <w:t>Հաճախ նման հարձակումներն իրականացվում են էլեկտրոնային նամակների միջոցով, որոնք նմանակում են հայտնի կազմակերպությունների, բանկերի, սոցիալական ցանցերի կամ տեխնիկական աջակցության ծառայությունների հաղորդագրությունները։</w:t>
      </w:r>
    </w:p>
    <w:p>
      <w:pPr>
        <w:pStyle w:val="BodyText"/>
        <w:bidi w:val="0"/>
        <w:spacing w:lineRule="auto" w:line="360"/>
        <w:rPr/>
      </w:pPr>
      <w:r>
        <w:rPr/>
        <w:t>Օրինակ՝ օգտատերը կարող է ստանալ նամակ, որտեղ նշվում է, որ իր հաշվում կասկածելի ակտիվություն է հայտնաբերվել։ Նամակը պարունակում է հղում, որի միջոցով առաջարկվում է ստուգել հաշիվը։ Եթե օգտատերը չի ստուգում հաղորդագրության իսկությունը և անցնում է հղումով, նա կարող է հայտնվել կեղծ վեբ կայքում։</w:t>
      </w:r>
    </w:p>
    <w:p>
      <w:pPr>
        <w:pStyle w:val="BodyText"/>
        <w:bidi w:val="0"/>
        <w:spacing w:lineRule="auto" w:line="360"/>
        <w:rPr/>
      </w:pPr>
      <w:r>
        <w:rPr/>
        <w:t>Ֆիշինգի հիմնական առանձնահատկությունն օգտատիրոջ վստահության, վախի կամ շտապողականության զգացողության օգտագործումն է։</w:t>
      </w:r>
    </w:p>
    <w:p>
      <w:pPr>
        <w:pStyle w:val="Heading1"/>
        <w:bidi w:val="0"/>
        <w:spacing w:lineRule="auto" w:line="360"/>
        <w:rPr/>
      </w:pPr>
      <w:r>
        <w:rPr/>
        <w:t>2. Ֆիշինգից պաշտպանվելու եղանակները</w:t>
      </w:r>
    </w:p>
    <w:p>
      <w:pPr>
        <w:pStyle w:val="BodyText"/>
        <w:bidi w:val="0"/>
        <w:spacing w:lineRule="auto" w:line="360"/>
        <w:rPr/>
      </w:pPr>
      <w:r>
        <w:rPr/>
        <w:t>Ֆիշինգային հարձակումներից պաշտպանվելու համար անհրաժեշտ է պահպանել տեղեկատվական անվտանգության հիմնական կանոնները։</w:t>
      </w:r>
    </w:p>
    <w:p>
      <w:pPr>
        <w:pStyle w:val="BodyText"/>
        <w:bidi w:val="0"/>
        <w:spacing w:lineRule="auto" w:line="360"/>
        <w:rPr/>
      </w:pPr>
      <w:r>
        <w:rPr/>
        <w:t>Առաջին հերթին անհրաժեշտ է ստուգել նամակ ուղարկողի հասցեն և հղման տիրույթի անունը։ Հասցեների արտաքին նմանությունը չի նշանակում, որ հաղորդագրությունն իսկապես ուղարկվել է համապատասխան կազմակերպության կողմից։</w:t>
      </w:r>
    </w:p>
    <w:p>
      <w:pPr>
        <w:pStyle w:val="BodyText"/>
        <w:bidi w:val="0"/>
        <w:spacing w:lineRule="auto" w:line="360"/>
        <w:rPr/>
      </w:pPr>
      <w:r>
        <w:rPr/>
        <w:t>Խորհուրդ չի տրվում անցնել կասկածելի հղումներով կամ մուտքագրել գաղտնաբառեր այն էջերում, որոնք բացվել են անսպասելի նամակներից։ Հաշիվը ստուգելու անհրաժեշտության դեպքում ավելի անվտանգ է ինքնուրույն բացել պաշտոնական կայքը կամ հավելվածը։</w:t>
      </w:r>
    </w:p>
    <w:p>
      <w:pPr>
        <w:pStyle w:val="BodyText"/>
        <w:bidi w:val="0"/>
        <w:spacing w:lineRule="auto" w:line="360"/>
        <w:rPr/>
      </w:pPr>
      <w:r>
        <w:rPr/>
        <w:t>Լրացուցիչ պաշտպանության համար խորհուրդ է տրվում օգտագործել բազմագործոն նույնականացում, յուրաքանչյուր ծառայության համար առանձին գաղտնաբառեր և գաղտնաբառերի կառավարիչներ։</w:t>
      </w:r>
    </w:p>
    <w:p>
      <w:pPr>
        <w:pStyle w:val="BodyText"/>
        <w:bidi w:val="0"/>
        <w:spacing w:lineRule="auto" w:line="360"/>
        <w:rPr/>
      </w:pPr>
      <w:r>
        <w:rPr/>
        <w:t>Պաշտպանության կարևոր միջոցներ են նաև էլեկտրոնային փոստի զտիչները, հակավիրուսային ծրագրերը և ծրագրային ապահովման ժամանակին թարմացումը։</w:t>
      </w:r>
    </w:p>
    <w:p>
      <w:pPr>
        <w:pStyle w:val="BodyText"/>
        <w:bidi w:val="0"/>
        <w:spacing w:lineRule="auto" w:line="360"/>
        <w:rPr/>
      </w:pPr>
      <w:r>
        <w:rPr/>
        <w:t>Մեծ նշանակություն ունի նաև օգտատերերի ուսուցումը, որը հնարավորություն է տալիս ճանաչել ֆիշինգի նշանները և ճիշտ արձագանքել կասկածելի հաղորդագրություններին։</w:t>
      </w:r>
    </w:p>
    <w:p>
      <w:pPr>
        <w:pStyle w:val="Heading1"/>
        <w:bidi w:val="0"/>
        <w:spacing w:lineRule="auto" w:line="360"/>
        <w:rPr/>
      </w:pPr>
      <w:r>
        <w:rPr/>
        <w:t>3. Ֆիշինգի տարածված տեսակները</w:t>
      </w:r>
    </w:p>
    <w:p>
      <w:pPr>
        <w:pStyle w:val="BodyText"/>
        <w:bidi w:val="0"/>
        <w:spacing w:lineRule="auto" w:line="360"/>
        <w:rPr/>
      </w:pPr>
      <w:r>
        <w:rPr/>
        <w:t>Ֆիշինգային հարձակումները կարող են իրականացվել տարբեր եղանակներով։</w:t>
      </w:r>
    </w:p>
    <w:p>
      <w:pPr>
        <w:pStyle w:val="BodyText"/>
        <w:bidi w:val="0"/>
        <w:spacing w:lineRule="auto" w:line="360"/>
        <w:rPr/>
      </w:pPr>
      <w:r>
        <w:rPr>
          <w:rStyle w:val="Strong"/>
          <w:b w:val="false"/>
          <w:bCs w:val="false"/>
        </w:rPr>
        <w:t>Էլեկտրոնային փոստի ֆիշինգ (Email Phishing)</w:t>
      </w:r>
      <w:r>
        <w:rPr/>
        <w:t xml:space="preserve"> — էլեկտրոնային նամակների զանգվածային տարածում, որոնք պարունակում են խաբուսիկ հաղորդագրություններ և հղումներ։</w:t>
      </w:r>
    </w:p>
    <w:p>
      <w:pPr>
        <w:pStyle w:val="BodyText"/>
        <w:bidi w:val="0"/>
        <w:spacing w:lineRule="auto" w:line="360"/>
        <w:rPr/>
      </w:pPr>
      <w:r>
        <w:rPr>
          <w:rStyle w:val="Strong"/>
          <w:b w:val="false"/>
          <w:bCs w:val="false"/>
        </w:rPr>
        <w:t>Թիրախային ֆիշինգ (Spear Phishing)</w:t>
      </w:r>
      <w:r>
        <w:rPr>
          <w:b w:val="false"/>
          <w:bCs w:val="false"/>
        </w:rPr>
        <w:t xml:space="preserve"> </w:t>
      </w:r>
      <w:r>
        <w:rPr/>
        <w:t>— հարձակում, որն ուղղված է կոնկրետ անձի կամ կազմակերպության։ Նման հաղորդագրությունները կարող են պարունակել անհատականացված տեղեկություններ։</w:t>
      </w:r>
    </w:p>
    <w:p>
      <w:pPr>
        <w:pStyle w:val="BodyText"/>
        <w:bidi w:val="0"/>
        <w:spacing w:lineRule="auto" w:line="360"/>
        <w:rPr/>
      </w:pPr>
      <w:r>
        <w:rPr>
          <w:rStyle w:val="Strong"/>
          <w:b w:val="false"/>
          <w:bCs w:val="false"/>
        </w:rPr>
        <w:t>Կեղծ վեբ կայքերի միջոցով ֆիշինգ</w:t>
      </w:r>
      <w:r>
        <w:rPr>
          <w:b w:val="false"/>
          <w:bCs w:val="false"/>
        </w:rPr>
        <w:t xml:space="preserve"> — իրական կայքերին արտաքինից նմանվող էջերի ստեղծում՝ օգտատիրոջը մոլորեցնելու նպատակով։</w:t>
      </w:r>
    </w:p>
    <w:p>
      <w:pPr>
        <w:pStyle w:val="BodyText"/>
        <w:bidi w:val="0"/>
        <w:spacing w:lineRule="auto" w:line="360"/>
        <w:rPr/>
      </w:pPr>
      <w:r>
        <w:rPr>
          <w:rStyle w:val="Strong"/>
          <w:b w:val="false"/>
          <w:bCs w:val="false"/>
        </w:rPr>
        <w:t>Smishing</w:t>
      </w:r>
      <w:r>
        <w:rPr>
          <w:b w:val="false"/>
          <w:bCs w:val="false"/>
        </w:rPr>
        <w:t xml:space="preserve"> — ֆիշինգի իրականացում SMS հաղորդագրությունների միջոցով։</w:t>
      </w:r>
    </w:p>
    <w:p>
      <w:pPr>
        <w:pStyle w:val="BodyText"/>
        <w:bidi w:val="0"/>
        <w:spacing w:lineRule="auto" w:line="360"/>
        <w:rPr/>
      </w:pPr>
      <w:r>
        <w:rPr>
          <w:rStyle w:val="Strong"/>
          <w:b w:val="false"/>
          <w:bCs w:val="false"/>
        </w:rPr>
        <w:t>Vishing</w:t>
      </w:r>
      <w:r>
        <w:rPr>
          <w:b w:val="false"/>
          <w:bCs w:val="false"/>
        </w:rPr>
        <w:t xml:space="preserve"> — ֆիշինգի իրականացում հեռախոսազանգերի և ձայնային հաղորդակցության միջոցով։</w:t>
      </w:r>
    </w:p>
    <w:p>
      <w:pPr>
        <w:pStyle w:val="BodyText"/>
        <w:bidi w:val="0"/>
        <w:spacing w:lineRule="auto" w:line="360"/>
        <w:rPr/>
      </w:pPr>
      <w:r>
        <w:rPr/>
        <w:t>Չնայած իրականացման եղանակների տարբերություններին՝ թվարկված բոլոր տեսակները հիմնված են օգտատիրոջը մոլորեցնելու և նրան որոշակի գործողություն կատարելուն դրդելու վրա։</w:t>
      </w:r>
    </w:p>
    <w:p>
      <w:pPr>
        <w:pStyle w:val="Heading1"/>
        <w:bidi w:val="0"/>
        <w:spacing w:lineRule="auto" w:line="360"/>
        <w:rPr/>
      </w:pPr>
      <w:r>
        <w:rPr/>
        <w:t>4. Ֆիշինգային հարձակումների հիմնական նպատակները</w:t>
      </w:r>
    </w:p>
    <w:p>
      <w:pPr>
        <w:pStyle w:val="BodyText"/>
        <w:bidi w:val="0"/>
        <w:spacing w:lineRule="auto" w:line="360"/>
        <w:rPr/>
      </w:pPr>
      <w:r>
        <w:rPr/>
        <w:t>Ֆիշինգային հարձակումների նպատակները կախված են հարձակվողի շահերից։</w:t>
      </w:r>
    </w:p>
    <w:p>
      <w:pPr>
        <w:pStyle w:val="BodyText"/>
        <w:bidi w:val="0"/>
        <w:spacing w:lineRule="auto" w:line="360"/>
        <w:rPr/>
      </w:pPr>
      <w:r>
        <w:rPr/>
        <w:t>Ամենատարածված նպատակներից մեկը օգտատիրոջ մուտքային տվյալների՝ մուտքանունների, գաղտնաբառերի և հաստատման կոդերի ստացումն է։ Ստացված տեղեկությունները կարող են օգտագործվել հաշիվներին առանց թույլտվության մուտք գործելու համար։</w:t>
      </w:r>
    </w:p>
    <w:p>
      <w:pPr>
        <w:pStyle w:val="BodyText"/>
        <w:bidi w:val="0"/>
        <w:spacing w:lineRule="auto" w:line="360"/>
        <w:rPr/>
      </w:pPr>
      <w:r>
        <w:rPr/>
        <w:t>Մյուս նպատակը կարող է լինել անձնական տվյալների, ֆինանսական տեղեկությունների կամ կազմակերպության գաղտնի փաստաթղթերի գողությունը։</w:t>
      </w:r>
    </w:p>
    <w:p>
      <w:pPr>
        <w:pStyle w:val="BodyText"/>
        <w:bidi w:val="0"/>
        <w:spacing w:lineRule="auto" w:line="360"/>
        <w:rPr/>
      </w:pPr>
      <w:r>
        <w:rPr/>
        <w:t>Ֆիշինգային հաղորդագրությունները կարող են օգտագործվել նաև վնասաբեր ծրագրեր տարածելու կամ կազմակերպության տեղեկատվական համակարգեր սկզբնական հասանելիություն ստանալու համար։</w:t>
      </w:r>
    </w:p>
    <w:p>
      <w:pPr>
        <w:pStyle w:val="BodyText"/>
        <w:bidi w:val="0"/>
        <w:spacing w:lineRule="auto" w:line="360"/>
        <w:rPr/>
      </w:pPr>
      <w:r>
        <w:rPr/>
        <w:t>Այսպիսով, ֆիշինգը վտանգ է ներկայացնում ինչպես առանձին օգտատերերի, այնպես էլ կազմակերպությունների համար, քանի որ կարող է հանգեցնել տվյալների արտահոսքի, ֆինանսական կորուստների և տեղեկատվական համակարգերի անվտանգության խախտման։</w:t>
      </w:r>
    </w:p>
    <w:p>
      <w:pPr>
        <w:pStyle w:val="Heading1"/>
        <w:bidi w:val="0"/>
        <w:spacing w:lineRule="auto" w:line="360"/>
        <w:rPr/>
      </w:pPr>
      <w:r>
        <w:rPr/>
        <w:t>5. Էլեկտրոնային նամակների և հղումների իսկության ստուգումը</w:t>
      </w:r>
    </w:p>
    <w:p>
      <w:pPr>
        <w:pStyle w:val="BodyText"/>
        <w:bidi w:val="0"/>
        <w:spacing w:lineRule="auto" w:line="360"/>
        <w:rPr/>
      </w:pPr>
      <w:r>
        <w:rPr/>
        <w:t>Կասկածելի նամակ ստանալու դեպքում անհրաժեշտ է ստուգել մի քանի կարևոր հանգամանք։</w:t>
      </w:r>
    </w:p>
    <w:p>
      <w:pPr>
        <w:pStyle w:val="BodyText"/>
        <w:bidi w:val="0"/>
        <w:spacing w:lineRule="auto" w:line="360"/>
        <w:rPr/>
      </w:pPr>
      <w:r>
        <w:rPr/>
        <w:t>Առաջին հերթին պետք է ուսումնասիրել ուղարկողի էլեկտրոնային փոստի հասցեն և համեմատել տիրույթի անունը կազմակերպության պաշտոնական հասցեի հետ։ Անհրաժեշտ է նաև ուշադրություն դարձնել այն հաղորդագրություններին, որոնք պահանջում են անհապաղ հաստատել անձը, վերականգնել հաշվի հասանելիությունը կամ տրամադրել գաղտնի տեղեկություններ։</w:t>
      </w:r>
    </w:p>
    <w:p>
      <w:pPr>
        <w:pStyle w:val="BodyText"/>
        <w:bidi w:val="0"/>
        <w:spacing w:lineRule="auto" w:line="360"/>
        <w:rPr/>
      </w:pPr>
      <w:r>
        <w:rPr/>
        <w:t>Հղման վրա անցնելուց առաջ անհրաժեշտ է ստուգել դրա իրական հասցեն։ HTTPS-ի առկայությունն ինքնին չի երաշխավորում կայքի իսկությունը։ Այն ցույց է տալիս, որ օգտագործվում է պաշտպանված կապ, սակայն չի հաստատում կայքի սեփականատիրոջ հուսալիությունը։</w:t>
      </w:r>
    </w:p>
    <w:p>
      <w:pPr>
        <w:pStyle w:val="BodyText"/>
        <w:bidi w:val="0"/>
        <w:spacing w:lineRule="auto" w:line="360"/>
        <w:rPr/>
      </w:pPr>
      <w:r>
        <w:rPr/>
        <w:t>Լրացուցիչ ստուգման համար կարելի է ուսումնասիրել էլեկտրոնային նամակի վերնագրերը և ուղարկողի նույնականացման մեխանիզմների արդյունքները, ինչպիսիք են SPF-ը, DKIM-ը և DMARC-ը, եթե այդ տեղեկությունները հասանելի են։</w:t>
      </w:r>
    </w:p>
    <w:p>
      <w:pPr>
        <w:pStyle w:val="BodyText"/>
        <w:bidi w:val="0"/>
        <w:spacing w:lineRule="auto" w:line="360"/>
        <w:rPr/>
      </w:pPr>
      <w:r>
        <w:rPr/>
        <w:t>Կասկածի դեպքում խորհուրդ է տրվում չօգտագործել նամակում նշված հղումները, այլ ինքնուրույն բացել կազմակերպության պաշտոնական կայքը։</w:t>
      </w:r>
    </w:p>
    <w:p>
      <w:pPr>
        <w:pStyle w:val="Heading1"/>
        <w:bidi w:val="0"/>
        <w:spacing w:lineRule="auto" w:line="360"/>
        <w:rPr/>
      </w:pPr>
      <w:r>
        <w:rPr/>
        <w:t>6. GoPhish գործիքի ուսումնասիրություն</w:t>
      </w:r>
    </w:p>
    <w:p>
      <w:pPr>
        <w:pStyle w:val="BodyText"/>
        <w:bidi w:val="0"/>
        <w:spacing w:lineRule="auto" w:line="360"/>
        <w:rPr/>
      </w:pPr>
      <w:r>
        <w:rPr/>
        <w:t>GoPhish-ը գործիք է, որը նախատեսված է վերահսկվող ֆիշինգային սիմուլյացիաներ իրականացնելու համար։ Այն հնարավորություն է տալիս ստեղծել էլեկտրոնային նամակների ձևանմուշներ, կարգավորել թեստային վեբ էջեր, կազմել ստացողների խմբեր և այդ բաղադրիչները միավորել մեկ արշավի մեջ։</w:t>
      </w:r>
    </w:p>
    <w:p>
      <w:pPr>
        <w:pStyle w:val="BodyText"/>
        <w:bidi w:val="0"/>
        <w:spacing w:lineRule="auto" w:line="360"/>
        <w:rPr/>
      </w:pPr>
      <w:r>
        <w:rPr/>
        <w:t>Գործնական աշխատանքի ընթացքում ուսումնասիրվել են ծրագրի հիմնական բաժինները և ուսումնական արշավի կարգավորման հաջորդականությունը։</w:t>
      </w:r>
    </w:p>
    <w:p>
      <w:pPr>
        <w:pStyle w:val="Heading1"/>
        <w:bidi w:val="0"/>
        <w:spacing w:lineRule="auto" w:line="360"/>
        <w:rPr/>
      </w:pPr>
      <w:r>
        <w:rPr/>
        <w:t>6.1. Ուղարկման պրոֆիլի կարգավորում (Edit Sending Profile)</w:t>
      </w:r>
    </w:p>
    <w:p>
      <w:pPr>
        <w:pStyle w:val="BodyText"/>
        <w:bidi w:val="0"/>
        <w:spacing w:lineRule="auto" w:line="360"/>
        <w:rPr/>
      </w:pPr>
      <w:r>
        <w:rPr/>
        <w:t>Առաջին փուլում բացում ենք Sending Profiles բաժինը և անցնում ուղարկման նոր պրոֆիլի ստեղծմանը։</w:t>
      </w:r>
    </w:p>
    <w:p>
      <w:pPr>
        <w:pStyle w:val="BodyText"/>
        <w:bidi w:val="0"/>
        <w:spacing w:lineRule="auto" w:line="360"/>
        <w:rPr/>
      </w:pPr>
      <w:r>
        <w:rPr/>
        <w:t>Նշում ենք պրոֆիլի անունը, միացման տեսակը, ուղարկողի տվյալները և SMTP սերվերի կարգավորումները։ SMTP-ն օգտագործվում է էլեկտրոնային նամակների փոխանցման համար, իսկ ստեղծված պրոֆիլը սահմանում է նամակների ուղարկման պարամետրերը։</w:t>
      </w:r>
    </w:p>
    <w:p>
      <w:pPr>
        <w:pStyle w:val="BodyText"/>
        <w:bidi w:val="0"/>
        <w:spacing w:lineRule="auto" w:line="360"/>
        <w:rPr/>
      </w:pPr>
      <w:r>
        <w:rPr/>
        <w:t>Անհրաժեշտության դեպքում կարգավորվում են նաև օգտատիրոջ անունը, գաղտնաբառը և սերտիֆիկատի ստուգման պարամետրերը։</w:t>
      </w:r>
    </w:p>
    <w:p>
      <w:pPr>
        <w:pStyle w:val="BodyText"/>
        <w:bidi w:val="0"/>
        <w:spacing w:lineRule="auto" w:line="360"/>
        <w:jc w:val="center"/>
        <w:rPr/>
      </w:pPr>
      <w:r>
        <w:rPr/>
        <w:drawing>
          <wp:inline distT="0" distB="0" distL="0" distR="0">
            <wp:extent cx="6332220" cy="579628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79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hotoInfo"/>
        <w:bidi w:val="0"/>
        <w:rPr/>
      </w:pPr>
      <w:r>
        <w:rPr>
          <w:rStyle w:val="Emphasis"/>
        </w:rPr>
        <w:t>Նկ. 1 — Էլեկտրոնային նամակների ուղարկման պրոֆիլի կարգավորումը։</w:t>
      </w:r>
    </w:p>
    <w:p>
      <w:pPr>
        <w:pStyle w:val="Heading1"/>
        <w:bidi w:val="0"/>
        <w:spacing w:lineRule="auto" w:line="360"/>
        <w:rPr/>
      </w:pPr>
      <w:r>
        <w:rPr/>
        <w:t>6.2. Թիրախային էջի ստեղծում (Edit Landing Page)</w:t>
      </w:r>
    </w:p>
    <w:p>
      <w:pPr>
        <w:pStyle w:val="BodyText"/>
        <w:bidi w:val="0"/>
        <w:spacing w:lineRule="auto" w:line="360"/>
        <w:rPr/>
      </w:pPr>
      <w:r>
        <w:rPr/>
        <w:t>Landing Pages բաժնում ստեղծում ենք նոր թիրախային էջ, որը կբացվի ուսումնական նամակում տեղադրված հղման միջոցով անցնելուց հետո։</w:t>
      </w:r>
    </w:p>
    <w:p>
      <w:pPr>
        <w:pStyle w:val="BodyText"/>
        <w:bidi w:val="0"/>
        <w:spacing w:lineRule="auto" w:line="360"/>
        <w:rPr/>
      </w:pPr>
      <w:r>
        <w:rPr/>
        <w:t>Կարգավորումներում նշում ենք էջի անունը և անհրաժեշտության դեպքում լրացնում դրա բովանդակությունը։ GoPhish-ը հնարավորություն է տալիս ստեղծել սեփական էջեր և կարգավորել դրանց այցելության հետ կապված գործողությունները։</w:t>
      </w:r>
    </w:p>
    <w:p>
      <w:pPr>
        <w:pStyle w:val="BodyText"/>
        <w:bidi w:val="0"/>
        <w:spacing w:lineRule="auto" w:line="360"/>
        <w:rPr/>
      </w:pPr>
      <w:r>
        <w:rPr/>
        <w:t>Թիրախային էջը ուսումնական սիմուլյացիայի բաղադրիչներից մեկն է և հնարավորություն է տալիս ցուցադրել, թե ինչ հետևանքներ կարող է ունենալ կասկածելի նամակում տեղադրված հղումով անցնելը։</w:t>
      </w:r>
    </w:p>
    <w:p>
      <w:pPr>
        <w:pStyle w:val="BodyText"/>
        <w:bidi w:val="0"/>
        <w:spacing w:lineRule="auto" w:line="360"/>
        <w:rPr/>
      </w:pPr>
      <w:r>
        <w:rPr/>
      </w:r>
    </w:p>
    <w:p>
      <w:pPr>
        <w:pStyle w:val="PhotoInfo"/>
        <w:bidi w:val="0"/>
        <w:jc w:val="center"/>
        <w:rPr/>
      </w:pPr>
      <w:r>
        <w:rPr>
          <w:rStyle w:val="Emphasis"/>
        </w:rPr>
        <w:drawing>
          <wp:inline distT="0" distB="0" distL="0" distR="0">
            <wp:extent cx="6332220" cy="8430260"/>
            <wp:effectExtent l="0" t="0" r="0" b="0"/>
            <wp:docPr id="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43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hotoInfo"/>
        <w:bidi w:val="0"/>
        <w:rPr/>
      </w:pPr>
      <w:r>
        <w:rPr>
          <w:rStyle w:val="Emphasis"/>
        </w:rPr>
        <w:t>Նկ. 2 — Landing Page թիրախային էջի կարգավորումը։</w:t>
      </w:r>
    </w:p>
    <w:p>
      <w:pPr>
        <w:pStyle w:val="Heading1"/>
        <w:bidi w:val="0"/>
        <w:spacing w:lineRule="auto" w:line="360"/>
        <w:rPr/>
      </w:pPr>
      <w:r>
        <w:rPr/>
        <w:t>6.3. Վեբ էջի ներմուծում (Import Site)</w:t>
      </w:r>
    </w:p>
    <w:p>
      <w:pPr>
        <w:pStyle w:val="BodyText"/>
        <w:bidi w:val="0"/>
        <w:spacing w:lineRule="auto" w:line="360"/>
        <w:rPr/>
      </w:pPr>
      <w:r>
        <w:rPr/>
        <w:t>GoPhish-ը հնարավորություն է տալիս Import Site գործառույթի միջոցով ներմուծել գոյություն ունեցող վեբ էջի բովանդակությունը։</w:t>
      </w:r>
    </w:p>
    <w:p>
      <w:pPr>
        <w:pStyle w:val="BodyText"/>
        <w:bidi w:val="0"/>
        <w:spacing w:lineRule="auto" w:line="360"/>
        <w:rPr/>
      </w:pPr>
      <w:r>
        <w:rPr/>
        <w:t>Դրա համար նշվում է այն էջի հասցեն, որի բովանդակությունն անհրաժեշտ է օգտագործել ուսումնական միջավայրում։ Ներմուծումից հետո GoPhish-ը պահպանում է ստացված բովանդակությունը՝ թիրախային էջի հետագա կարգավորման համար։</w:t>
      </w:r>
    </w:p>
    <w:p>
      <w:pPr>
        <w:pStyle w:val="BodyText"/>
        <w:bidi w:val="0"/>
        <w:spacing w:lineRule="auto" w:line="360"/>
        <w:rPr/>
      </w:pPr>
      <w:r>
        <w:rPr/>
        <w:t>Միևնույն ժամանակ էջի ներմուծումը չի նշանակում, որ սկզբնական կայքը տեղադրվում է GoPhish սերվերում կամ դառնում արշավի մասը։ Թեստային էջը տրամադրվում է GoPhish-ի կարգավորված սերվերի միջոցով, իսկ դրա հասանելիությունը կախված է կարգավորումներից և ցանցային կապից։</w:t>
      </w:r>
    </w:p>
    <w:p>
      <w:pPr>
        <w:pStyle w:val="BodyText"/>
        <w:bidi w:val="0"/>
        <w:spacing w:lineRule="auto" w:line="360"/>
        <w:jc w:val="center"/>
        <w:rPr/>
      </w:pPr>
      <w:r>
        <w:rPr/>
      </w:r>
    </w:p>
    <w:p>
      <w:pPr>
        <w:pStyle w:val="BodyText"/>
        <w:bidi w:val="0"/>
        <w:spacing w:lineRule="auto" w:line="360"/>
        <w:rPr/>
      </w:pPr>
      <w:r>
        <w:rPr>
          <w:rStyle w:val="Emphasis"/>
        </w:rPr>
        <w:drawing>
          <wp:inline distT="0" distB="0" distL="0" distR="0">
            <wp:extent cx="6332220" cy="2374265"/>
            <wp:effectExtent l="0" t="0" r="0" b="0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374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hotoInfo"/>
        <w:bidi w:val="0"/>
        <w:rPr/>
      </w:pPr>
      <w:r>
        <w:rPr>
          <w:rStyle w:val="Emphasis"/>
        </w:rPr>
        <w:t>Նկ. 3 — Import Site գործառույթի օգտագործումը։</w:t>
      </w:r>
    </w:p>
    <w:p>
      <w:pPr>
        <w:pStyle w:val="Heading1"/>
        <w:bidi w:val="0"/>
        <w:spacing w:lineRule="auto" w:line="360"/>
        <w:rPr/>
      </w:pPr>
      <w:r>
        <w:rPr/>
        <w:t>6.4. Էլեկտրոնային նամակի ձևանմուշի ստեղծում (Edit Template)</w:t>
      </w:r>
    </w:p>
    <w:p>
      <w:pPr>
        <w:pStyle w:val="BodyText"/>
        <w:bidi w:val="0"/>
        <w:spacing w:lineRule="auto" w:line="360"/>
        <w:rPr/>
      </w:pPr>
      <w:r>
        <w:rPr/>
        <w:t>Email Templates բաժնում ստեղծում ենք էլեկտրոնային նամակի ձևանմուշ։ Նշում ենք դրա անունը, թեման և հաղորդագրության բովանդակությունը։</w:t>
      </w:r>
    </w:p>
    <w:p>
      <w:pPr>
        <w:pStyle w:val="BodyText"/>
        <w:bidi w:val="0"/>
        <w:spacing w:lineRule="auto" w:line="360"/>
        <w:rPr/>
      </w:pPr>
      <w:r>
        <w:rPr/>
        <w:t>GoPhish-ը աջակցում է ինչպես տեքստային, այնպես էլ HTML ձևաչափերին։ Տեքստային տարբերակը պարունակում է սովորական տեքստ, իսկ HTML-ը հնարավորություն է տալիս օգտագործել ձևավորում և նշագրման տարրեր։</w:t>
      </w:r>
    </w:p>
    <w:p>
      <w:pPr>
        <w:pStyle w:val="BodyText"/>
        <w:bidi w:val="0"/>
        <w:spacing w:lineRule="auto" w:line="360"/>
        <w:rPr/>
      </w:pPr>
      <w:r>
        <w:rPr/>
        <w:t xml:space="preserve">Հաղորդագրությունների անհատականացման համար նախատեսված են հատուկ փոփոխականներ։ Օրինակ՝ </w:t>
      </w:r>
      <w:r>
        <w:rPr>
          <w:rStyle w:val="SourceText"/>
        </w:rPr>
        <w:t>{{.FirstName}}</w:t>
      </w:r>
      <w:r>
        <w:rPr/>
        <w:t xml:space="preserve"> փոփոխականը փոխարինվում է ստացողի անունով, որը նշված է խմբում, իսկ </w:t>
      </w:r>
      <w:r>
        <w:rPr>
          <w:rStyle w:val="SourceText"/>
        </w:rPr>
        <w:t>{{.URL}}</w:t>
      </w:r>
      <w:r>
        <w:rPr/>
        <w:t xml:space="preserve"> փոփոխականը՝ տվյալ արշավի և ստացողի հետ կապված հղումով։</w:t>
      </w:r>
    </w:p>
    <w:p>
      <w:pPr>
        <w:pStyle w:val="BodyText"/>
        <w:bidi w:val="0"/>
        <w:spacing w:lineRule="auto" w:line="360"/>
        <w:rPr/>
      </w:pPr>
      <w:r>
        <w:rPr/>
        <w:t>Այսպիսով, մեկ ձևանմուշը կարող է օգտագործվել տարբեր մասնակիցների համար անհատականացված հաղորդագրություններ կազմելու նպատակով։</w:t>
      </w:r>
    </w:p>
    <w:p>
      <w:pPr>
        <w:pStyle w:val="BodyText"/>
        <w:bidi w:val="0"/>
        <w:spacing w:lineRule="auto" w:line="360"/>
        <w:rPr/>
      </w:pPr>
      <w:r>
        <w:rPr/>
      </w:r>
    </w:p>
    <w:p>
      <w:pPr>
        <w:pStyle w:val="PhotoInfo"/>
        <w:bidi w:val="0"/>
        <w:rPr/>
      </w:pPr>
      <w:r>
        <w:rPr>
          <w:rStyle w:val="Emphasis"/>
        </w:rPr>
        <w:drawing>
          <wp:inline distT="0" distB="0" distL="0" distR="0">
            <wp:extent cx="5619750" cy="843915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8439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hotoInfo"/>
        <w:bidi w:val="0"/>
        <w:rPr/>
      </w:pPr>
      <w:r>
        <w:rPr>
          <w:rStyle w:val="Emphasis"/>
        </w:rPr>
        <w:t>Նկ. 4 — Էլեկտրոնային նամակի ձևանմուշի ստեղծումը։</w:t>
      </w:r>
    </w:p>
    <w:p>
      <w:pPr>
        <w:pStyle w:val="Heading1"/>
        <w:bidi w:val="0"/>
        <w:spacing w:lineRule="auto" w:line="360"/>
        <w:rPr/>
      </w:pPr>
      <w:r>
        <w:rPr/>
        <w:t>6.5. Ստացողների խմբի ստեղծում (Edit Group)</w:t>
      </w:r>
    </w:p>
    <w:p>
      <w:pPr>
        <w:pStyle w:val="BodyText"/>
        <w:bidi w:val="0"/>
        <w:spacing w:lineRule="auto" w:line="360"/>
        <w:rPr/>
      </w:pPr>
      <w:r>
        <w:rPr/>
        <w:t>Users &amp; Groups բաժնում ստեղծում ենք ստացողների նոր խումբ։ Նշում ենք խմբի անունը և ավելացնում թեստային գրառումներ՝ լրացնելով անունը, ազգանունը և էլեկտրոնային փոստի հասցեն։</w:t>
      </w:r>
    </w:p>
    <w:p>
      <w:pPr>
        <w:pStyle w:val="BodyText"/>
        <w:bidi w:val="0"/>
        <w:spacing w:lineRule="auto" w:line="360"/>
        <w:rPr/>
      </w:pPr>
      <w:r>
        <w:rPr/>
        <w:t>Խումբը նախատեսված է արշավի մասնակիցներին սահմանելու համար։ Օգտատերերի տվյալները նաև օգտագործվում են էլեկտրոնային նամակների անհատականացման նպատակով։</w:t>
      </w:r>
    </w:p>
    <w:p>
      <w:pPr>
        <w:pStyle w:val="BodyText"/>
        <w:bidi w:val="0"/>
        <w:spacing w:lineRule="auto" w:line="360"/>
        <w:rPr/>
      </w:pPr>
      <w:r>
        <w:rPr/>
        <w:t>Լաբորատոր աշխատանքի ընթացքում անհրաժեշտ է օգտագործել սեփական թեստային հասցեներ կամ հատուկ պատրաստված ուսումնական հաշիվներ։</w:t>
      </w:r>
    </w:p>
    <w:p>
      <w:pPr>
        <w:pStyle w:val="PhotoInfo"/>
        <w:bidi w:val="0"/>
        <w:rPr/>
      </w:pPr>
      <w:r>
        <w:rPr/>
        <w:drawing>
          <wp:inline distT="0" distB="0" distL="0" distR="0">
            <wp:extent cx="6332220" cy="607314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73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hotoInfo"/>
        <w:bidi w:val="0"/>
        <w:rPr/>
      </w:pPr>
      <w:r>
        <w:rPr>
          <w:rStyle w:val="Emphasis"/>
        </w:rPr>
        <w:t>Նկ. 5 — Ստացողների խմբի ստեղծումը։</w:t>
      </w:r>
    </w:p>
    <w:p>
      <w:pPr>
        <w:pStyle w:val="Heading1"/>
        <w:bidi w:val="0"/>
        <w:spacing w:lineRule="auto" w:line="360"/>
        <w:rPr/>
      </w:pPr>
      <w:r>
        <w:rPr/>
        <w:t>6.6. Արշավի ստեղծում (New Campaign)</w:t>
      </w:r>
    </w:p>
    <w:p>
      <w:pPr>
        <w:pStyle w:val="BodyText"/>
        <w:bidi w:val="0"/>
        <w:spacing w:lineRule="auto" w:line="360"/>
        <w:rPr/>
      </w:pPr>
      <w:r>
        <w:rPr/>
        <w:t>Վերջնական փուլում բացում ենք Campaigns բաժինը և ստեղծում նոր արշավ։</w:t>
      </w:r>
    </w:p>
    <w:p>
      <w:pPr>
        <w:pStyle w:val="BodyText"/>
        <w:bidi w:val="0"/>
        <w:spacing w:lineRule="auto" w:line="360"/>
        <w:rPr/>
      </w:pPr>
      <w:r>
        <w:rPr/>
        <w:t>Արշավի կարգավորումներում նշում ենք դրա անունը և ընտրում նախապես պատրաստված բաղադրիչները՝ Email Template, Landing Page, Sending Profile և Group։ Նաև սահմանում ենք այն հասցեն, որով թեստային էջը հասանելի կլինի մասնակիցներին։</w:t>
      </w:r>
    </w:p>
    <w:p>
      <w:pPr>
        <w:pStyle w:val="BodyText"/>
        <w:bidi w:val="0"/>
        <w:spacing w:lineRule="auto" w:line="360"/>
        <w:rPr/>
      </w:pPr>
      <w:r>
        <w:rPr/>
        <w:t>Արշավը միավորում է նախապես ստեղծված բաղադրիչները մեկ ընդհանուր գործընթացի մեջ և հնարավորություն է տալիս իրականացնել ուսումնական սիմուլյացիա։</w:t>
      </w:r>
    </w:p>
    <w:p>
      <w:pPr>
        <w:pStyle w:val="BodyText"/>
        <w:bidi w:val="0"/>
        <w:spacing w:lineRule="auto" w:line="360"/>
        <w:rPr/>
      </w:pPr>
      <w:r>
        <w:rPr/>
        <w:t>Կարգավորումները ստուգելուց հետո արշավը կարելի է գործարկել վերահսկվող միջավայրում և ուսումնասիրել գրանցված արդյունքները։</w:t>
      </w:r>
    </w:p>
    <w:p>
      <w:pPr>
        <w:pStyle w:val="BodyText"/>
        <w:bidi w:val="0"/>
        <w:spacing w:lineRule="auto" w:line="360"/>
        <w:rPr/>
      </w:pPr>
      <w:r>
        <w:rPr/>
        <w:t>GoPhish-ը հնարավորություն է տալիս հետևել նամակների ուղարկման և հղումներով անցնելու հետ կապված իրադարձություններին։ Դա օգնում է վերլուծել մասնակիցների վարքագիծը և բարձրացնել նրանց տեղեկացվածությունը ֆիշինգային սպառնալիքների վերաբերյալ։</w:t>
      </w:r>
    </w:p>
    <w:p>
      <w:pPr>
        <w:pStyle w:val="BodyText"/>
        <w:bidi w:val="0"/>
        <w:spacing w:lineRule="auto" w:line="360"/>
        <w:jc w:val="center"/>
        <w:rPr/>
      </w:pPr>
      <w:r>
        <w:rPr/>
        <w:drawing>
          <wp:inline distT="0" distB="0" distL="0" distR="0">
            <wp:extent cx="6332220" cy="701294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012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hotoInfo"/>
        <w:bidi w:val="0"/>
        <w:rPr/>
      </w:pPr>
      <w:r>
        <w:rPr>
          <w:rStyle w:val="Emphasis"/>
        </w:rPr>
        <w:t>Նկ. 6 — New Campaign արշավի կարգավորումը։</w:t>
      </w:r>
    </w:p>
    <w:p>
      <w:pPr>
        <w:pStyle w:val="Heading1"/>
        <w:bidi w:val="0"/>
        <w:spacing w:lineRule="auto" w:line="360"/>
        <w:rPr/>
      </w:pPr>
      <w:r>
        <w:rPr/>
        <w:t>Եզրակացություն</w:t>
      </w:r>
    </w:p>
    <w:p>
      <w:pPr>
        <w:pStyle w:val="BodyText"/>
        <w:bidi w:val="0"/>
        <w:spacing w:lineRule="auto" w:line="360"/>
        <w:rPr/>
      </w:pPr>
      <w:r>
        <w:rPr/>
        <w:t>Լաբորատոր աշխատանքի ընթացքում ուսումնասիրվեցին ֆիշինգային հարձակումների հիմնական սկզբունքները, դրանց տարածված տեսակները, հարձակվողների նպատակները և նման սպառնալիքներից պաշտպանվելու եղանակները։</w:t>
      </w:r>
    </w:p>
    <w:p>
      <w:pPr>
        <w:pStyle w:val="BodyText"/>
        <w:bidi w:val="0"/>
        <w:spacing w:lineRule="auto" w:line="360"/>
        <w:rPr/>
      </w:pPr>
      <w:r>
        <w:rPr/>
        <w:t>Գործնական մասում ուսումնասիրվեցին GoPhish գործիքի հիմնական հնարավորությունները՝ ուղարկման պրոֆիլի կարգավորումը, թիրախային էջի ստեղծումը, վեբ էջի ներմուծումը, էլեկտրոնային նամակի ձևանմուշի պատրաստումը, ստացողների խմբի ձևավորումը և արշավի կարգավորումը։</w:t>
      </w:r>
    </w:p>
    <w:p>
      <w:pPr>
        <w:pStyle w:val="BodyText"/>
        <w:bidi w:val="0"/>
        <w:spacing w:lineRule="auto" w:line="360"/>
        <w:rPr/>
      </w:pPr>
      <w:r>
        <w:rPr/>
        <w:t>Արդյունքում պարզ դարձավ, որ GoPhish-ը թվարկված բաղադրիչները միավորում է մեկ համակարգում՝ վերահսկվող ֆիշինգային սիմուլյացիաներ իրականացնելու համար։ Այս գործիքի ուսումնասիրությունը հնարավորություն է տալիս ավելի լավ հասկանալ սոցիալական ինժեներիայի մեխանիզմները և վերլուծել օգտատերերի փոխազդեցությունը կասկածելի հաղորդագրությունների հետ։</w:t>
      </w:r>
    </w:p>
    <w:p>
      <w:pPr>
        <w:pStyle w:val="BodyText"/>
        <w:bidi w:val="0"/>
        <w:spacing w:lineRule="auto" w:line="360"/>
        <w:rPr/>
      </w:pPr>
      <w:r>
        <w:rPr/>
        <w:t>Այսպիսով, ֆիշինգի սկզբունքների ըմբռնումը և մասնագիտացված գործիքների գործնական ուսումնասիրությունը կարևոր նշանակություն ունեն տեղեկատվական անվտանգության մակարդակի բարձրացման և համացանցում անվտանգ վարքագծի հմտությունների ձևավորման համար։</w:t>
      </w:r>
    </w:p>
    <w:p>
      <w:pPr>
        <w:pStyle w:val="Normal"/>
        <w:bidi w:val="0"/>
        <w:spacing w:lineRule="auto" w:line="360"/>
        <w:jc w:val="start"/>
        <w:rPr/>
      </w:pPr>
      <w:r>
        <w:rPr/>
      </w:r>
    </w:p>
    <w:sectPr>
      <w:type w:val="nextPage"/>
      <w:pgSz w:w="12240" w:h="15840"/>
      <w:pgMar w:left="1699" w:right="850" w:gutter="0" w:header="0" w:top="1123" w:footer="0" w:bottom="112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Arial Armenian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jc w:val="center"/>
      <w:outlineLvl w:val="0"/>
    </w:pPr>
    <w:rPr>
      <w:rFonts w:ascii="Liberation Serif" w:hAnsi="Liberation Serif" w:eastAsia="DejaVu Sans" w:cs="DejaVu Sans"/>
      <w:b w:val="false"/>
      <w:bCs/>
      <w:sz w:val="2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  <w:jc w:val="both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PhotoInfo">
    <w:name w:val="Photo Info"/>
    <w:basedOn w:val="BodyText"/>
    <w:next w:val="BodyTextIndent"/>
    <w:qFormat/>
    <w:pPr>
      <w:jc w:val="center"/>
    </w:pPr>
    <w:rPr>
      <w:sz w:val="20"/>
    </w:rPr>
  </w:style>
  <w:style w:type="paragraph" w:styleId="BodyTextIndent">
    <w:name w:val="Body Text Indent"/>
    <w:basedOn w:val="BodyText"/>
    <w:pPr>
      <w:ind w:hanging="0" w:star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LibreOffice/25.2.3.2$Linux_X86_64 LibreOffice_project/520$Build-2</Application>
  <AppVersion>15.0000</AppVersion>
  <Pages>17</Pages>
  <Words>1331</Words>
  <Characters>10071</Characters>
  <CharactersWithSpaces>11327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2026-10-11T04:21:54Z</dcterms:created>
  <dc:creator/>
  <dc:description/>
  <dc:language>en-US</dc:language>
  <cp:lastModifiedBy/>
  <dcterms:modified xsi:type="dcterms:W3CDTF">2026-10-11T04:56:19Z</dcterms:modified>
  <cp:revision>1</cp:revision>
  <dc:subject/>
  <dc:title/>
</cp:coreProperties>
</file>