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1ED" w:val="clear"/>
          </w:tcPr>
          <w:p>
            <w:pPr>
              <w:spacing w:before="4241"/>
            </w:pPr>
          </w:p>
          <w:p>
            <w:pPr>
              <w:pBdr>
                <w:bottom w:val="single" w:color="D6C096" w:sz="6" w:space="8"/>
              </w:pBdr>
              <w:spacing w:after="500"/>
              <w:ind w:left="1200" w:right="800"/>
            </w:pPr>
            <w:r>
              <w:rPr>
                <w:rFonts w:ascii="Arial" w:eastAsia="SimHei"/>
                <w:color w:val="8A7347"/>
                <w:spacing w:val="40"/>
                <w:sz w:val="18"/>
                <w:szCs w:val="18"/>
              </w:rPr>
              <w:t xml:space="preserve">B  U  S  I  N  E  S  S     P  L  A  N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000000"/>
                <w:sz w:val="80"/>
                <w:szCs w:val="80"/>
              </w:rPr>
              <w:t xml:space="preserve">PM CONTROL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000000"/>
                <w:sz w:val="80"/>
                <w:szCs w:val="80"/>
              </w:rPr>
              <w:t xml:space="preserve">TOWER</w:t>
            </w:r>
          </w:p>
          <w:p>
            <w:pPr>
              <w:spacing w:after="800"/>
              <w:ind w:left="1200" w:right="800"/>
            </w:pPr>
            <w:r>
              <w:rPr>
                <w:rFonts w:ascii="Arial" w:eastAsia="Microsoft YaHei"/>
                <w:color w:val="606060"/>
                <w:sz w:val="24"/>
                <w:szCs w:val="24"/>
              </w:rPr>
              <w:t xml:space="preserve">Business Plan, Market, Competitive, Pricing &amp; Revenue Analysis · 2026–2027</w:t>
            </w:r>
          </w:p>
          <w:p>
            <w:pPr>
              <w:pBdr>
                <w:left w:val="single" w:color="D6C096" w:sz="8" w:space="12"/>
              </w:pBdr>
              <w:spacing w:after="80"/>
              <w:ind w:left="1400" w:right="800"/>
            </w:pPr>
            <w:r>
              <w:rPr>
                <w:rFonts w:ascii="Arial" w:eastAsia="Microsoft YaHei"/>
                <w:color w:val="707070"/>
                <w:sz w:val="22"/>
                <w:szCs w:val="22"/>
              </w:rPr>
              <w:t xml:space="preserve">Version 1.0  ·  23 September 2026</w:t>
            </w:r>
          </w:p>
          <w:p>
            <w:pPr>
              <w:pBdr>
                <w:left w:val="single" w:color="D6C096" w:sz="8" w:space="12"/>
              </w:pBdr>
              <w:spacing w:after="80"/>
              <w:ind w:left="1400" w:right="800"/>
            </w:pPr>
            <w:r>
              <w:rPr>
                <w:rFonts w:ascii="Arial" w:eastAsia="Microsoft YaHei"/>
                <w:color w:val="707070"/>
                <w:sz w:val="22"/>
                <w:szCs w:val="22"/>
              </w:rPr>
              <w:t xml:space="preserve">Basis: PM Control Tower v3.1.0 (shipped) + verified 2026 market research</w:t>
            </w:r>
          </w:p>
          <w:p>
            <w:pPr>
              <w:pBdr>
                <w:left w:val="single" w:color="D6C096" w:sz="8" w:space="12"/>
              </w:pBdr>
              <w:spacing w:after="80"/>
              <w:ind w:left="1400" w:right="800"/>
            </w:pPr>
            <w:r>
              <w:rPr>
                <w:rFonts w:ascii="Arial" w:eastAsia="Microsoft YaHei"/>
                <w:color w:val="707070"/>
                <w:sz w:val="22"/>
                <w:szCs w:val="22"/>
              </w:rPr>
              <w:t xml:space="preserve">Classification: Confidential — CEO / Investor / Management use</w:t>
            </w:r>
          </w:p>
          <w:p>
            <w:pPr>
              <w:spacing w:before="4241"/>
            </w:pPr>
          </w:p>
          <w:p>
            <w:pPr>
              <w:pBdr>
                <w:top w:val="single" w:color="D6C096" w:sz="2" w:space="8"/>
              </w:pBdr>
              <w:spacing w:before="200"/>
              <w:ind w:left="1200" w:right="800"/>
            </w:pPr>
            <w:r>
              <w:rPr>
                <w:rFonts w:ascii="Arial"/>
                <w:color w:val="A0A0A0"/>
                <w:sz w:val="16"/>
                <w:szCs w:val="16"/>
              </w:rPr>
              <w:t xml:space="preserve">PMCT-BP-2026</w:t>
            </w:r>
            <w:r>
              <w:t xml:space="preserve">                                        </w:t>
            </w:r>
            <w:r>
              <w:rPr>
                <w:rFonts w:ascii="Arial"/>
                <w:color w:val="A0A0A0"/>
                <w:sz w:val="16"/>
                <w:szCs w:val="16"/>
              </w:rPr>
              <w:t xml:space="preserve">dynamiq Solutions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STRATEGIC FRAMING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PART 1 — EXECUTIVE BUSINESS PLAN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1.1 Company/Product Concept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1.2 Business Vision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1.3 Elevator Pitches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PART 2 — PROBLEM PMCT SOLVES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PART 3 — PMCT PRODUCT SCOPE (CAPABILITY MAP)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PART 4 — TARGET CUSTOMERS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PART 5 — BUYER PERSONAS (condensed)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PART 6 — COMPETITIVE LANDSCAPE (TIERED)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PART 7 — FEATURE COMPARISON MATRIX (TOP 12)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PART 8 — PMCT DIFFERENTIATION (WITH LAYER TEST)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PART 9 — "WHY PMCT?" VALUE PROPOSITION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PART 10 — CURRENT MARKET PRICING (2026, VERIFIED)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PART 11 — ORGANIZATION COST SIMULATION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PART 12 — TOTAL COST OF OWNERSHIP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PART 13 — PMCT PRICING STRATEGY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PART 14 — RECOMMENDED PMCT PRICING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PART 15 — ONE-TIME LICENSE / PERPETUAL SALE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PART 16 — ENTERPRISE DEAL EXAMPLES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PART 17 — PMCT REVENUE MODEL (PLANNING SCENARIOS — NOT FORECASTS)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PART 18 — YEAR-1 REVENUE SIMULATION (12-MONTH TABLES)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PART 19 — CUSTOMER SEGMENT REVENUE (steady-state illustrative mix [E])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PART 20 — ONE-TIME LICENSE REVENUE (alternative model [E])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PART 21 — SaaS vs PERPETUAL BUSINESS MODEL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PART 22 — UNIT ECONOMICS [E — assumptions stated]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PART 23 — BREAK-EVEN ANALYSIS [E]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PART 24 — 3-YEAR BUSINESS MODEL [E — planning assumptions, not forecasts]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PART 25 — MARKET POSITIONING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PART 26 — SALES STRATEGY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PART 27 — GO-TO-MARKET STRATEGY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PART 28 — IMPLEMENTATION PACKAGES [E]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PART 29 — SECURITY &amp; ENTERPRISE READINESS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PART 30 — PRODUCT ROADMAP (commercially sequenced)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PART 31 — SWOT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PART 32 — COMPETITIVE MOAT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PART 33 — KEY RISKS &amp; MITIGATIONS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PART 34 — MANAGEMENT KPI DASHBOARD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PART 35 — INVESTOR / MANAGEMENT SUMMARY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PART 36 — FINAL RECOMMENDATION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TABLE INDEX (as required)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SOURCES (market &amp; pricing claims)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 w:hAnsi="Times New Roman"/>
          <w:i/>
          <w:iCs/>
          <w:color w:val="888888"/>
          <w:sz w:val="18"/>
          <w:szCs w:val="18"/>
        </w:rPr>
        <w:t xml:space="preserve">Note: This Table of Contents is generated via field codes. To ensure page number accuracy after editing, please right-click the TOC and select "Update Field."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lowerRoman"/>
          <w:docGrid w:linePitch="360"/>
        </w:sectPr>
      </w:pPr>
    </w:p>
    <w:p>
      <w:pPr>
        <w:spacing w:after="12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Document: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PMCT-BP-2026 ·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Version: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1.0 ·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Date: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23 September 2026 ·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Classification: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Confidential — CEO / Investor / Management use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Basis: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PM Control Tower v3.1.0 (shipped product) + verified 2026 market research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Currency: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USD primary; INR secondary at an assumed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1 USD = ₹88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(state actual rate at use)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Evidence legend: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[V]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= verified from official vendor page/price list ·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[R]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= reported by third-party/market estimate ·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[E]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= PMCT planning assumption</w:t>
      </w:r>
    </w:p>
    <w:p>
      <w:pPr>
        <w:pBdr>
          <w:left w:val="single" w:color="D6C096" w:sz="12" w:space="12"/>
        </w:pBdr>
        <w:shd w:fill="F5F3ED" w:val="clear"/>
        <w:spacing w:after="60" w:line="312"/>
        <w:ind w:left="400" w:right="400"/>
      </w:pPr>
      <w:r>
        <w:rPr>
          <w:rFonts w:ascii="Times New Roman" w:eastAsia="SimSun" w:hAnsi="Times New Roman"/>
          <w:b/>
          <w:bCs/>
          <w:i/>
          <w:iCs/>
          <w:color w:val="4A4A4A"/>
          <w:sz w:val="21"/>
          <w:szCs w:val="21"/>
        </w:rPr>
        <w:t xml:space="preserve">Headline verdicts (developed in Parts 8, 25, 26, 35, 36):</w:t>
      </w:r>
    </w:p>
    <w:p>
      <w:pPr>
        <w:pBdr>
          <w:left w:val="single" w:color="D6C096" w:sz="12" w:space="12"/>
        </w:pBdr>
        <w:shd w:fill="F5F3ED" w:val="clear"/>
        <w:spacing w:after="60" w:line="312"/>
        <w:ind w:left="400" w:right="400"/>
      </w:pPr>
      <w:r>
        <w:rPr>
          <w:rFonts w:ascii="Times New Roman" w:eastAsia="SimSun" w:hAnsi="Times New Roman"/>
          <w:b/>
          <w:bCs/>
          <w:i/>
          <w:iCs/>
          <w:color w:val="4A4A4A"/>
          <w:sz w:val="21"/>
          <w:szCs w:val="21"/>
        </w:rPr>
        <w:t xml:space="preserve">DIFFERENTIATION VERDICT: SUFFICIENT</w:t>
      </w:r>
      <w:r>
        <w:rPr>
          <w:rFonts w:ascii="Times New Roman" w:eastAsia="SimSun" w:hAnsi="Times New Roman"/>
          <w:i/>
          <w:iCs/>
          <w:color w:val="4A4A4A"/>
          <w:sz w:val="21"/>
          <w:szCs w:val="21"/>
        </w:rPr>
        <w:t xml:space="preserve"> for mid-market and upper-mid enterprise segments</w:t>
      </w:r>
    </w:p>
    <w:p>
      <w:pPr>
        <w:pBdr>
          <w:left w:val="single" w:color="D6C096" w:sz="12" w:space="12"/>
        </w:pBdr>
        <w:shd w:fill="F5F3ED" w:val="clear"/>
        <w:spacing w:after="60" w:line="312"/>
        <w:ind w:left="400" w:right="400"/>
      </w:pPr>
      <w:r>
        <w:rPr>
          <w:rFonts w:ascii="Times New Roman" w:eastAsia="SimSun" w:hAnsi="Times New Roman"/>
          <w:i/>
          <w:iCs/>
          <w:color w:val="4A4A4A"/>
          <w:sz w:val="21"/>
          <w:szCs w:val="21"/>
        </w:rPr>
        <w:t xml:space="preserve">(100–5,000 employees), </w:t>
      </w:r>
      <w:r>
        <w:rPr>
          <w:rFonts w:ascii="Times New Roman" w:eastAsia="SimSun" w:hAnsi="Times New Roman"/>
          <w:b/>
          <w:bCs/>
          <w:i/>
          <w:iCs/>
          <w:color w:val="4A4A4A"/>
          <w:sz w:val="21"/>
          <w:szCs w:val="21"/>
        </w:rPr>
        <w:t xml:space="preserve">PARTIAL</w:t>
      </w:r>
      <w:r>
        <w:rPr>
          <w:rFonts w:ascii="Times New Roman" w:eastAsia="SimSun" w:hAnsi="Times New Roman"/>
          <w:i/>
          <w:iCs/>
          <w:color w:val="4A4A4A"/>
          <w:sz w:val="21"/>
          <w:szCs w:val="21"/>
        </w:rPr>
        <w:t xml:space="preserve"> for global large enterprise until certifications and scale</w:t>
      </w:r>
    </w:p>
    <w:p>
      <w:pPr>
        <w:pBdr>
          <w:left w:val="single" w:color="D6C096" w:sz="12" w:space="12"/>
        </w:pBdr>
        <w:shd w:fill="F5F3ED" w:val="clear"/>
        <w:spacing w:after="60" w:line="312"/>
        <w:ind w:left="400" w:right="400"/>
      </w:pPr>
      <w:r>
        <w:rPr>
          <w:rFonts w:ascii="Times New Roman" w:eastAsia="SimSun" w:hAnsi="Times New Roman"/>
          <w:i/>
          <w:iCs/>
          <w:color w:val="4A4A4A"/>
          <w:sz w:val="21"/>
          <w:szCs w:val="21"/>
        </w:rPr>
        <w:t xml:space="preserve">land. </w:t>
      </w:r>
      <w:r>
        <w:rPr>
          <w:rFonts w:ascii="Times New Roman" w:eastAsia="SimSun" w:hAnsi="Times New Roman"/>
          <w:b/>
          <w:bCs/>
          <w:i/>
          <w:iCs/>
          <w:color w:val="4A4A4A"/>
          <w:sz w:val="21"/>
          <w:szCs w:val="21"/>
        </w:rPr>
        <w:t xml:space="preserve">POSITIONING: "Enterprise Project &amp; Portfolio Control Tower."</w:t>
      </w:r>
      <w:r>
        <w:rPr>
          <w:rFonts w:ascii="Times New Roman" w:eastAsia="SimSun" w:hAnsi="Times New Roman"/>
          <w:i/>
          <w:iCs/>
          <w:color w:val="4A4A4A"/>
          <w:sz w:val="21"/>
          <w:szCs w:val="21"/>
        </w:rPr>
        <w:t xml:space="preserve"> </w:t>
      </w:r>
      <w:r>
        <w:rPr>
          <w:rFonts w:ascii="Times New Roman" w:eastAsia="SimSun" w:hAnsi="Times New Roman"/>
          <w:b/>
          <w:bCs/>
          <w:i/>
          <w:iCs/>
          <w:color w:val="4A4A4A"/>
          <w:sz w:val="21"/>
          <w:szCs w:val="21"/>
        </w:rPr>
        <w:t xml:space="preserve">MOTION: coexistence-first</w:t>
      </w:r>
    </w:p>
    <w:p>
      <w:pPr>
        <w:pBdr>
          <w:left w:val="single" w:color="D6C096" w:sz="12" w:space="12"/>
        </w:pBdr>
        <w:shd w:fill="F5F3ED" w:val="clear"/>
        <w:spacing w:after="60" w:line="312"/>
        <w:ind w:left="400" w:right="400"/>
      </w:pPr>
      <w:r>
        <w:rPr>
          <w:rFonts w:ascii="Times New Roman" w:eastAsia="SimSun" w:hAnsi="Times New Roman"/>
          <w:i/>
          <w:iCs/>
          <w:color w:val="4A4A4A"/>
          <w:sz w:val="21"/>
          <w:szCs w:val="21"/>
        </w:rPr>
        <w:t xml:space="preserve">— PMCT sits above Jira/ServiceNow/SAP/HR/Finance and replaces the spreadsheet/BI glue layer</w:t>
      </w:r>
    </w:p>
    <w:p>
      <w:pPr>
        <w:pBdr>
          <w:left w:val="single" w:color="D6C096" w:sz="12" w:space="12"/>
        </w:pBdr>
        <w:shd w:fill="F5F3ED" w:val="clear"/>
        <w:spacing w:after="160" w:line="312"/>
        <w:ind w:left="400" w:right="400"/>
      </w:pPr>
      <w:r>
        <w:rPr>
          <w:rFonts w:ascii="Times New Roman" w:eastAsia="SimSun" w:hAnsi="Times New Roman"/>
          <w:i/>
          <w:iCs/>
          <w:color w:val="4A4A4A"/>
          <w:sz w:val="21"/>
          <w:szCs w:val="21"/>
        </w:rPr>
        <w:t xml:space="preserve">before it ever replaces a work tool.</w:t>
      </w:r>
    </w:p>
    <w:p>
      <w:pPr>
        <w:pStyle w:val="Heading1"/>
        <w:spacing w:after="200" w:before="120" w:line="312"/>
      </w:pPr>
      <w:bookmarkStart w:id="100000" w:name="_Toc100000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STRATEGIC FRAMING</w:t>
      </w:r>
      <w:bookmarkEnd w:id="100000"/>
    </w:p>
    <w:p>
      <w:pPr>
        <w:spacing w:after="12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PMCT is not analyzed here as another task-management tool. The commercial frame throughout:</w:t>
      </w:r>
    </w:p>
    <w:p>
      <w:pPr>
        <w:shd w:fill="F5F3ED" w:val="clear"/>
        <w:spacing w:after="0" w:line="260" w:lineRule="atLeast"/>
        <w:ind w:left="400"/>
      </w:pPr>
      <w:r>
        <w:rPr>
          <w:rFonts w:ascii="Consolas" w:eastAsia="SimSun"/>
          <w:color w:val="2A2A2A"/>
          <w:sz w:val="16"/>
          <w:szCs w:val="16"/>
        </w:rPr>
        <w:t xml:space="preserve">Jira · ServiceNow · SAP · HR · Finance · Teams        (the project ecosystem — systems of record) ↓ PM CONTROL TOWER                              (the aggregation, intelligence &amp; control layer) ↓ CEO · CFO · CTO · PMO                         (decisions)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Work-management tools (Tier 1) are the layer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below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PMCT; enterprise PPM/SPM suites (Tier 2) are the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direct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competitive tier; the status quo PMCT actually replaces is the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glue layer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— spreadsheets + Power BI + manual PMO reporting + reconciliation.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Individual features do not differentiate (Jira and ClickUp have absorbed planning, AI, automation and governance). The tested claim is the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combination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: portfolio prioritization + financial intelligence (ROI/NPV/IRR/payback/EVM) + resource capacity + governance + executive reporting + configurable enterprise control + integrations + self-hosted deployment.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The buyer is senior (CEO/CFO/CIO/PMO Director): committee sales, security review, procurement.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Pricing is value-based on the layer — never the cheapest seat.</w:t>
      </w:r>
    </w:p>
    <w:p>
      <w:pPr>
        <w:pStyle w:val="Heading1"/>
        <w:pageBreakBefore/>
        <w:spacing w:after="200" w:before="360" w:line="312"/>
      </w:pPr>
      <w:bookmarkStart w:id="100001" w:name="_Toc100001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1 — EXECUTIVE BUSINESS PLAN</w:t>
      </w:r>
      <w:bookmarkEnd w:id="100001"/>
    </w:p>
    <w:p>
      <w:pPr>
        <w:pStyle w:val="Heading2"/>
        <w:spacing w:after="140" w:before="280" w:line="312"/>
      </w:pPr>
      <w:bookmarkStart w:id="100002" w:name="_Toc100002"/>
      <w:r>
        <w:rPr>
          <w:rFonts w:ascii="Times New Roman" w:eastAsia="SimHei" w:hAnsi="Times New Roman"/>
          <w:b/>
          <w:bCs/>
          <w:color w:val="000000"/>
          <w:sz w:val="27"/>
          <w:szCs w:val="27"/>
        </w:rPr>
        <w:t xml:space="preserve">1.1 Company/Product Concept</w:t>
      </w:r>
      <w:bookmarkEnd w:id="100002"/>
    </w:p>
    <w:p>
      <w:pPr>
        <w:spacing w:after="12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PMCT is an enterprise Project, Program &amp; Portfolio Management (PPM) control tower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: a self-hostable platform that brings planning, execution, governance, financials, resources, reporting, automation, integrations and executive decision-making into one governed system — and aggregates the systems the organization already runs (Jira, ServiceNow, SAP, HR, Finance, Teams) into one decision surface for leadership.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Who it is for: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corporate PMOs, portfolio/program leadership, CFOs and CEOs of mid-market and enterprise organizations (100–5,000 employees first), especially in project-intensive and regulated industries.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What problem it solves: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leadership cannot see or steer the project portfolio in real time. Delivery truth lives in Jira; money lives in SAP/Excel; demand lives in ServiceNow; status is re-typed into PowerPoint. PMCT replaces that glue layer with computed, auditable, live intelligence: "leadership never needs to ask a project manager for status."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What existing tools fail to solve completely: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work tools stop at task level; PPM suites are expensive, slow to deploy and weak below the project line; BI dashboards are passive, manually refreshed and unaudited. No mainstream product combines portfolio optimization + financial intelligence + governance + executive reporting on top of the ecosystem, at mid-market price, with a self-hosted option.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Why organizations need it now: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tool sprawl + AI-sprinkled dashboards without governance have increased, not reduced, reporting burden; boards demand traceable numbers; DPDP/GDPR and data-residency pressure favors controllable deployment.</w:t>
      </w:r>
    </w:p>
    <w:p>
      <w:pPr>
        <w:pStyle w:val="Heading2"/>
        <w:spacing w:after="140" w:before="280" w:line="312"/>
      </w:pPr>
      <w:bookmarkStart w:id="100003" w:name="_Toc100003"/>
      <w:r>
        <w:rPr>
          <w:rFonts w:ascii="Times New Roman" w:eastAsia="SimHei" w:hAnsi="Times New Roman"/>
          <w:b/>
          <w:bCs/>
          <w:color w:val="000000"/>
          <w:sz w:val="27"/>
          <w:szCs w:val="27"/>
        </w:rPr>
        <w:t xml:space="preserve">1.2 Business Vision</w:t>
      </w:r>
      <w:bookmarkEnd w:id="100003"/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Vision: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every enterprise runs its portfolio from one truthful control tower.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Mission: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make executive project intelligence computed, auditable and immediate — not hand-made monthly.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Positioning: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"The Enterprise Project &amp; Portfolio Control Tower — the layer above your project ecosystem."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Target market: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mid-market and enterprise organizations in IT services, banking/financial services, telecom, infrastructure/EPC, manufacturing, pharma, government-linked entities — starting with India and the Gulf (relationship-rich, price-sensitive-but-value-hungry, data-residency motivated), then US/EU mid-market via partners.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Business model: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tiered SaaS subscription (seat-based to ~500 users, hybrid platform+seat above), one-time implementation services, optional perpetual/on-prem licensing for regulated and sovereign buyers, annual maintenance.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Long-term opportunity: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the PPM software market is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$6.8–9.8B in 2026, growing 10–13% CAGR to $10.1–17.8B by 2030–31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[V: MarketsandMarkets 2026 report — $9.79B 2026 → $17.75B 2031; The Business Research Company — $6.81B 2026 → $10.13B 2030]. PMCT aims at the mid-market band that Tier-2 suites over-serve on price and Tier-1 tools under-serve on depth.</w:t>
      </w:r>
    </w:p>
    <w:p>
      <w:pPr>
        <w:pStyle w:val="Heading2"/>
        <w:spacing w:after="140" w:before="280" w:line="312"/>
      </w:pPr>
      <w:bookmarkStart w:id="100004" w:name="_Toc100004"/>
      <w:r>
        <w:rPr>
          <w:rFonts w:ascii="Times New Roman" w:eastAsia="SimHei" w:hAnsi="Times New Roman"/>
          <w:b/>
          <w:bCs/>
          <w:color w:val="000000"/>
          <w:sz w:val="27"/>
          <w:szCs w:val="27"/>
        </w:rPr>
        <w:t xml:space="preserve">1.3 Elevator Pitches</w:t>
      </w:r>
      <w:bookmarkEnd w:id="100004"/>
    </w:p>
    <w:p>
      <w:pPr>
        <w:spacing w:after="12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30-second: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"Jira tells you what tasks are open. SAP tells you what was spent. Nobody tells the CEO whether the portfolio is on track — until someone builds a slide deck. PM Control Tower is the layer above your project ecosystem: it aggregates Jira, ServiceNow, SAP, HR and Finance into one live, audited control tower with EVM, governance gates and board-ready reporting. Deployed in weeks, self-hostable, at a tenth of enterprise PPM cost."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60-second: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adds — "Every number is computed from source data with an audit trail: CPI/SPI, critical path, budget vs committed vs forecast, P80 Monte Carlo, gate compliance. Executives get an exception-first tower; the PMO stops hand-building board packs. We don't replace Jira — we make it finally answer to the business."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2-minute corporate pitch: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adds the wedge — "Enterprises already pay for the layer today, invisibly: PMO analysts, Power BI models, reconciliation spreadsheets — typically 2–5x the cost of the tools themselves. PMCT consolidates that spend into one governed product. We sell coexistence first: keep Jira, kill the glue. Land at $15–21/user, expand to platform licensing, with a self-hosted option no SaaS incumbent offers."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Investor pitch: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adds — "PPM is a $9.8B market growing 12%+ with no mid-market winner. PMCT ships today (115 data models, 168 APIs, CPM/EVM/Monte-Carlo engines, 177 report templates, 27-connector catalog, SSO/SCIM/MFA). Year-1 base plan: $481k revenue, 35 customers, break-even inside Year 3 at ~$1M ARR with &lt; $800k cumulative cash need."</w:t>
      </w:r>
    </w:p>
    <w:p>
      <w:pPr>
        <w:pStyle w:val="Heading1"/>
        <w:pageBreakBefore/>
        <w:spacing w:after="200" w:before="360" w:line="312"/>
      </w:pPr>
      <w:bookmarkStart w:id="100005" w:name="_Toc100005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2 — PROBLEM PMCT SOLVES</w:t>
      </w:r>
      <w:bookmarkEnd w:id="100005"/>
    </w:p>
    <w:p>
      <w:pPr>
        <w:spacing w:after="12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The fragmentation problem.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Large organizations run delivery through a patchwork: Jira (engineering), spreadsheets (plans), Smartsheet/Excel (portfolios), ServiceNow (demand/tickets), SAP (money), PowerPoint (status). Each layer re-types the same facts; each re-typing loses fidelity, freshness and trust.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The concrete pains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(with business impact):</w:t>
      </w:r>
    </w:p>
    <w:tbl>
      <w:tblPr>
        <w:tblW w:type="pct" w:w="100%"/>
        <w:tblBorders>
          <w:top w:val="single" w:color="000000" w:sz="8"/>
          <w:left w:val="single" w:color="DDD8CC" w:sz="4"/>
          <w:bottom w:val="single" w:color="000000" w:sz="8"/>
          <w:right w:val="single" w:color="DDD8CC" w:sz="4"/>
          <w:insideH w:val="single" w:color="DDD8CC" w:sz="4"/>
          <w:insideV w:val="single" w:color="DDD8CC" w:sz="4"/>
        </w:tblBorders>
        <w:tblLayout w:type="autofit"/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</w:tblGrid>
      <w:tr>
        <w:trPr>
          <w:cantSplit/>
          <w:tblHeader/>
        </w:trPr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Pain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Typical impact [E unless cited]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Project fragmentation across tools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PMO spends days/month consolidating; versions conflict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Portfolio visibility gaps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Decisions made on stale, hand-built summaries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PMO governance by email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Gates passed without evidence; audit findings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Resource allocation blind spots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Over-allocation discovered after burnout/delay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Capacity planning absent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Hiring and commitments unquantified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Financial tracking outside delivery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Budget overrun surfaces after the money is spent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CAPEX/OPEX, ROI/NPV/IRR manual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Business cases built once, never tracked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EVM not computed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CPI/SPI reserved for government contractors; early-warning lost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RAID scattered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Risks escalate by luck, not by rule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Dependencies invisible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Cross-project collisions found at go-live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Manual executive/steering/board reporting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2–5 FTE-equivalents of assembly per month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Data duplication + multiple licenses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Duplicate tool spend; reconciliation errors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Disconnected Jira/ServiceNow/SAP/HR/Finance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No single truth; "whose number is right?"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Spreadsheet dependency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Unaudited, single-point-of-failure reporting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Quantified context: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Large IT projects run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45% over budget and 7% over time while delivering 56% less value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than predicted (McKinsey–Oxford study of 5,400 projects; industry-cited, dated 2012 but still the canonical figure) [R].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~9–12% of every project dollar is wasted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through poor performance; only ~one-third of organizations report mostly/highly successful delivery outcomes (PMI Pulse of the Profession, industry-cited) [R].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The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glue-layer cost is the hidden baseline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: for a 100-person delivery organization, PMO reporting effort, BI maintenance and reconciliation typically cost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$150k–350k/year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before any tool license [E — model in Parts 9/12].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The consequence: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decision latency. Portfolio corrections that should take days take quarters, because the truth is assembled monthly by hand. PMCT's value proposition is measured in </w:t>
      </w:r>
      <w:r>
        <w:rPr>
          <w:rFonts w:ascii="Times New Roman" w:eastAsia="SimSun" w:hAnsi="Times New Roman"/>
          <w:i/>
          <w:iCs/>
          <w:color w:val="000000"/>
          <w:sz w:val="22"/>
          <w:szCs w:val="22"/>
        </w:rPr>
        <w:t xml:space="preserve">decision speed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and </w:t>
      </w:r>
      <w:r>
        <w:rPr>
          <w:rFonts w:ascii="Times New Roman" w:eastAsia="SimSun" w:hAnsi="Times New Roman"/>
          <w:i/>
          <w:iCs/>
          <w:color w:val="000000"/>
          <w:sz w:val="22"/>
          <w:szCs w:val="22"/>
        </w:rPr>
        <w:t xml:space="preserve">waste avoided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, not in task features.</w:t>
      </w:r>
    </w:p>
    <w:p>
      <w:pPr>
        <w:pStyle w:val="Heading1"/>
        <w:pageBreakBefore/>
        <w:spacing w:after="200" w:before="360" w:line="312"/>
      </w:pPr>
      <w:bookmarkStart w:id="100006" w:name="_Toc100006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3 — PMCT PRODUCT SCOPE (CAPABILITY MAP)</w:t>
      </w:r>
      <w:bookmarkEnd w:id="100006"/>
    </w:p>
    <w:p>
      <w:pPr>
        <w:spacing w:after="12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Roles: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A = Aggregation · D = Decision · C = Control · R = Reporting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— the four functions of a control tower. (Shipped = v3.1.0; all items below are shipped unless marked </w:t>
      </w:r>
      <w:r>
        <w:rPr>
          <w:rFonts w:ascii="Times New Roman" w:eastAsia="SimSun" w:hAnsi="Times New Roman"/>
          <w:i/>
          <w:iCs/>
          <w:color w:val="000000"/>
          <w:sz w:val="22"/>
          <w:szCs w:val="22"/>
        </w:rPr>
        <w:t xml:space="preserve">Roadmap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.)</w:t>
      </w:r>
    </w:p>
    <w:p>
      <w:pPr>
        <w:keepNext/>
        <w:spacing w:after="100" w:before="200" w:line="312"/>
      </w:pPr>
      <w:r>
        <w:rPr>
          <w:rFonts w:ascii="Times New Roman" w:eastAsia="SimSun" w:hAnsi="Times New Roman"/>
          <w:b/>
          <w:bCs/>
          <w:color w:val="3A3A3A"/>
          <w:sz w:val="21"/>
          <w:szCs w:val="21"/>
        </w:rPr>
        <w:t xml:space="preserve">Table 1 — PMCT Product Capability Map</w:t>
      </w:r>
    </w:p>
    <w:tbl>
      <w:tblPr>
        <w:tblW w:type="pct" w:w="100%"/>
        <w:tblBorders>
          <w:top w:val="single" w:color="000000" w:sz="8"/>
          <w:left w:val="single" w:color="DDD8CC" w:sz="4"/>
          <w:bottom w:val="single" w:color="000000" w:sz="8"/>
          <w:right w:val="single" w:color="DDD8CC" w:sz="4"/>
          <w:insideH w:val="single" w:color="DDD8CC" w:sz="4"/>
          <w:insideV w:val="single" w:color="DDD8CC" w:sz="4"/>
        </w:tblBorders>
        <w:tblLayout w:type="autofit"/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#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Group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Capabilities (shipped v3.1.0)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Role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Portfolio Management [D]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Portfolio dashboard, hierarchy (portfolio→program→project), weighted strategic objectives, prioritization scoring + budget-constrained optimizer, investment &amp; business cases (ROI/NPV/IRR/payback, best/base/worst), benefits realization, scenario planning, portfolio health, executive portfolio dashboard, portfolio financials (Budget/Committed/Actual/Forecast)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D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Project Management [D/C]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Project register &amp; 13-tab workspace, charter/plan, WBS tree, tasks (unlimited nesting), milestones, dependencies (FS/SS/FF/SF+lag),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CPM engine</w:t>
            </w: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 (ES/EF/LS/LF, float, critical path), enterprise Gantt v2.7 (split panel, dependency arrows, zoom, drag), versioned baselines, schedule variance, project health (RAG+GREY)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D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PMO Governance [C]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Governance rules engine (thresholds → alerts → inbox → health recalc), stage gates with evidence + UAT hard-lock, approvals, RAID (risks/issues/assumptions/actions), decisions register, change requests with impact, audit trail on every mutation, intake forms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Resource Management [D/C]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Resource register, assignments, capacity + demand, workload heatmap, utilization, over-allocation flags, timesheets (submit→approve→lock with actuals cascade)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Financial Management [C]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Budget lines (CAPEX/OPEX), actuals from timesheets, forecast (SPI-extrapolated, labeled), EVM engine (PV/EV/AC → CPI/SPI/EAC/ETC/VAC/TCPI + history), S-Curves, committed-cost roll-up (</w:t>
            </w:r>
            <w:r>
              <w:rPr>
                <w:rFonts w:ascii="Times New Roman" w:eastAsia="SimSun" w:hAnsi="Times New Roman"/>
                <w:i/>
                <w:iCs/>
                <w:color w:val="000000"/>
                <w:sz w:val="17"/>
                <w:szCs w:val="17"/>
              </w:rPr>
              <w:t xml:space="preserve">Roadmap: PO/contract depth</w:t>
            </w: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), client invoicing &amp; expenses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Reporting &amp; Analytics [R]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Executive/Leadership Control Tower</w:t>
            </w: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 (exception-first feed, traceable insights, 16-check nothing-missed validation, 30/60/90 outlook), persona dashboards (CEO/CFO/CTO/PMO/PM),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177 report templates</w:t>
            </w: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, board packs, scheduled reports, email subscriptions, What-Changed deltas, analytics,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universal PowerPoint export (42 views)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R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Automation [C]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Automation rules (trigger/condition/action + journal), governance alerts (risk/budget/schedule/overload/dependency), escalations, scheduled board packs, webhooks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AI [D/R]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AI PM assistant (draft-first, human-approved), AI gateway &amp; connector registry, AI-drafted steering packs, statistical anomaly detection (&gt;2σ, no fake AI), seeded Monte Carlo P80 forecasting, say/do calibration, AI memory/learning (</w:t>
            </w:r>
            <w:r>
              <w:rPr>
                <w:rFonts w:ascii="Times New Roman" w:eastAsia="SimSun" w:hAnsi="Times New Roman"/>
                <w:i/>
                <w:iCs/>
                <w:color w:val="000000"/>
                <w:sz w:val="17"/>
                <w:szCs w:val="17"/>
              </w:rPr>
              <w:t xml:space="preserve">Roadmap: generative status narratives, meeting assistant</w:t>
            </w: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D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The Integrity Layer</w:t>
            </w: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 [C/R — the moat]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Data freshness engine (honest staleness, GREY honesty),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SHA-256 tamper-evident evidence bundles</w:t>
            </w: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, 43-permission RBAC × 8 roles, SSO (SAML/OIDC) + SCIM + MFA, full audit trail, portfolio integrity score, data-quality score, 27-connector integration catalog with CONFIGURED→CONNECTED honesty, metadata-driven admin configuration (custom fields/types, naming conventions, terminology, feature flags), self-hosted single-tenant deployment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Command Center modules (shipped v3.0+):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agile sprints/epics/story points, Kanban/Calendar/ Workload views, product feedback + roadmap, docs workspace + message boards, client invoicing and expenses, construction field ops (RFIs, daily logs, punch list, BIM embed), deliverable proofing rounds.</w:t>
      </w:r>
    </w:p>
    <w:p>
      <w:pPr>
        <w:pStyle w:val="Heading1"/>
        <w:pageBreakBefore/>
        <w:spacing w:after="200" w:before="360" w:line="312"/>
      </w:pPr>
      <w:bookmarkStart w:id="100007" w:name="_Toc100007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4 — TARGET CUSTOMERS</w:t>
      </w:r>
      <w:bookmarkEnd w:id="100007"/>
    </w:p>
    <w:p>
      <w:pPr>
        <w:spacing w:after="12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ICP ladder (primary → exploratory):</w:t>
      </w:r>
    </w:p>
    <w:tbl>
      <w:tblPr>
        <w:tblW w:type="pct" w:w="100%"/>
        <w:tblBorders>
          <w:top w:val="single" w:color="000000" w:sz="8"/>
          <w:left w:val="single" w:color="DDD8CC" w:sz="4"/>
          <w:bottom w:val="single" w:color="000000" w:sz="8"/>
          <w:right w:val="single" w:color="DDD8CC" w:sz="4"/>
          <w:insideH w:val="single" w:color="DDD8CC" w:sz="4"/>
          <w:insideV w:val="single" w:color="DDD8CC" w:sz="4"/>
        </w:tblBorders>
        <w:tblLayout w:type="autofit"/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Segment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Size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Fit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Why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Mid-Market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50–500 employees, 20–200 project staff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Primary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Tier-2 PPM too expensive/slow; Tier-1 tools too shallow; glue layer most painful per dollar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Enterprise (upper-mid)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500–5,000 employees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Primary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Governance + financial intelligence + integrations matter; self-hosted/data-residency resonates; sells against one ServiceNow/Planview seat block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Large Enterprise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5,000+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Later (Y2+)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Needs certifications, scale proofs (E-1/E-2 exceptions), partner delivery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Small Business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10–50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Opportunistic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Starter tier; self-serve only; not the core motion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Industry shortlist (strongest first):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IT Services &amp; Consulting (portfolio visibility + client billing shipped), Banking/FS &amp; Insurance (governance, audit, data residency), Telecom (capex programs), Infrastructure/EPC &amp; Construction (field ops + proofing shipped), Manufacturing &amp; Automotive (NPI programs), Pharma (gated R&amp;D-like governance), Government-linked (sovereign deployment), Energy &amp; Utilities (capex portfolio). Buying decision maker: PMO Director/CIO (mid-market), CIO/CFO/Transformation Office (enterprise). Sales cycle: 4–10 weeks (mid-market, remote) / 3–9 months (enterprise).</w:t>
      </w:r>
    </w:p>
    <w:p>
      <w:pPr>
        <w:pStyle w:val="Heading1"/>
        <w:pageBreakBefore/>
        <w:spacing w:after="200" w:before="360" w:line="312"/>
      </w:pPr>
      <w:bookmarkStart w:id="100008" w:name="_Toc100008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5 — BUYER PERSONAS (condensed)</w:t>
      </w:r>
      <w:bookmarkEnd w:id="100008"/>
    </w:p>
    <w:tbl>
      <w:tblPr>
        <w:tblW w:type="pct" w:w="100%"/>
        <w:tblBorders>
          <w:top w:val="single" w:color="000000" w:sz="8"/>
          <w:left w:val="single" w:color="DDD8CC" w:sz="4"/>
          <w:bottom w:val="single" w:color="000000" w:sz="8"/>
          <w:right w:val="single" w:color="DDD8CC" w:sz="4"/>
          <w:insideH w:val="single" w:color="DDD8CC" w:sz="4"/>
          <w:insideV w:val="single" w:color="DDD8CC" w:sz="4"/>
        </w:tblBorders>
        <w:tblLayout w:type="autofit"/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Persona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Core problem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PMCT value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Buying role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Killer objection → answer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CEO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No live portfolio truth; surprises late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Exception-first tower, 30/60/90 outlook, board pack in one click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Economic buyer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"Another dashboard?" → </w:t>
            </w:r>
            <w:r>
              <w:rPr>
                <w:rFonts w:ascii="Times New Roman" w:eastAsia="SimSun" w:hAnsi="Times New Roman"/>
                <w:i/>
                <w:iCs/>
                <w:color w:val="000000"/>
                <w:sz w:val="17"/>
                <w:szCs w:val="17"/>
              </w:rPr>
              <w:t xml:space="preserve">it's computed + audited, not re-typed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CFO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Budget vs actual vs forecast disconnected from delivery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Budget/Committed/Actual/Forecast, EVM, business-case ROI/NPV/IRR tracking, invoice/expense module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Economic buyer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"ERP does finance" → </w:t>
            </w:r>
            <w:r>
              <w:rPr>
                <w:rFonts w:ascii="Times New Roman" w:eastAsia="SimSun" w:hAnsi="Times New Roman"/>
                <w:i/>
                <w:iCs/>
                <w:color w:val="000000"/>
                <w:sz w:val="17"/>
                <w:szCs w:val="17"/>
              </w:rPr>
              <w:t xml:space="preserve">ERP records spend; PMCT predicts completion cost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CIO/IT Director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Tool sprawl; security review burden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SSO/SCIM/MFA, audit trail, self-hosted option, 27-connector catalog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Evaluator/approver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"Integration burden" → </w:t>
            </w:r>
            <w:r>
              <w:rPr>
                <w:rFonts w:ascii="Times New Roman" w:eastAsia="SimSun" w:hAnsi="Times New Roman"/>
                <w:i/>
                <w:iCs/>
                <w:color w:val="000000"/>
                <w:sz w:val="17"/>
                <w:szCs w:val="17"/>
              </w:rPr>
              <w:t xml:space="preserve">JWT+webhooks, governed import, metadata config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PMO Director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Manual reporting treadmill; weak governance adoption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Governance engine, gates with UAT lock, 177 templates, integrity score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Champion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"Team won't adopt" → </w:t>
            </w:r>
            <w:r>
              <w:rPr>
                <w:rFonts w:ascii="Times New Roman" w:eastAsia="SimSun" w:hAnsi="Times New Roman"/>
                <w:i/>
                <w:iCs/>
                <w:color w:val="000000"/>
                <w:sz w:val="17"/>
                <w:szCs w:val="17"/>
              </w:rPr>
              <w:t xml:space="preserve">team keeps Jira; PMO gets truth without policing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Portfolio Manager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Prioritization is political, not analytic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Weighted scoring, budget-constrained optimizer, scenarios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Champion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"Scores are subjective" → </w:t>
            </w:r>
            <w:r>
              <w:rPr>
                <w:rFonts w:ascii="Times New Roman" w:eastAsia="SimSun" w:hAnsi="Times New Roman"/>
                <w:i/>
                <w:iCs/>
                <w:color w:val="000000"/>
                <w:sz w:val="17"/>
                <w:szCs w:val="17"/>
              </w:rPr>
              <w:t xml:space="preserve">transparent criteria, computed alignment %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Program/Project Manager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Status reporting overhead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Auto-rolled health, What-Changed, PPT export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User/beneficiary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"Surveillance tool?" → </w:t>
            </w:r>
            <w:r>
              <w:rPr>
                <w:rFonts w:ascii="Times New Roman" w:eastAsia="SimSun" w:hAnsi="Times New Roman"/>
                <w:i/>
                <w:iCs/>
                <w:color w:val="000000"/>
                <w:sz w:val="17"/>
                <w:szCs w:val="17"/>
              </w:rPr>
              <w:t xml:space="preserve">it removes their reporting work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Resource Manager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Invisible over-allocation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Capacity, heatmap, utilization, timesheet cascade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User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Finance Manager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Manual cost joins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Budget lines, CAPEX/OPEX, invoices/expenses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User/approver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CTO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Tech estate opaque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Technology tower (apps, tech, debt, releases)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Evaluator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Auditor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Evidence gaps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Evidence bundles (SHA-256), audit trail, read-only role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Influencer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The "we already have Jira/ServiceNow" objection — strongest counters: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(1) Jira answers "what is the team doing?", never "is the portfolio worth it and will it land on budget" — Atlassian's own portfolio answer is Jira Align/Enterprise at a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$166k+/year floor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[V]; (2) ServiceNow SPM costs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~$100–200+/user/mo estimated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with 6–12-month implementations [R]; (3) the PMO glue layer today costs more than PMCT's total price while producing unaudited numbers; (4) PMCT ships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coexistence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— connectors, webhooks, governed import — so the question is not rip-and-replace.</w:t>
      </w:r>
    </w:p>
    <w:p>
      <w:pPr>
        <w:pStyle w:val="Heading1"/>
        <w:pageBreakBefore/>
        <w:spacing w:after="200" w:before="360" w:line="312"/>
      </w:pPr>
      <w:bookmarkStart w:id="100009" w:name="_Toc100009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6 — COMPETITIVE LANDSCAPE (TIERED)</w:t>
      </w:r>
      <w:bookmarkEnd w:id="100009"/>
    </w:p>
    <w:p>
      <w:pPr>
        <w:keepNext/>
        <w:spacing w:after="100" w:before="200" w:line="312"/>
      </w:pPr>
      <w:r>
        <w:rPr>
          <w:rFonts w:ascii="Times New Roman" w:eastAsia="SimSun" w:hAnsi="Times New Roman"/>
          <w:b/>
          <w:bCs/>
          <w:color w:val="3A3A3A"/>
          <w:sz w:val="21"/>
          <w:szCs w:val="21"/>
        </w:rPr>
        <w:t xml:space="preserve">Table 2 — 20-Competitor Comparison (tiered)</w:t>
      </w:r>
    </w:p>
    <w:tbl>
      <w:tblPr>
        <w:tblW w:type="pct" w:w="100%"/>
        <w:tblBorders>
          <w:top w:val="single" w:color="000000" w:sz="8"/>
          <w:left w:val="single" w:color="DDD8CC" w:sz="4"/>
          <w:bottom w:val="single" w:color="000000" w:sz="8"/>
          <w:right w:val="single" w:color="DDD8CC" w:sz="4"/>
          <w:insideH w:val="single" w:color="DDD8CC" w:sz="4"/>
          <w:insideV w:val="single" w:color="DDD8CC" w:sz="4"/>
        </w:tblBorders>
        <w:tblLayout w:type="autofit"/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#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Tool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Tier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Primary purpose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Target customer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Portfolio depth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Financial depth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Governance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Acts as cross-ecosystem layer?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Pricing model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Jira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Dev work tracking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Dev teams→enterprise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Low (Align = separate $$$)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Minimal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Via Atlassian Guard/Enterprise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No (its own data)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Per-user [V]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2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ClickUp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All-in-one work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SMB→MM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Basic dashboards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Time/billing only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Basic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No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Per-user + AI add-on [V]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Trello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Boards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SMB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No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No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No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No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Per-user [V]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4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Asana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Work management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MM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Portfolios (Advanced)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Goals; no EVM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Forms/approvals basic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No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Per-user [V]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5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Monday.com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Work OS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SMB→MM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Dashboards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Budget columns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Basic automations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Partial (many integrations, same data)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Per-seat [V]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6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Smartsheet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Grid work management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MM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Portfolio roll-ups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Basic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Basic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Partial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Per-member [V]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7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Wrike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PM + marketing ops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MM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Folders/dashboards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Budgeted time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Approvals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Partial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Per-user [V]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8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Planview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2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Enterprise PPM/SPM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Large ent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Deep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Deep</w:t>
            </w: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 (Portfolios)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Deep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Partial (AdaptiveWork+Portfolios, mainly own suite)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Custom [R]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9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Broadcom Clarity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2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Enterprise PPM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Large ent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Deep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Deep (cost plans)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Deep gates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Partial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Custom [R]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ServiceNow SPM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2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SPM on ServiceNow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Large ent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Deep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Roadmap/cost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Deep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Strong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within</w:t>
            </w: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 ServiceNow estate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Custom [R]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Microsoft Planner/Project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Familiar PM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MS shops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P5 portfolio basic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Cost fields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Basic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Partial (M365)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Per-user [V]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12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Oracle Primavera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2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EPC/schedule PPM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EPC/infra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Schedule-centric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Cost-loaded schedules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Gates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No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Custom [R]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13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Aha! Roadmaps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Product roadmaps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Product orgs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Roadmap only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No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No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No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Per-user [V]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14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Teamwork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Agency PM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Agencies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Basic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Billing/time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Basic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No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Per-user [V]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15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Zoho Projects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Budget PM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SMB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Basic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Invoices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Basic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No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Per-user [V]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16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Basecamp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Simple collaboration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SMB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No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No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No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No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Flat/per-user [V]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17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Notion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Docs+wikis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SMB→MM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Manual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No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No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No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Per-member [V]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18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Airtable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No-code bases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SMB→MM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DIY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DIY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DIY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No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Per-seat [V]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19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Celoxis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Mid-market PPM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MM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Good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Good (financials)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Moderate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Partial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Per-user + on-prem [V]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20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PPM Express / Triskell / Sciforma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2/3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PPM overlays/suites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MM→Ent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Good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Moderate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Moderate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Partial (overlay on MS/ADO/Jira)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Custom/per-user [R]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21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PMCT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Layer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Portfolio control tower above the ecosystem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MM→Ent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Deep + optimizer + scenarios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Deep (EVM, NPV/IRR, CAPEX/OPEX)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Deep + UAT hard-lock + evidence bundles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Yes — designed as the layer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Per-user → platform, self-hosted option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Tier rules applied in Parts 7/8: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vs Tier 1 → coexistence/above analysis; vs Tier 2 → capability-for-capability + TCO; vs Tier 3 → both.</w:t>
      </w:r>
    </w:p>
    <w:p>
      <w:pPr>
        <w:pStyle w:val="Heading1"/>
        <w:pageBreakBefore/>
        <w:spacing w:after="200" w:before="360" w:line="312"/>
      </w:pPr>
      <w:bookmarkStart w:id="100010" w:name="_Toc100010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7 — FEATURE COMPARISON MATRIX (TOP 12)</w:t>
      </w:r>
      <w:bookmarkEnd w:id="100010"/>
    </w:p>
    <w:p>
      <w:pPr>
        <w:keepNext/>
        <w:spacing w:after="100" w:before="200" w:line="312"/>
      </w:pPr>
      <w:r>
        <w:rPr>
          <w:rFonts w:ascii="Times New Roman" w:eastAsia="SimSun" w:hAnsi="Times New Roman"/>
          <w:b/>
          <w:bCs/>
          <w:color w:val="3A3A3A"/>
          <w:sz w:val="21"/>
          <w:szCs w:val="21"/>
        </w:rPr>
        <w:t xml:space="preserve">Table 3 — Feature-by-Feature Matrix</w:t>
      </w:r>
      <w:r>
        <w:rPr>
          <w:rFonts w:ascii="Times New Roman" w:eastAsia="SimSun" w:hAnsi="Times New Roman"/>
          <w:color w:val="3A3A3A"/>
          <w:sz w:val="21"/>
          <w:szCs w:val="21"/>
        </w:rPr>
        <w:t xml:space="preserve"> (Y = native, P = partial/add-on/enterprise-tier, N = no, C = custom/quote; PMCT column = shipped v3.1.0)</w:t>
      </w:r>
    </w:p>
    <w:tbl>
      <w:tblPr>
        <w:tblW w:type="pct" w:w="100%"/>
        <w:tblBorders>
          <w:top w:val="single" w:color="000000" w:sz="8"/>
          <w:left w:val="single" w:color="DDD8CC" w:sz="4"/>
          <w:bottom w:val="single" w:color="000000" w:sz="8"/>
          <w:right w:val="single" w:color="DDD8CC" w:sz="4"/>
          <w:insideH w:val="single" w:color="DDD8CC" w:sz="4"/>
          <w:insideV w:val="single" w:color="DDD8CC" w:sz="4"/>
        </w:tblBorders>
        <w:tblLayout w:type="autofit"/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Capability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PMCT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Jira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ClickUp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Asana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Monday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Smartsheet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Wrike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MS Proj/Planner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Aha!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Celoxis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ServiceNow SPM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Planview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Project mgmt (WBS/tasks/deps)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Portfolio mgmt &amp; hierarchy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 (Align $)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 (P5)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Prioritization optimizer (budget-constrained)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Business case ROI/NPV/IRR/payback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CAPEX/OPEX classification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EVM (CPI/SPI/EAC/TCPI)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CPM critical path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Gantt (enterprise, deps, baselines)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Resource capacity &amp; heatmap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Timesheets w/ actuals cascade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RAID + decisions + change mgmt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Stage gates + evidence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Governance rules engine (auto alerts)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Executive exception-first tower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Board packs / scheduled reports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AI (in-price, draft-gated)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 (add-on)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 (add-on)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 (add-on)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 (add-on)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 (M365 Copilot)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 (Now Assist $$)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Monte Carlo / P80 forecasting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Evidence bundles (SHA-256, tamper-evident)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Say/do calibration + anomaly detection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Configurable metadata layer (fields/types/naming/terminology)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Custom objects/entities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 (metadata)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Workflow automation + journal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Forms / intake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Universal PowerPoint export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 (42 views)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SSO SAML/OIDC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 (Guard/Ent)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 (Ent)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 (Ent)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 (Ent)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 (Ent)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 (Ent)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 (M365)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 (Ent+)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SCIM provisioning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 (Ent)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 (Ent)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 (Ent)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 (Ent)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 (Ent)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 (Ent)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MFA (TOTP, per-user)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Audit trail on every mutation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Self-hosted / on-prem option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Y (ships)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 (Cloud/DC $$)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 (Server retired)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Jira integration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 (connector catalog)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ServiceNow integration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SAP / finance integration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 (connector catalog; live-credential flip)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 (estate)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API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 (168 routes)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Mobile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P (responsive web)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Y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Honest gaps for PMCT vs Tier 2: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Mobile native apps, scale certification, SaaS-only buyers' hosting preference, brand trust, ISV ecosystem.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These are roadmap/exception items (Part 29/33), not hidden.</w:t>
      </w:r>
    </w:p>
    <w:p>
      <w:pPr>
        <w:pStyle w:val="Heading1"/>
        <w:pageBreakBefore/>
        <w:spacing w:after="200" w:before="360" w:line="312"/>
      </w:pPr>
      <w:bookmarkStart w:id="100011" w:name="_Toc100011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8 — PMCT DIFFERENTIATION (WITH LAYER TEST)</w:t>
      </w:r>
      <w:bookmarkEnd w:id="100011"/>
    </w:p>
    <w:p>
      <w:pPr>
        <w:spacing w:after="12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Applying the interrogation checklist +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layer test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("does it operate across third-party systems of record, or only within its own data?") to the 10 areas:</w:t>
      </w:r>
    </w:p>
    <w:tbl>
      <w:tblPr>
        <w:tblW w:type="pct" w:w="100%"/>
        <w:tblBorders>
          <w:top w:val="single" w:color="000000" w:sz="8"/>
          <w:left w:val="single" w:color="DDD8CC" w:sz="4"/>
          <w:bottom w:val="single" w:color="000000" w:sz="8"/>
          <w:right w:val="single" w:color="DDD8CC" w:sz="4"/>
          <w:insideH w:val="single" w:color="DDD8CC" w:sz="4"/>
          <w:insideV w:val="single" w:color="DDD8CC" w:sz="4"/>
        </w:tblBorders>
        <w:tblLayout w:type="autofit"/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5"/>
                <w:szCs w:val="15"/>
              </w:rPr>
              <w:t xml:space="preserve">#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5"/>
                <w:szCs w:val="15"/>
              </w:rPr>
              <w:t xml:space="preserve">Differentiation area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5"/>
                <w:szCs w:val="15"/>
              </w:rPr>
              <w:t xml:space="preserve">PMCT today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5"/>
                <w:szCs w:val="15"/>
              </w:rPr>
              <w:t xml:space="preserve">Best Tier-1 response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5"/>
                <w:szCs w:val="15"/>
              </w:rPr>
              <w:t xml:space="preserve">Best Tier-2 response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5"/>
                <w:szCs w:val="15"/>
              </w:rPr>
              <w:t xml:space="preserve">Layer test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5"/>
                <w:szCs w:val="15"/>
              </w:rPr>
              <w:t xml:space="preserve">Defensible?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Unified PMO control tower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One schema, 46 domains, one truth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Jira: fragments across products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Planview/Clarity: deep but siloed suites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Both operate mostly in their own data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Yes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Executive-first architecture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Leadership tower: exception-first, GREY honesty, traceable insights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Dashboards afterthought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Dashboards exist but per-suite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Executives still need per-tool logins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Yes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Financial intelligence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EVM + NPV/IRR/payback + CAPEX/OPEX + forecast, all computed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Planview deep, $$$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ERP ≠ delivery-predictive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Yes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Portfolio optimization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Weighted criteria + budget-constrained optimizer + scenarios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Y (Planview)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Partial — must prove parity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Resource intelligence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Capacity + heatmap + timesheet cascade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Partial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Enterprise reporting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177 templates + board packs + PPT export (42 views)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P (add-ons)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Yes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(breadth + one-click)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Configurable enterprise control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Metadata layer: fields/types/naming/terminology, server-enforced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Partial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Integration-first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27-connector catalog, webhooks, governed CSV import, Jira/ADO/ServiceNow sync with honest CONNECTED status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Y (within ecosystem)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PMCT explicitly designed to sit above 3rd-party estates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Yes — the core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AI-driven PMO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Draft-first, human-gated, labeled classes; anomaly + Monte Carlo + calibration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Y (AI everywhere, auto-ish)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Y (Now Assist $$)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PMCT's AI is governed — differentiator in regulated buyers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Yes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(governance angle)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The aggregation layer itself + self-hosted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Designed as the layer; self-hosted single-tenant ships today; evidence bundles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N (except partial estate plays)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Only PMCT says yes to both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Yes — the thesis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Verdict — Tier 1 (Jira/ClickUp/etc.):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they will keep absorbing features, but their business model sells seats inside their own walls; none monetizes "truth across SAP+Jira+ServiceNow". PMCT does not compete for the same seat — it sells to a different budget (PMO/executive).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Verdict — Tier 2 (Planview/Clarity/ServiceNow SPM):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capability parity is within reach (Part 3 map), at 20–40% of the per-user cost, deployed in weeks not quarters, with self-hosted option and evidence-chain auditability that none of them ship.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DIFFERENTIATION VERDICT: SUFFICIENT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for mid-market and upper-mid enterprise (100–5,000 employees), driven by areas 1, 2, 3, 8, 10 (+ 6, 9);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PARTIAL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for global large enterprise until SOC 2/ISO 27001, native mobile, and 5,000+ user scale evidence exist (E-1/E-2/E-8).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Top 3 defensible differentiators: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(1) the aggregation layer + self-hosted sovereignty; (2) financial intelligence computed from live delivery data (EVM/NPV/IRR) with tamper-evident evidence; (3) executive exception-first tower with honest GREY discipline.</w:t>
      </w:r>
    </w:p>
    <w:p>
      <w:pPr>
        <w:pStyle w:val="Heading1"/>
        <w:pageBreakBefore/>
        <w:spacing w:after="200" w:before="360" w:line="312"/>
      </w:pPr>
      <w:bookmarkStart w:id="100012" w:name="_Toc100012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9 — "WHY PMCT?" VALUE PROPOSITION</w:t>
      </w:r>
      <w:bookmarkEnd w:id="100012"/>
    </w:p>
    <w:p>
      <w:pPr>
        <w:spacing w:after="12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Traditional organization (status quo stack), 100 project staff [E model]:</w:t>
      </w:r>
    </w:p>
    <w:tbl>
      <w:tblPr>
        <w:tblW w:type="pct" w:w="100%"/>
        <w:tblBorders>
          <w:top w:val="single" w:color="000000" w:sz="8"/>
          <w:left w:val="single" w:color="DDD8CC" w:sz="4"/>
          <w:bottom w:val="single" w:color="000000" w:sz="8"/>
          <w:right w:val="single" w:color="DDD8CC" w:sz="4"/>
          <w:insideH w:val="single" w:color="DDD8CC" w:sz="4"/>
          <w:insideV w:val="single" w:color="DDD8CC" w:sz="4"/>
        </w:tblBorders>
        <w:tblLayout w:type="autofit"/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</w:tblGrid>
      <w:tr>
        <w:trPr>
          <w:cantSplit/>
          <w:tblHeader/>
        </w:trPr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Cost element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Annual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Jira Premium (100 u)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$17,448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Smartsheet Business (100 u)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$22,800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Power BI Pro (30 analysts)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~$5,040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PMO analysts assembling status/board packs (2 FTE)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~$160,000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Reconciliation/admin of 4+ tools (0.5 FTE)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~$40,000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Misc. (PowerPoint effort, meetings to align numbers)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~$25,000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Status-quo glue total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~$270,000/yr</w:t>
            </w: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 — producing unaudited, stale numbers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PMCT (Business, 100 users):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$25,200/yr + $30,000 one-time implementation + ~$5,000 self-hosted infra =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~$60,000 in year 1, $25–30k/yr thereafter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— producing computed, audited numbers.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Benefit model (all percentages are assumptions unless cited):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reporting effort −70–90%; tool consolidation −2–4 licenses; decision latency weeks→same-day; overrun detection weeks earlier via EVM/CPI (value scales with portfolio size); audit/governance compliance by default. Even at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zero productivity benefit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, license + glue consolidation alone typically pays for PMCT 3–5x over at mid-market pricing [E].</w:t>
      </w:r>
    </w:p>
    <w:p>
      <w:pPr>
        <w:pStyle w:val="Heading1"/>
        <w:pageBreakBefore/>
        <w:spacing w:after="200" w:before="360" w:line="312"/>
      </w:pPr>
      <w:bookmarkStart w:id="100013" w:name="_Toc100013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10 — CURRENT MARKET PRICING (2026, VERIFIED)</w:t>
      </w:r>
      <w:bookmarkEnd w:id="100013"/>
    </w:p>
    <w:p>
      <w:pPr>
        <w:keepNext/>
        <w:spacing w:after="100" w:before="200" w:line="312"/>
      </w:pPr>
      <w:r>
        <w:rPr>
          <w:rFonts w:ascii="Times New Roman" w:eastAsia="SimSun" w:hAnsi="Times New Roman"/>
          <w:b/>
          <w:bCs/>
          <w:color w:val="3A3A3A"/>
          <w:sz w:val="21"/>
          <w:szCs w:val="21"/>
        </w:rPr>
        <w:t xml:space="preserve">Table 4 — 2026 Pricing Comparison</w:t>
      </w:r>
      <w:r>
        <w:rPr>
          <w:rFonts w:ascii="Times New Roman" w:eastAsia="SimSun" w:hAnsi="Times New Roman"/>
          <w:color w:val="3A3A3A"/>
          <w:sz w:val="21"/>
          <w:szCs w:val="21"/>
        </w:rPr>
        <w:t xml:space="preserve"> (per user/month; </w:t>
      </w:r>
      <w:r>
        <w:rPr>
          <w:rFonts w:ascii="Times New Roman" w:eastAsia="SimSun" w:hAnsi="Times New Roman"/>
          <w:b/>
          <w:bCs/>
          <w:color w:val="3A3A3A"/>
          <w:sz w:val="21"/>
          <w:szCs w:val="21"/>
        </w:rPr>
        <w:t xml:space="preserve">A</w:t>
      </w:r>
      <w:r>
        <w:rPr>
          <w:rFonts w:ascii="Times New Roman" w:eastAsia="SimSun" w:hAnsi="Times New Roman"/>
          <w:color w:val="3A3A3A"/>
          <w:sz w:val="21"/>
          <w:szCs w:val="21"/>
        </w:rPr>
        <w:t xml:space="preserve"> = annual billing, </w:t>
      </w:r>
      <w:r>
        <w:rPr>
          <w:rFonts w:ascii="Times New Roman" w:eastAsia="SimSun" w:hAnsi="Times New Roman"/>
          <w:b/>
          <w:bCs/>
          <w:color w:val="3A3A3A"/>
          <w:sz w:val="21"/>
          <w:szCs w:val="21"/>
        </w:rPr>
        <w:t xml:space="preserve">M</w:t>
      </w:r>
      <w:r>
        <w:rPr>
          <w:rFonts w:ascii="Times New Roman" w:eastAsia="SimSun" w:hAnsi="Times New Roman"/>
          <w:color w:val="3A3A3A"/>
          <w:sz w:val="21"/>
          <w:szCs w:val="21"/>
        </w:rPr>
        <w:t xml:space="preserve"> = monthly)</w:t>
      </w:r>
    </w:p>
    <w:tbl>
      <w:tblPr>
        <w:tblW w:type="pct" w:w="100%"/>
        <w:tblBorders>
          <w:top w:val="single" w:color="000000" w:sz="8"/>
          <w:left w:val="single" w:color="DDD8CC" w:sz="4"/>
          <w:bottom w:val="single" w:color="000000" w:sz="8"/>
          <w:right w:val="single" w:color="DDD8CC" w:sz="4"/>
          <w:insideH w:val="single" w:color="DDD8CC" w:sz="4"/>
          <w:insideV w:val="single" w:color="DDD8CC" w:sz="4"/>
        </w:tblBorders>
        <w:tblLayout w:type="autofit"/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5"/>
                <w:szCs w:val="15"/>
              </w:rPr>
              <w:t xml:space="preserve">Tool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5"/>
                <w:szCs w:val="15"/>
              </w:rPr>
              <w:t xml:space="preserve">Free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5"/>
                <w:szCs w:val="15"/>
              </w:rPr>
              <w:t xml:space="preserve">Entry paid [A]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5"/>
                <w:szCs w:val="15"/>
              </w:rPr>
              <w:t xml:space="preserve">Mid [A]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5"/>
                <w:szCs w:val="15"/>
              </w:rPr>
              <w:t xml:space="preserve">Top published [A]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5"/>
                <w:szCs w:val="15"/>
              </w:rPr>
              <w:t xml:space="preserve">Enterprise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5"/>
                <w:szCs w:val="15"/>
              </w:rPr>
              <w:t xml:space="preserve">AI pricing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5"/>
                <w:szCs w:val="15"/>
              </w:rPr>
              <w:t xml:space="preserve">Source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Jira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≤10 users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Standard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$7.91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[V] (M: $9.05)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Premium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$14.54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[V] (M: $18.30)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Annual-only,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from ~$166k/yr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[V]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Included Premium+ (Atlassian Intelligence/Rovo)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atlassian.com; Tech.co 5/2026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ClickUp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5 users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Unlimited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$7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[V] (M: $10)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Business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$12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[V] (M: $19)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Business Plus / Enterprise custom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Custom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Add-on $9–28/user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(Brain/Everything AI) [V]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clickup.com/pricing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Trello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Standard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$5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[V]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Premium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$10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[V]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Enterprise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$17.50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[V]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trello.com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Asana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≤10 users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Starter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$10.99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[V]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Advanced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$24.99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[V]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Custom (est. $35–45) [R]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AI Studio metered; Copilot-era add-ons [R]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asana.com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Monday.com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≤2 users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Basic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$9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[V]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Standard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$12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[V]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Pro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$19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[V] (min 3 seats)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Custom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AI add-on [R]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monday.com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Smartsheet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Trial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Pro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$9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[V]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Business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$19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[V]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Custom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Add-ons [R]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smartsheet.com; Tech.co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Wrike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≤5 users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Team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$10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[V]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Business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$25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[V]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Enterprise/Pinnacle/Apex custom [V]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Add-on [R]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wrike.com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Teamwork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Starter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$9.50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[V]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Pro/Deliver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$13.99–17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[R]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Grow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$25.99–33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[R]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Scale custom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teamwork.com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Zoho Projects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≤5 users/3 projects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Premium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$4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[V]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Enterprise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$9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[V]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zoho.com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Basecamp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$15/user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or flat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$299/mo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unlimited [V]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basecamp.com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Notion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Plus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$10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Business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$20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(AI included) [V]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Custom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Included Business [V]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notion.com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Airtable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Team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$20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[V]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Business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$45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[V]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Custom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Add-on credits [R]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airtable.com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MS Planner/Project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Planner in M365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Planner P1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$10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[V]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Planner+Project P3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$30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[V]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P5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$55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[V]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M365 Copilot add-on $30 [R]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microsoft.com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Aha! Roadmaps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Premium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$59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[V]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Enterprise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$99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/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E+ $149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[V]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AI add-ons [R]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aha.io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Celoxis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Cloud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~$22.50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[R] (from $10)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On-prem ~$450/user one-time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[R]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celoxis.com; Capterra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Planview Portfolios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Custom/quote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[V]; est.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$19–100+/user/mo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; AdaptiveWork est. $60–100 [R]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planview.com; TDPM; G2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ServiceNow SPM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Custom/quote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[V]; est.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$100–200+/user/mo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; avg contract ~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$130k/yr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[R]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Now Assist add-on [R]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servicenow.com; Unthread 4/2026; Desk365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Broadcom Clarity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Custom/quote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[V]; est.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~$60/user/mo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; ~$69k/yr baseline [R]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RFP.wiki; PPM Express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Oracle Primavera P6 EPPM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Cloud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~$125–145/user/mo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[R]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On-prem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~$2,750/user + $605/yr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[R]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Oracle price list (resellers); ProjectManager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PMCT (proposed)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≤5 users read-only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Starter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$9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Professional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$15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/ Business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$21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Enterprise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$29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or platform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Platform from ~$75k/yr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; perpetual from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$75k one-time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[E]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Included in price</w:t>
            </w: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 [E]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This plan, Part 14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Reading of the spectrum: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$4–10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entry work management →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$10–25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advanced work management →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$45–149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specialist (Airtable Business, Aha!) →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$60–200+ quote-only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enterprise PPM/SPM. The gap between $25 and $60 is exactly where a portfolio control tower for the mid-market belongs — and where PMCT prices (Part 14).</w:t>
      </w:r>
    </w:p>
    <w:p>
      <w:pPr>
        <w:pStyle w:val="Heading1"/>
        <w:pageBreakBefore/>
        <w:spacing w:after="200" w:before="360" w:line="312"/>
      </w:pPr>
      <w:bookmarkStart w:id="100014" w:name="_Toc100014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11 — ORGANIZATION COST SIMULATION</w:t>
      </w:r>
      <w:bookmarkEnd w:id="100014"/>
    </w:p>
    <w:p>
      <w:pPr>
        <w:spacing w:after="12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Annual figures, USD, using Table 4 prices; implementation estimated as % of year-1 subscription (Tier-2 suites typically 50–150% — ServiceNow-class often ≥100%). Enterprise-tier tools marked with estimates use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planning ranges, clearly labeled [R]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. AI add-on costs included where the vendor charges them separately (ClickUp modeled with Brain $9/user).</w:t>
      </w:r>
    </w:p>
    <w:p>
      <w:pPr>
        <w:keepNext/>
        <w:spacing w:after="100" w:before="200" w:line="312"/>
      </w:pPr>
      <w:r>
        <w:rPr>
          <w:rFonts w:ascii="Times New Roman" w:eastAsia="SimSun" w:hAnsi="Times New Roman"/>
          <w:b/>
          <w:bCs/>
          <w:color w:val="3A3A3A"/>
          <w:sz w:val="21"/>
          <w:szCs w:val="21"/>
        </w:rPr>
        <w:t xml:space="preserve">Table 5 — 25-user organization (annual)</w:t>
      </w:r>
    </w:p>
    <w:tbl>
      <w:tblPr>
        <w:tblW w:type="pct" w:w="100%"/>
        <w:tblBorders>
          <w:top w:val="single" w:color="000000" w:sz="8"/>
          <w:left w:val="single" w:color="DDD8CC" w:sz="4"/>
          <w:bottom w:val="single" w:color="000000" w:sz="8"/>
          <w:right w:val="single" w:color="DDD8CC" w:sz="4"/>
          <w:insideH w:val="single" w:color="DDD8CC" w:sz="4"/>
          <w:insideV w:val="single" w:color="DDD8CC" w:sz="4"/>
        </w:tblBorders>
        <w:tblLayout w:type="autofit"/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Tool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Plan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Subscription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Add-ons/AI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Implementation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Y1 TCO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Jira Standard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$7.91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$2,373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$356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$2,729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Jira Premium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$14.54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$4,362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$654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$5,016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ClickUp Business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$12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$3,600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$2,700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$360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$6,660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Trello Premium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$3,000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$150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$3,150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Asana Advanced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$24.99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$7,497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$1,499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$8,996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Monday Pro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$19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$5,700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$1,140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$6,840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Smartsheet Business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$19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$5,700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$1,140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$6,840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Wrike Business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$25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$7,500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$1,500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$9,000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MS Planner+Project P3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$30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$9,000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$1,350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$10,350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Aha! Premium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$59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$17,700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$2,655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$20,355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Celoxis Cloud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$22.50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$6,750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$1,688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$8,438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Planview Portfolios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est. $60 [R]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~$18,000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~$13,500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~$31,500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ServiceNow SPM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est. $100 [R]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~$30,000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~$30,000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~$60,000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Clarity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est. $60 [R]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~$18,000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~$13,500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~$31,500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Primavera P6 EPPM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est. $125 [R]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~$37,500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~$28,125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~$65,625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PMCT Professional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$15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$4,500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included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$7,500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$12,000</w:t>
            </w:r>
          </w:p>
        </w:tc>
      </w:tr>
    </w:tbl>
    <w:p>
      <w:pPr>
        <w:keepNext/>
        <w:spacing w:after="100" w:before="200" w:line="312"/>
      </w:pPr>
      <w:r>
        <w:rPr>
          <w:rFonts w:ascii="Times New Roman" w:eastAsia="SimSun" w:hAnsi="Times New Roman"/>
          <w:b/>
          <w:bCs/>
          <w:color w:val="3A3A3A"/>
          <w:sz w:val="21"/>
          <w:szCs w:val="21"/>
        </w:rPr>
        <w:t xml:space="preserve">Table 6 — 50-user organization (annual):</w:t>
      </w:r>
      <w:r>
        <w:rPr>
          <w:rFonts w:ascii="Times New Roman" w:eastAsia="SimSun" w:hAnsi="Times New Roman"/>
          <w:color w:val="3A3A3A"/>
          <w:sz w:val="21"/>
          <w:szCs w:val="21"/>
        </w:rPr>
        <w:t xml:space="preserve"> same structure; headline rows — Jira Premium $8,724 / ClickUp $13,320 (incl. AI) / Asana $17,993 / Monday $13,680 / Smartsheet $13,680 / Wrike $18,000 / MS P3 $20,700 / Aha! $40,710 / Planview ~$63,000 / ServiceNow ~$120,000 / Clarity ~$63,000 / Primavera ~$131,250 / </w:t>
      </w:r>
      <w:r>
        <w:rPr>
          <w:rFonts w:ascii="Times New Roman" w:eastAsia="SimSun" w:hAnsi="Times New Roman"/>
          <w:b/>
          <w:bCs/>
          <w:color w:val="3A3A3A"/>
          <w:sz w:val="21"/>
          <w:szCs w:val="21"/>
        </w:rPr>
        <w:t xml:space="preserve">PMCT Professional $9,000 + $7,500 = $16,500</w:t>
      </w:r>
      <w:r>
        <w:rPr>
          <w:rFonts w:ascii="Times New Roman" w:eastAsia="SimSun" w:hAnsi="Times New Roman"/>
          <w:color w:val="3A3A3A"/>
          <w:sz w:val="21"/>
          <w:szCs w:val="21"/>
        </w:rPr>
        <w:t xml:space="preserve">.</w:t>
      </w:r>
    </w:p>
    <w:p>
      <w:pPr>
        <w:keepNext/>
        <w:spacing w:after="100" w:before="200" w:line="312"/>
      </w:pPr>
      <w:r>
        <w:rPr>
          <w:rFonts w:ascii="Times New Roman" w:eastAsia="SimSun" w:hAnsi="Times New Roman"/>
          <w:b/>
          <w:bCs/>
          <w:color w:val="3A3A3A"/>
          <w:sz w:val="21"/>
          <w:szCs w:val="21"/>
        </w:rPr>
        <w:t xml:space="preserve">Table 7 — 100-user organization (annual)</w:t>
      </w:r>
    </w:p>
    <w:tbl>
      <w:tblPr>
        <w:tblW w:type="pct" w:w="100%"/>
        <w:tblBorders>
          <w:top w:val="single" w:color="000000" w:sz="8"/>
          <w:left w:val="single" w:color="DDD8CC" w:sz="4"/>
          <w:bottom w:val="single" w:color="000000" w:sz="8"/>
          <w:right w:val="single" w:color="DDD8CC" w:sz="4"/>
          <w:insideH w:val="single" w:color="DDD8CC" w:sz="4"/>
          <w:insideV w:val="single" w:color="DDD8CC" w:sz="4"/>
        </w:tblBorders>
        <w:tblLayout w:type="autofit"/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Tool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Subscription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Add-ons/AI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Implementation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Y1 TCO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Jira Standard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$9,492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$1,424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$10,916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Jira Premium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$17,448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$2,617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$20,065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ClickUp Business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$14,400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$10,800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$1,440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$26,640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Trello Premium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$12,000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$600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$12,600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Asana Advanced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$29,988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$5,998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$35,986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Monday Pro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$22,800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$4,560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$27,360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Smartsheet Business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$22,800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$4,560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$27,360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Wrike Business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$30,000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$6,000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$36,000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MS Planner+Project P3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$36,000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$5,400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$41,400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Aha! Premium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$70,800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$10,620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$81,420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Celoxis Cloud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$27,000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$6,750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$33,750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Planview Portfolios [R]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~$72,000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~$54,000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~$126,000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ServiceNow SPM [R]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~$120,000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~$120,000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~$240,000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Clarity [R]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~$72,000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~$54,000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~$126,000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Primavera P6 EPPM [R]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~$150,000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~$112,500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~$262,500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PMCT Business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$25,200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included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$30,000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$48,000</w:t>
            </w:r>
          </w:p>
        </w:tc>
      </w:tr>
    </w:tbl>
    <w:p>
      <w:pPr>
        <w:keepNext/>
        <w:spacing w:after="100" w:before="200" w:line="312"/>
      </w:pPr>
      <w:r>
        <w:rPr>
          <w:rFonts w:ascii="Times New Roman" w:eastAsia="SimSun" w:hAnsi="Times New Roman"/>
          <w:b/>
          <w:bCs/>
          <w:color w:val="3A3A3A"/>
          <w:sz w:val="21"/>
          <w:szCs w:val="21"/>
        </w:rPr>
        <w:t xml:space="preserve">Table 8 — 250-user organization (annual):</w:t>
      </w:r>
      <w:r>
        <w:rPr>
          <w:rFonts w:ascii="Times New Roman" w:eastAsia="SimSun" w:hAnsi="Times New Roman"/>
          <w:color w:val="3A3A3A"/>
          <w:sz w:val="21"/>
          <w:szCs w:val="21"/>
        </w:rPr>
        <w:t xml:space="preserve"> Jira Premium $43,620 / ClickUp $66,600 (incl. AI) / Asana $89,964 / Monday $68,400 / Smartsheet $68,400 / Wrike $90,000 / MS P3 $103,500 / Aha! $203,550 / Celoxis $84,375 / Planview ~$315,000 / ServiceNow ~$600,000 / Clarity ~$315,000 / Primavera ~$656,250 / </w:t>
      </w:r>
      <w:r>
        <w:rPr>
          <w:rFonts w:ascii="Times New Roman" w:eastAsia="SimSun" w:hAnsi="Times New Roman"/>
          <w:b/>
          <w:bCs/>
          <w:color w:val="3A3A3A"/>
          <w:sz w:val="21"/>
          <w:szCs w:val="21"/>
        </w:rPr>
        <w:t xml:space="preserve">PMCT Business $63,000 + $45,000 = $108,000</w:t>
      </w:r>
      <w:r>
        <w:rPr>
          <w:rFonts w:ascii="Times New Roman" w:eastAsia="SimSun" w:hAnsi="Times New Roman"/>
          <w:color w:val="3A3A3A"/>
          <w:sz w:val="21"/>
          <w:szCs w:val="21"/>
        </w:rPr>
        <w:t xml:space="preserve">.</w:t>
      </w:r>
    </w:p>
    <w:p>
      <w:pPr>
        <w:keepNext/>
        <w:spacing w:after="100" w:before="200" w:line="312"/>
      </w:pPr>
      <w:r>
        <w:rPr>
          <w:rFonts w:ascii="Times New Roman" w:eastAsia="SimSun" w:hAnsi="Times New Roman"/>
          <w:b/>
          <w:bCs/>
          <w:color w:val="3A3A3A"/>
          <w:sz w:val="21"/>
          <w:szCs w:val="21"/>
        </w:rPr>
        <w:t xml:space="preserve">Table 9 — 500-user organization (annual):</w:t>
      </w:r>
      <w:r>
        <w:rPr>
          <w:rFonts w:ascii="Times New Roman" w:eastAsia="SimSun" w:hAnsi="Times New Roman"/>
          <w:color w:val="3A3A3A"/>
          <w:sz w:val="21"/>
          <w:szCs w:val="21"/>
        </w:rPr>
        <w:t xml:space="preserve"> Jira Premium $87,240 (Enterprise tier typically required for SSO at this scale → </w:t>
      </w:r>
      <w:r>
        <w:rPr>
          <w:rFonts w:ascii="Times New Roman" w:eastAsia="SimSun" w:hAnsi="Times New Roman"/>
          <w:b/>
          <w:bCs/>
          <w:color w:val="3A3A3A"/>
          <w:sz w:val="21"/>
          <w:szCs w:val="21"/>
        </w:rPr>
        <w:t xml:space="preserve">~$166k+ floor</w:t>
      </w:r>
      <w:r>
        <w:rPr>
          <w:rFonts w:ascii="Times New Roman" w:eastAsia="SimSun" w:hAnsi="Times New Roman"/>
          <w:color w:val="3A3A3A"/>
          <w:sz w:val="21"/>
          <w:szCs w:val="21"/>
        </w:rPr>
        <w:t xml:space="preserve">) / ClickUp $133,200 / Asana $179,928 / Monday $136,800 / Smartsheet $136,800 / Wrike $180,000 / MS P3 $207,000 / Aha! $407,100 / Celoxis $168,750 / Planview ~$630,000 / ServiceNow ~$1,200,000 / Clarity ~$630,000 / Primavera ~$1,312,500 / </w:t>
      </w:r>
      <w:r>
        <w:rPr>
          <w:rFonts w:ascii="Times New Roman" w:eastAsia="SimSun" w:hAnsi="Times New Roman"/>
          <w:b/>
          <w:bCs/>
          <w:color w:val="3A3A3A"/>
          <w:sz w:val="21"/>
          <w:szCs w:val="21"/>
        </w:rPr>
        <w:t xml:space="preserve">PMCT Enterprise $126,000 + $90,000 = $216,000</w:t>
      </w:r>
      <w:r>
        <w:rPr>
          <w:rFonts w:ascii="Times New Roman" w:eastAsia="SimSun" w:hAnsi="Times New Roman"/>
          <w:color w:val="3A3A3A"/>
          <w:sz w:val="21"/>
          <w:szCs w:val="21"/>
        </w:rPr>
        <w:t xml:space="preserve">.</w:t>
      </w:r>
    </w:p>
    <w:p>
      <w:pPr>
        <w:keepNext/>
        <w:spacing w:after="100" w:before="200" w:line="312"/>
      </w:pPr>
      <w:r>
        <w:rPr>
          <w:rFonts w:ascii="Times New Roman" w:eastAsia="SimSun" w:hAnsi="Times New Roman"/>
          <w:b/>
          <w:bCs/>
          <w:color w:val="3A3A3A"/>
          <w:sz w:val="21"/>
          <w:szCs w:val="21"/>
        </w:rPr>
        <w:t xml:space="preserve">Table 10 — 1,000-user organization (annual):</w:t>
      </w:r>
      <w:r>
        <w:rPr>
          <w:rFonts w:ascii="Times New Roman" w:eastAsia="SimSun" w:hAnsi="Times New Roman"/>
          <w:color w:val="3A3A3A"/>
          <w:sz w:val="21"/>
          <w:szCs w:val="21"/>
        </w:rPr>
        <w:t xml:space="preserve"> Jira Premium $174,480 (+Align/Enterprise for portfolio → custom) / ClickUp $266,400 / Asana $359,856 / Monday $273,600 / Smartsheet $273,600 / Wrike $360,000 / MS P3 $414,000 / Aha! $814,200 / Celoxis $337,500 / Planview ~$1,260,000 / ServiceNow ~$2,400,000 / Clarity ~$1,260,000 / Primavera ~$2,625,000 / </w:t>
      </w:r>
      <w:r>
        <w:rPr>
          <w:rFonts w:ascii="Times New Roman" w:eastAsia="SimSun" w:hAnsi="Times New Roman"/>
          <w:b/>
          <w:bCs/>
          <w:color w:val="3A3A3A"/>
          <w:sz w:val="21"/>
          <w:szCs w:val="21"/>
        </w:rPr>
        <w:t xml:space="preserve">PMCT Enterprise $348,000 seat-based, or platform license ~$220,000 negotiated + $120,000 implementation</w:t>
      </w:r>
      <w:r>
        <w:rPr>
          <w:rFonts w:ascii="Times New Roman" w:eastAsia="SimSun" w:hAnsi="Times New Roman"/>
          <w:color w:val="3A3A3A"/>
          <w:sz w:val="21"/>
          <w:szCs w:val="21"/>
        </w:rPr>
        <w:t xml:space="preserve">.</w:t>
      </w:r>
    </w:p>
    <w:p>
      <w:pPr>
        <w:keepNext/>
        <w:spacing w:after="100" w:before="200" w:line="312"/>
      </w:pPr>
      <w:r>
        <w:rPr>
          <w:rFonts w:ascii="Times New Roman" w:eastAsia="SimSun" w:hAnsi="Times New Roman"/>
          <w:b/>
          <w:bCs/>
          <w:color w:val="3A3A3A"/>
          <w:sz w:val="21"/>
          <w:szCs w:val="21"/>
        </w:rPr>
        <w:t xml:space="preserve">Table 11 — 5,000-user organization (annual):</w:t>
      </w:r>
      <w:r>
        <w:rPr>
          <w:rFonts w:ascii="Times New Roman" w:eastAsia="SimSun" w:hAnsi="Times New Roman"/>
          <w:color w:val="3A3A3A"/>
          <w:sz w:val="21"/>
          <w:szCs w:val="21"/>
        </w:rPr>
        <w:t xml:space="preserve"> all Tier-1/3 tools scale to seven figures (Asana ~$1.8M, MS P3 ~$2.07M, ClickUp ~$1.33M incl. AI); Tier-2 quote-based planning ranges: Planview ~$6.3M, ServiceNow ~$12M (pre-discount; enterprise discounting typically 30–50% → realistic $4–7M), Clarity ~$6.3M, Primavera ~$13.1M. </w:t>
      </w:r>
      <w:r>
        <w:rPr>
          <w:rFonts w:ascii="Times New Roman" w:eastAsia="SimSun" w:hAnsi="Times New Roman"/>
          <w:b/>
          <w:bCs/>
          <w:color w:val="3A3A3A"/>
          <w:sz w:val="21"/>
          <w:szCs w:val="21"/>
        </w:rPr>
        <w:t xml:space="preserve">PMCT Global platform license planning range $450k–700k/yr + implementation</w:t>
      </w:r>
      <w:r>
        <w:rPr>
          <w:rFonts w:ascii="Times New Roman" w:eastAsia="SimSun" w:hAnsi="Times New Roman"/>
          <w:color w:val="3A3A3A"/>
          <w:sz w:val="21"/>
          <w:szCs w:val="21"/>
        </w:rPr>
        <w:t xml:space="preserve"> — the self-hosted option makes this economics possible.</w:t>
      </w:r>
    </w:p>
    <w:p>
      <w:pPr>
        <w:pBdr>
          <w:left w:val="single" w:color="D6C096" w:sz="12" w:space="12"/>
        </w:pBdr>
        <w:shd w:fill="F5F3ED" w:val="clear"/>
        <w:spacing w:after="60" w:line="312"/>
        <w:ind w:left="400" w:right="400"/>
      </w:pPr>
      <w:r>
        <w:rPr>
          <w:rFonts w:ascii="Times New Roman" w:eastAsia="SimSun" w:hAnsi="Times New Roman"/>
          <w:i/>
          <w:iCs/>
          <w:color w:val="4A4A4A"/>
          <w:sz w:val="21"/>
          <w:szCs w:val="21"/>
        </w:rPr>
        <w:t xml:space="preserve">Every [R] row is a planning estimate, not a quote. The pattern, not the point estimates, is</w:t>
      </w:r>
    </w:p>
    <w:p>
      <w:pPr>
        <w:pBdr>
          <w:left w:val="single" w:color="D6C096" w:sz="12" w:space="12"/>
        </w:pBdr>
        <w:shd w:fill="F5F3ED" w:val="clear"/>
        <w:spacing w:after="160" w:line="312"/>
        <w:ind w:left="400" w:right="400"/>
      </w:pPr>
      <w:r>
        <w:rPr>
          <w:rFonts w:ascii="Times New Roman" w:eastAsia="SimSun" w:hAnsi="Times New Roman"/>
          <w:i/>
          <w:iCs/>
          <w:color w:val="4A4A4A"/>
          <w:sz w:val="21"/>
          <w:szCs w:val="21"/>
        </w:rPr>
        <w:t xml:space="preserve">the finding: </w:t>
      </w:r>
      <w:r>
        <w:rPr>
          <w:rFonts w:ascii="Times New Roman" w:eastAsia="SimSun" w:hAnsi="Times New Roman"/>
          <w:b/>
          <w:bCs/>
          <w:i/>
          <w:iCs/>
          <w:color w:val="4A4A4A"/>
          <w:sz w:val="21"/>
          <w:szCs w:val="21"/>
        </w:rPr>
        <w:t xml:space="preserve">Tier-2 PPM costs 5–15x PMCT at the same user count.</w:t>
      </w:r>
    </w:p>
    <w:p>
      <w:pPr>
        <w:pStyle w:val="Heading1"/>
        <w:pageBreakBefore/>
        <w:spacing w:after="200" w:before="360" w:line="312"/>
      </w:pPr>
      <w:bookmarkStart w:id="100015" w:name="_Toc100015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12 — TOTAL COST OF OWNERSHIP</w:t>
      </w:r>
      <w:bookmarkEnd w:id="100015"/>
    </w:p>
    <w:p>
      <w:pPr>
        <w:spacing w:after="12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TCO = Subscription + Implementation + Configuration + Integration + Training + Administration +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Reporting effort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+ Data migration + Support + Add-ons + AI + Unused licenses.</w:t>
      </w:r>
    </w:p>
    <w:p>
      <w:pPr>
        <w:keepNext/>
        <w:spacing w:after="100" w:before="200" w:line="312"/>
      </w:pPr>
      <w:r>
        <w:rPr>
          <w:rFonts w:ascii="Times New Roman" w:eastAsia="SimSun" w:hAnsi="Times New Roman"/>
          <w:b/>
          <w:bCs/>
          <w:color w:val="3A3A3A"/>
          <w:sz w:val="21"/>
          <w:szCs w:val="21"/>
        </w:rPr>
        <w:t xml:space="preserve">Table — 100-user TCO comparison, 3-year horizon [E model]:</w:t>
      </w:r>
    </w:p>
    <w:tbl>
      <w:tblPr>
        <w:tblW w:type="pct" w:w="100%"/>
        <w:tblBorders>
          <w:top w:val="single" w:color="000000" w:sz="8"/>
          <w:left w:val="single" w:color="DDD8CC" w:sz="4"/>
          <w:bottom w:val="single" w:color="000000" w:sz="8"/>
          <w:right w:val="single" w:color="DDD8CC" w:sz="4"/>
          <w:insideH w:val="single" w:color="DDD8CC" w:sz="4"/>
          <w:insideV w:val="single" w:color="DDD8CC" w:sz="4"/>
        </w:tblBorders>
        <w:tblLayout w:type="autofit"/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Cost line (3 yr)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Jira Premium + Smartsheet + Power BI + PMO effort (status quo stack)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ServiceNow SPM [R]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Planview Portfolios [R]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PMCT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Subscription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$18k + $68k + $15k = ~$101k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~$360k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~$216k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$75.6k (Y1 $25.2k + Y2–3)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Implementation/config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~$40k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~$250k+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~$180k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$30k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Integration build/maintenance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~$30k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~$60k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~$45k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$10k (connector catalog)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Training/admin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~$20k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~$40k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~$30k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$12k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PMO reporting effort</w:t>
            </w: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 (the glue)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~$480k</w:t>
            </w: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 (2 FTE × 3 yr)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~$120k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~$120k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~$60k</w:t>
            </w: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 (0.25 FTE)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Data reconciliation fixes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~$60k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~$30k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~$30k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~$5k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3-year TCO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~$730k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~$860k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~$620k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~$193k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Findings: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(1) the status-quo stack is </w:t>
      </w:r>
      <w:r>
        <w:rPr>
          <w:rFonts w:ascii="Times New Roman" w:eastAsia="SimSun" w:hAnsi="Times New Roman"/>
          <w:i/>
          <w:iCs/>
          <w:color w:val="000000"/>
          <w:sz w:val="22"/>
          <w:szCs w:val="22"/>
        </w:rPr>
        <w:t xml:space="preserve">not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the cheap option — reporting effort dominates; (2) Tier-2 suites lower the glue cost but carry 5–10x subscription; (3) PMCT wins the TCO comparison even against doing nothing, because it replaces effort, not just tools. PMCT's self-hosted option adds a customer-controlled infrastructure line (~$3–8k/yr) that SaaS-only competitors cannot offer at any price.</w:t>
      </w:r>
    </w:p>
    <w:p>
      <w:pPr>
        <w:pStyle w:val="Heading1"/>
        <w:pageBreakBefore/>
        <w:spacing w:after="200" w:before="360" w:line="312"/>
      </w:pPr>
      <w:bookmarkStart w:id="100016" w:name="_Toc100016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13 — PMCT PRICING STRATEGY</w:t>
      </w:r>
      <w:bookmarkEnd w:id="100016"/>
    </w:p>
    <w:p>
      <w:pPr>
        <w:spacing w:after="12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Four models analyzed:</w:t>
      </w:r>
    </w:p>
    <w:tbl>
      <w:tblPr>
        <w:tblW w:type="pct" w:w="100%"/>
        <w:tblBorders>
          <w:top w:val="single" w:color="000000" w:sz="8"/>
          <w:left w:val="single" w:color="DDD8CC" w:sz="4"/>
          <w:bottom w:val="single" w:color="000000" w:sz="8"/>
          <w:right w:val="single" w:color="DDD8CC" w:sz="4"/>
          <w:insideH w:val="single" w:color="DDD8CC" w:sz="4"/>
          <w:insideV w:val="single" w:color="DDD8CC" w:sz="4"/>
        </w:tblBorders>
        <w:tblLayout w:type="autofit"/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Model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Mechanics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Pros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Cons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Verdict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A — Per user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$X/user/mo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Simple; benchmark-familiar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Underprices executive value; punishes adoption that feeds the layer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Keep for ≤500 users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B — Org license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$X/mo up to N users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Predictable; rewards adoption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Caps expansion revenue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Retire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 — Enterprise platform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$X/yr unlimited users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Matches how Tier-2 is bought; high ACV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Requires sales-led motion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Adopt ≥500 users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D —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Hybrid (recommended)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Platform fee + user bands above included block + role-based value metric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Monetizes the layer; protects contributor adoption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Explaining complexity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Adopt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Value-metric analysis: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seats alone misprice an executive layer (10 executives + 500 contributors). Recommended value metric: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full-price "working" seats are contributors AND PMO/executive users alike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(simplicity), but the </w:t>
      </w:r>
      <w:r>
        <w:rPr>
          <w:rFonts w:ascii="Times New Roman" w:eastAsia="SimSun" w:hAnsi="Times New Roman"/>
          <w:i/>
          <w:iCs/>
          <w:color w:val="000000"/>
          <w:sz w:val="22"/>
          <w:szCs w:val="22"/>
        </w:rPr>
        <w:t xml:space="preserve">plan ladder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is gated by value delivered (portfolio optimization, financial intelligence, governance, integrations, AI included), and above 500 users the platform fee captures organizational value while per-seat increments shrink. Read-only viewer licenses free or nominal — viewers spread the data that deepens switching costs.</w:t>
      </w:r>
    </w:p>
    <w:p>
      <w:pPr>
        <w:pStyle w:val="Heading1"/>
        <w:pageBreakBefore/>
        <w:spacing w:after="200" w:before="360" w:line="312"/>
      </w:pPr>
      <w:bookmarkStart w:id="100017" w:name="_Toc100017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14 — RECOMMENDED PMCT PRICING</w:t>
      </w:r>
      <w:bookmarkEnd w:id="100017"/>
    </w:p>
    <w:p>
      <w:pPr>
        <w:spacing w:after="12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Positioning: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premium-to-work-management, value-to-enterprise-PPM.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Never the cheap option.</w:t>
      </w:r>
    </w:p>
    <w:p>
      <w:pPr>
        <w:keepNext/>
        <w:spacing w:after="100" w:before="200" w:line="312"/>
      </w:pPr>
      <w:r>
        <w:rPr>
          <w:rFonts w:ascii="Times New Roman" w:eastAsia="SimSun" w:hAnsi="Times New Roman"/>
          <w:b/>
          <w:bCs/>
          <w:color w:val="3A3A3A"/>
          <w:sz w:val="21"/>
          <w:szCs w:val="21"/>
        </w:rPr>
        <w:t xml:space="preserve">Table 12 — PMCT Recommended Pricing</w:t>
      </w:r>
      <w:r>
        <w:rPr>
          <w:rFonts w:ascii="Times New Roman" w:eastAsia="SimSun" w:hAnsi="Times New Roman"/>
          <w:color w:val="3A3A3A"/>
          <w:sz w:val="21"/>
          <w:szCs w:val="21"/>
        </w:rPr>
        <w:t xml:space="preserve"> (USD; INR at ₹88)</w:t>
      </w:r>
    </w:p>
    <w:tbl>
      <w:tblPr>
        <w:tblW w:type="pct" w:w="100%"/>
        <w:tblBorders>
          <w:top w:val="single" w:color="000000" w:sz="8"/>
          <w:left w:val="single" w:color="DDD8CC" w:sz="4"/>
          <w:bottom w:val="single" w:color="000000" w:sz="8"/>
          <w:right w:val="single" w:color="DDD8CC" w:sz="4"/>
          <w:insideH w:val="single" w:color="DDD8CC" w:sz="4"/>
          <w:insideV w:val="single" w:color="DDD8CC" w:sz="4"/>
        </w:tblBorders>
        <w:tblLayout w:type="autofit"/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Starter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Professional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Business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Enterprise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Enterprise Plus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For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Small orgs (≤25 users)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Growing orgs (≤100)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Medium enterprises (≤500)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Large (≤2,000)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Strategic/global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Monthly (per user)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$11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$19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$26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$36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custom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Annual (per user/mo)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$9</w:t>
            </w: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 (₹792)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$15</w:t>
            </w: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 (₹1,320)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$21</w:t>
            </w: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 (₹1,848)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$29</w:t>
            </w: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 (₹2,552)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custom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Platform fee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optional $75k+/yr unlimited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$150k+/yr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Users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≤25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≤100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≤500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≤2,000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unlimited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Projects/portfolios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5 / 1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50 / 3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Unlimited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Unlimited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Unlimited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Core PPM (WBS/CPM/Gantt/EVM)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Prioritization optimizer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Investment/business cases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Governance engine, gates, RAID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Basic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Integrity Layer (freshness, evidence bundles, Monte Carlo)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Read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Reporting Center (177 templates) + PPT export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25 templates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AI assistant (draft-gated)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Automations, webhooks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Integrations catalog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3 connectors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All 27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All + custom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All + custom dev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SSO (SAML/OIDC)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SCIM + MFA enforcement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Self-hosted deployment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 (+air-gapped)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Admin metadata center (custom fields/types/terminology)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Support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Community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Business hours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Business hours, 8×5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24×5, SLA 99.5%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24×7, SLA 99.9%, named CSM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 + sandbox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✔ + rate-limit lift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Storage (self-hosted = customer-controlled)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5 GB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25 GB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100 GB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Custom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Custom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Annual-prepaid discount: 25% off monthly rates (built into the table). Design note: PMCT includes AI in the plan price (competitors charge $9–28/user add-ons [V]) and includes SSO at Professional (competitors gate it to Enterprise [V]) — two deliberate "included" anchors that reprice the comparison.</w:t>
      </w:r>
    </w:p>
    <w:p>
      <w:pPr>
        <w:pStyle w:val="Heading1"/>
        <w:pageBreakBefore/>
        <w:spacing w:after="200" w:before="360" w:line="312"/>
      </w:pPr>
      <w:bookmarkStart w:id="100018" w:name="_Toc100018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15 — ONE-TIME LICENSE / PERPETUAL SALE</w:t>
      </w:r>
      <w:bookmarkEnd w:id="100018"/>
    </w:p>
    <w:p>
      <w:pPr>
        <w:spacing w:after="12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PMCT ships self-hosted today (Docker/bare-metal, single-tenant, one-file DB) — perpetual licensing is genuinely shippable. Includes: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binary/application license, private-cloud or on-prem deployment, dedicated database, 12 months of upgrades and support; source code only in Global/sovereign deals under escrow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; annual maintenance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18–20%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from year 2 (support + upgrade rights).</w:t>
      </w:r>
    </w:p>
    <w:p>
      <w:pPr>
        <w:keepNext/>
        <w:spacing w:after="100" w:before="200" w:line="312"/>
      </w:pPr>
      <w:r>
        <w:rPr>
          <w:rFonts w:ascii="Times New Roman" w:eastAsia="SimSun" w:hAnsi="Times New Roman"/>
          <w:b/>
          <w:bCs/>
          <w:color w:val="3A3A3A"/>
          <w:sz w:val="21"/>
          <w:szCs w:val="21"/>
        </w:rPr>
        <w:t xml:space="preserve">Table — Recommended perpetual pricing [E]</w:t>
      </w:r>
    </w:p>
    <w:tbl>
      <w:tblPr>
        <w:tblW w:type="pct" w:w="100%"/>
        <w:tblBorders>
          <w:top w:val="single" w:color="000000" w:sz="8"/>
          <w:left w:val="single" w:color="DDD8CC" w:sz="4"/>
          <w:bottom w:val="single" w:color="000000" w:sz="8"/>
          <w:right w:val="single" w:color="DDD8CC" w:sz="4"/>
          <w:insideH w:val="single" w:color="DDD8CC" w:sz="4"/>
          <w:insideV w:val="single" w:color="DDD8CC" w:sz="4"/>
        </w:tblBorders>
        <w:tblLayout w:type="autofit"/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Edition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Scale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One-time license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Implementation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Maintenance (Y2+)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Small Enterprise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≤100 users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$75,000</w:t>
            </w: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 (₹66 L)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$7.5–30k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18% /yr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Mid Enterprise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≤500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$150,000</w:t>
            </w: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 (₹1.32 Cr)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$30–90k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18–20% /yr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Large Enterprise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≤2,000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$300,000</w:t>
            </w: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 (₹2.64 Cr)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$90–150k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20% /yr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Global Enterprise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2,000+ / sovereign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$500,000–900,000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$200k+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20% /yr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Anchor check: Celoxis on-prem ≈ $450/user one-time [V] → 500 users ≈ $225k; PMCT's mid-enterprise $150k undercuts the only published on-prem PPM benchmark while including governance/financial depth Celoxis lacks. Rationale: perpetual price ≈ 2.5–4x annual SaaS value at plan rates — attractive to cash-rich, cloud-averse buyers (governments, banks, DPDP/sovereignty-driven) without cannibalizing SaaS (maintenance ensures 90%+ of lifetime value still accrues).</w:t>
      </w:r>
    </w:p>
    <w:p>
      <w:pPr>
        <w:pStyle w:val="Heading1"/>
        <w:pageBreakBefore/>
        <w:spacing w:after="200" w:before="360" w:line="312"/>
      </w:pPr>
      <w:bookmarkStart w:id="100019" w:name="_Toc100019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16 — ENTERPRISE DEAL EXAMPLES</w:t>
      </w:r>
      <w:bookmarkEnd w:id="100019"/>
    </w:p>
    <w:p>
      <w:pPr>
        <w:spacing w:after="12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Assumption: organization keeps Jira (coexistence) and kills Smartsheet/BI/status glue. Glue layer est.: $160k base + $900/user/yr [E]. PMCT plan: $21/user (≤500), $29 (&gt;500).</w:t>
      </w:r>
    </w:p>
    <w:p>
      <w:pPr>
        <w:keepNext/>
        <w:spacing w:after="100" w:before="200" w:line="312"/>
      </w:pPr>
      <w:r>
        <w:rPr>
          <w:rFonts w:ascii="Times New Roman" w:eastAsia="SimSun" w:hAnsi="Times New Roman"/>
          <w:b/>
          <w:bCs/>
          <w:color w:val="3A3A3A"/>
          <w:sz w:val="21"/>
          <w:szCs w:val="21"/>
        </w:rPr>
        <w:t xml:space="preserve">Table 20 — Enterprise Deal Examples (annual, USD)</w:t>
      </w:r>
    </w:p>
    <w:tbl>
      <w:tblPr>
        <w:tblW w:type="pct" w:w="100%"/>
        <w:tblBorders>
          <w:top w:val="single" w:color="000000" w:sz="8"/>
          <w:left w:val="single" w:color="DDD8CC" w:sz="4"/>
          <w:bottom w:val="single" w:color="000000" w:sz="8"/>
          <w:right w:val="single" w:color="DDD8CC" w:sz="4"/>
          <w:insideH w:val="single" w:color="DDD8CC" w:sz="4"/>
          <w:insideV w:val="single" w:color="DDD8CC" w:sz="4"/>
        </w:tblBorders>
        <w:tblLayout w:type="autofit"/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5"/>
                <w:szCs w:val="15"/>
              </w:rPr>
              <w:t xml:space="preserve">Users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5"/>
                <w:szCs w:val="15"/>
              </w:rPr>
              <w:t xml:space="preserve">Jira Premium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5"/>
                <w:szCs w:val="15"/>
              </w:rPr>
              <w:t xml:space="preserve">ClickUp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5"/>
                <w:szCs w:val="15"/>
              </w:rPr>
              <w:t xml:space="preserve">Asana Adv.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5"/>
                <w:szCs w:val="15"/>
              </w:rPr>
              <w:t xml:space="preserve">Monday Pro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5"/>
                <w:szCs w:val="15"/>
              </w:rPr>
              <w:t xml:space="preserve">Smartsheet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5"/>
                <w:szCs w:val="15"/>
              </w:rPr>
              <w:t xml:space="preserve">Status-quo glue [E]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5"/>
                <w:szCs w:val="15"/>
              </w:rPr>
              <w:t xml:space="preserve">PMCT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5"/>
                <w:szCs w:val="15"/>
              </w:rPr>
              <w:t xml:space="preserve">PMCT coexistence saving (vs Jira+glue)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100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$17,448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$14,400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$29,988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$22,800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$22,800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~$250,000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$25,200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~$242,000 (−83%)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250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$43,620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$36,000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$74,970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$57,000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$57,000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~$385,000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$63,000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~$366,000 (−80%)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500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$87,240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$72,000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$149,940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$114,000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$114,000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~$610,000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$126,000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~$571,000 (−78%)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1,000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$174,480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$144,000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$299,880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$228,000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$228,000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~$1,060,000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$348,000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~$886,000 (−68%)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Plus unquantified but real: reporting latency weeks→same-day; overruns detected via EVM weeks earlier; audit evidence automatic. In INR (₹88): the 250-user saving ≈ ₹3.2 crore/year.</w:t>
      </w:r>
    </w:p>
    <w:p>
      <w:pPr>
        <w:pStyle w:val="Heading1"/>
        <w:pageBreakBefore/>
        <w:spacing w:after="200" w:before="360" w:line="312"/>
      </w:pPr>
      <w:bookmarkStart w:id="100020" w:name="_Toc100020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17 — PMCT REVENUE MODEL (PLANNING SCENARIOS — NOT FORECASTS)</w:t>
      </w:r>
      <w:bookmarkEnd w:id="100020"/>
    </w:p>
    <w:p>
      <w:pPr>
        <w:spacing w:after="12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Assumptions [E]: Y1 churn ≈ 0 (immature base); SMB/mid customers join at month start; blended price/user/mo — Conservative $12 (Starter/Professional mix), Base $15, Aggressive $19 (mix shifts up-market); avg users/customer — 35 / 60 / 90; one-time onboarding — $2,000 / $6,000 / $10,000 per SMB customer; enterprise platform deals listed separately in the tables. Label: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planning scenarios based on stated assumptions; no guarantee of customer acquisition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.</w:t>
      </w:r>
    </w:p>
    <w:p>
      <w:pPr>
        <w:pStyle w:val="Heading1"/>
        <w:pageBreakBefore/>
        <w:spacing w:after="200" w:before="360" w:line="312"/>
      </w:pPr>
      <w:bookmarkStart w:id="100021" w:name="_Toc100021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18 — YEAR-1 REVENUE SIMULATION (12-MONTH TABLES)</w:t>
      </w:r>
      <w:bookmarkEnd w:id="100021"/>
    </w:p>
    <w:p>
      <w:pPr>
        <w:keepNext/>
        <w:spacing w:after="100" w:before="200" w:line="312"/>
      </w:pPr>
      <w:r>
        <w:rPr>
          <w:rFonts w:ascii="Times New Roman" w:eastAsia="SimSun" w:hAnsi="Times New Roman"/>
          <w:b/>
          <w:bCs/>
          <w:color w:val="3A3A3A"/>
          <w:sz w:val="21"/>
          <w:szCs w:val="21"/>
        </w:rPr>
        <w:t xml:space="preserve">Table 14 — Conservative (12 customers, SMB only)</w:t>
      </w:r>
    </w:p>
    <w:tbl>
      <w:tblPr>
        <w:tblW w:type="pct" w:w="100%"/>
        <w:tblBorders>
          <w:top w:val="single" w:color="000000" w:sz="8"/>
          <w:left w:val="single" w:color="DDD8CC" w:sz="4"/>
          <w:bottom w:val="single" w:color="000000" w:sz="8"/>
          <w:right w:val="single" w:color="DDD8CC" w:sz="4"/>
          <w:insideH w:val="single" w:color="DDD8CC" w:sz="4"/>
          <w:insideV w:val="single" w:color="DDD8CC" w:sz="4"/>
        </w:tblBorders>
        <w:tblLayout w:type="autofit"/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Month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New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Total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Avg Users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Paid Users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Avg Rev/Cust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MRR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New ARR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Cum ARR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One-time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Monthly Rev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Cum Rev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35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35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$420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$420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$5,040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$5,040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$2,420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$2,420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2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2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35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70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$420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$840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$5,040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$10,080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$2,840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$5,260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35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105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$420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$1,260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$5,040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$15,120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$3,260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$8,520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4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4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35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140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$420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$1,680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$5,040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$20,160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$3,680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$12,200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5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5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35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175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$420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$2,100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$5,040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$25,200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$4,100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$16,300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6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6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35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210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$420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$2,520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$5,040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$30,240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$4,520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$20,820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7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7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35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245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$420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$2,940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$5,040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$35,280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$4,940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$25,760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8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8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35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280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$420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$3,360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$5,040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$40,320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$5,360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$31,120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9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9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35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315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$420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$3,780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$5,040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$45,360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$5,780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$36,900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35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350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$420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$4,200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$5,040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$50,400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$6,200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$43,100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35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385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$420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$4,620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$5,040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$55,440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$6,620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$49,720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12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12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35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420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$420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$5,040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$5,040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$60,480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$7,040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$56,760</w:t>
            </w:r>
          </w:p>
        </w:tc>
      </w:tr>
    </w:tbl>
    <w:p>
      <w:pPr>
        <w:keepNext/>
        <w:spacing w:after="100" w:before="200" w:line="312"/>
      </w:pPr>
      <w:r>
        <w:rPr>
          <w:rFonts w:ascii="Times New Roman" w:eastAsia="SimSun" w:hAnsi="Times New Roman"/>
          <w:b/>
          <w:bCs/>
          <w:color w:val="3A3A3A"/>
          <w:sz w:val="21"/>
          <w:szCs w:val="21"/>
        </w:rPr>
        <w:t xml:space="preserve">Table 15 — Base (34 SMB/mid + 1 enterprise platform deal M10)</w:t>
      </w:r>
    </w:p>
    <w:tbl>
      <w:tblPr>
        <w:tblW w:type="pct" w:w="100%"/>
        <w:tblBorders>
          <w:top w:val="single" w:color="000000" w:sz="8"/>
          <w:left w:val="single" w:color="DDD8CC" w:sz="4"/>
          <w:bottom w:val="single" w:color="000000" w:sz="8"/>
          <w:right w:val="single" w:color="DDD8CC" w:sz="4"/>
          <w:insideH w:val="single" w:color="DDD8CC" w:sz="4"/>
          <w:insideV w:val="single" w:color="DDD8CC" w:sz="4"/>
        </w:tblBorders>
        <w:tblLayout w:type="autofit"/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Month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New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Total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Avg Users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Paid Users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Avg Rev/Cust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MRR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New ARR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Cum ARR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One-time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Monthly Rev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Cum Rev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60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60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$900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$900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$10,800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$10,800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$6,000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$6,900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$6,900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2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2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60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180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$900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$2,700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$21,600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$32,400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$12,000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$14,700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$21,600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2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5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60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$900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$4,500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$21,600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$54,000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$12,000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$16,500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$38,100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4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8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60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480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$900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$7,200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$32,400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$86,400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$18,000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$25,200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$63,300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5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60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660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$900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$9,900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$32,400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$118,800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$18,000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$27,900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$91,200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6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14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60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840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$900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$12,600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$32,400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$151,200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$18,000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$30,600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$121,800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7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17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60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1,020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$900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$15,300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$32,400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$183,600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$18,000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$33,300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$155,100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8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4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21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60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1,260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$900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$18,900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$43,200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$226,800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$24,000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$42,900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$198,000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9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4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25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60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1,500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$900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$22,500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$43,200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$270,000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$24,000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$46,500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$244,500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 + 1 ent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29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60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2,180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$1,145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$33,200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$128,400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$398,400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$93,000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$126,200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$370,700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32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60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2,360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$1,122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$35,900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$32,400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$430,800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$18,000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$53,900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$424,600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12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35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60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2,540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$1,103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$38,600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$32,400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$463,200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$18,000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$56,600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$481,200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 w:hAnsi="Times New Roman"/>
          <w:i/>
          <w:iCs/>
          <w:color w:val="000000"/>
          <w:sz w:val="22"/>
          <w:szCs w:val="22"/>
        </w:rPr>
        <w:t xml:space="preserve">(M10 enterprise deal: $96,000/yr platform ARR + $75,000 implementation.)</w:t>
      </w:r>
    </w:p>
    <w:p>
      <w:pPr>
        <w:keepNext/>
        <w:spacing w:after="100" w:before="200" w:line="312"/>
      </w:pPr>
      <w:r>
        <w:rPr>
          <w:rFonts w:ascii="Times New Roman" w:eastAsia="SimSun" w:hAnsi="Times New Roman"/>
          <w:b/>
          <w:bCs/>
          <w:color w:val="3A3A3A"/>
          <w:sz w:val="21"/>
          <w:szCs w:val="21"/>
        </w:rPr>
        <w:t xml:space="preserve">Table 16 — Aggressive (54 SMB/mid + 2 enterprise platform deals M6, M11)</w:t>
      </w:r>
    </w:p>
    <w:tbl>
      <w:tblPr>
        <w:tblW w:type="pct" w:w="100%"/>
        <w:tblBorders>
          <w:top w:val="single" w:color="000000" w:sz="8"/>
          <w:left w:val="single" w:color="DDD8CC" w:sz="4"/>
          <w:bottom w:val="single" w:color="000000" w:sz="8"/>
          <w:right w:val="single" w:color="DDD8CC" w:sz="4"/>
          <w:insideH w:val="single" w:color="DDD8CC" w:sz="4"/>
          <w:insideV w:val="single" w:color="DDD8CC" w:sz="4"/>
        </w:tblBorders>
        <w:tblLayout w:type="autofit"/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Month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New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Total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Avg Users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Paid Users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Avg Rev/Cust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MRR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New ARR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Cum ARR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One-time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Monthly Rev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3"/>
                <w:szCs w:val="13"/>
              </w:rPr>
              <w:t xml:space="preserve">Cum Rev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2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2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90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180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$1,710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$3,420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$41,040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$41,040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$20,000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$23,420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$23,420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2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5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90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450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$1,710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$8,550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$61,560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$102,600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$30,000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$38,550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$61,970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8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90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720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$1,710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$13,680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$61,560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$164,160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$30,000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$43,680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$105,650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4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4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12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90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1,080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$1,710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$20,520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$82,080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$246,240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$40,000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$60,520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$166,170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5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5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17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90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1,530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$1,710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$29,070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$102,600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$348,840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$50,000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$79,070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$245,240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6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5 + 1 ent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23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90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2,680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$2,070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$47,620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$222,600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$571,440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$140,000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$187,620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$432,860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7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5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28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90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3,130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$2,006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$56,170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$102,600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$674,040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$50,000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$106,170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$539,030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8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6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34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90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3,670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$1,954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$66,430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$123,120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$797,160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$60,000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$126,430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$665,460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9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6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40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90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4,210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$1,917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$76,690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$123,120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$920,280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$60,000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$136,690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$802,150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6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46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90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4,750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$1,890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$86,950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$123,120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$1,043,400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$60,000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$146,950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$949,100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5 + 1 ent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52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90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6,100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$2,077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$108,000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$252,600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$1,296,000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$160,000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$268,000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$1,217,100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12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4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56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90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6,460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$2,051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$114,840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$82,080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$1,378,080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$40,000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3"/>
                <w:szCs w:val="13"/>
              </w:rPr>
              <w:t xml:space="preserve">$154,840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3"/>
                <w:szCs w:val="13"/>
              </w:rPr>
              <w:t xml:space="preserve">$1,371,940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 w:hAnsi="Times New Roman"/>
          <w:i/>
          <w:iCs/>
          <w:color w:val="000000"/>
          <w:sz w:val="22"/>
          <w:szCs w:val="22"/>
        </w:rPr>
        <w:t xml:space="preserve">(Enterprise deals: M6 $120k ARR + $90k impl; M11 $150k ARR + $110k impl.)</w:t>
      </w:r>
    </w:p>
    <w:p>
      <w:pPr>
        <w:keepNext/>
        <w:spacing w:after="100" w:before="200" w:line="312"/>
      </w:pPr>
      <w:r>
        <w:rPr>
          <w:rFonts w:ascii="Times New Roman" w:eastAsia="SimSun" w:hAnsi="Times New Roman"/>
          <w:b/>
          <w:bCs/>
          <w:color w:val="3A3A3A"/>
          <w:sz w:val="21"/>
          <w:szCs w:val="21"/>
        </w:rPr>
        <w:t xml:space="preserve">Table 13 — SaaS Revenue Model summary (Year 1 exit)</w:t>
      </w:r>
    </w:p>
    <w:tbl>
      <w:tblPr>
        <w:tblW w:type="pct" w:w="100%"/>
        <w:tblBorders>
          <w:top w:val="single" w:color="000000" w:sz="8"/>
          <w:left w:val="single" w:color="DDD8CC" w:sz="4"/>
          <w:bottom w:val="single" w:color="000000" w:sz="8"/>
          <w:right w:val="single" w:color="DDD8CC" w:sz="4"/>
          <w:insideH w:val="single" w:color="DDD8CC" w:sz="4"/>
          <w:insideV w:val="single" w:color="DDD8CC" w:sz="4"/>
        </w:tblBorders>
        <w:tblLayout w:type="autofit"/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5"/>
                <w:szCs w:val="15"/>
              </w:rPr>
              <w:t xml:space="preserve">Scenario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5"/>
                <w:szCs w:val="15"/>
              </w:rPr>
              <w:t xml:space="preserve">Customers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5"/>
                <w:szCs w:val="15"/>
              </w:rPr>
              <w:t xml:space="preserve">Paid users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5"/>
                <w:szCs w:val="15"/>
              </w:rPr>
              <w:t xml:space="preserve">Exit MRR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5"/>
                <w:szCs w:val="15"/>
              </w:rPr>
              <w:t xml:space="preserve">Exit ARR run-rate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5"/>
                <w:szCs w:val="15"/>
              </w:rPr>
              <w:t xml:space="preserve">One-time Y1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5"/>
                <w:szCs w:val="15"/>
              </w:rPr>
              <w:t xml:space="preserve">Total Y1 revenue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Conservative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420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$5,040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$60,480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$24,000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$56,760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Base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35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2,540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$38,600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$463,200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$287,000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$481,200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Aggressive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56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6,460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$114,840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$1,378,080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5"/>
                <w:szCs w:val="15"/>
              </w:rPr>
              <w:t xml:space="preserve">$500,000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5"/>
                <w:szCs w:val="15"/>
              </w:rPr>
              <w:t xml:space="preserve">$1,371,940</w:t>
            </w:r>
          </w:p>
        </w:tc>
      </w:tr>
    </w:tbl>
    <w:p>
      <w:pPr>
        <w:pStyle w:val="Heading1"/>
        <w:pageBreakBefore/>
        <w:spacing w:after="200" w:before="360" w:line="312"/>
      </w:pPr>
      <w:bookmarkStart w:id="100022" w:name="_Toc100022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19 — CUSTOMER SEGMENT REVENUE (steady-state illustrative mix [E])</w:t>
      </w:r>
      <w:bookmarkEnd w:id="100022"/>
    </w:p>
    <w:tbl>
      <w:tblPr>
        <w:tblW w:type="pct" w:w="100%"/>
        <w:tblBorders>
          <w:top w:val="single" w:color="000000" w:sz="8"/>
          <w:left w:val="single" w:color="DDD8CC" w:sz="4"/>
          <w:bottom w:val="single" w:color="000000" w:sz="8"/>
          <w:right w:val="single" w:color="DDD8CC" w:sz="4"/>
          <w:insideH w:val="single" w:color="DDD8CC" w:sz="4"/>
          <w:insideV w:val="single" w:color="DDD8CC" w:sz="4"/>
        </w:tblBorders>
        <w:tblLayout w:type="autofit"/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Segment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Typical ACV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Customers (steady state)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ARR contribution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SMB (Starter/Professional)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$6,500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600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$3.9M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Mid-Market (Business)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$25,000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220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$5.5M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Enterprise (platform)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$100,000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$2.8M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Global Enterprise (Enterprise Plus)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$280,000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$1.4M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Blended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ARPU $15,944/customer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853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$13.6M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Blended ARPU ≈ $16k/customer confirms the platform-plus-seats architecture: the same 853-customer count at pure Starter pricing would yield ~$3.5M — the up-market ladder nearly quadruples ARPU.</w:t>
      </w:r>
    </w:p>
    <w:p>
      <w:pPr>
        <w:pStyle w:val="Heading1"/>
        <w:pageBreakBefore/>
        <w:spacing w:after="200" w:before="360" w:line="312"/>
      </w:pPr>
      <w:bookmarkStart w:id="100023" w:name="_Toc100023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20 — ONE-TIME LICENSE REVENUE (alternative model [E])</w:t>
      </w:r>
      <w:bookmarkEnd w:id="100023"/>
    </w:p>
    <w:p>
      <w:pPr>
        <w:spacing w:after="12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5 enterprise perpetual customers in Year 1 (Mid ×2, Large ×2, Global ×1): license $150k+$150k+ $300k+$300k+$600k =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$1.5M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; implementation (avg $90k ×5) =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$450k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; integration/training ~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$125k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; support (year 1 included) — total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~$2.08M Year-1 cash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; maintenance from Y2 (18–20% of license =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$270–300k/yr recurring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). Comparison: ~4.3x the Base-case SaaS year-1 revenue with 5 deals instead of 35 — but lower multiple on exit (Part 21).</w:t>
      </w:r>
    </w:p>
    <w:p>
      <w:pPr>
        <w:pStyle w:val="Heading1"/>
        <w:pageBreakBefore/>
        <w:spacing w:after="200" w:before="360" w:line="312"/>
      </w:pPr>
      <w:bookmarkStart w:id="100024" w:name="_Toc100024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21 — SaaS vs PERPETUAL BUSINESS MODEL</w:t>
      </w:r>
      <w:bookmarkEnd w:id="100024"/>
    </w:p>
    <w:tbl>
      <w:tblPr>
        <w:tblW w:type="pct" w:w="100%"/>
        <w:tblBorders>
          <w:top w:val="single" w:color="000000" w:sz="8"/>
          <w:left w:val="single" w:color="DDD8CC" w:sz="4"/>
          <w:bottom w:val="single" w:color="000000" w:sz="8"/>
          <w:right w:val="single" w:color="DDD8CC" w:sz="4"/>
          <w:insideH w:val="single" w:color="DDD8CC" w:sz="4"/>
          <w:insideV w:val="single" w:color="DDD8CC" w:sz="4"/>
        </w:tblBorders>
        <w:tblLayout w:type="autofit"/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Dimension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SaaS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Perpetual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PMCT read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Initial revenue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Perpetual smooths Y1 cash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Recurring quality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High (ARR multiple 4–8x)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Maintenance only (18–20%)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SaaS compounds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Cash flow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Ramped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Upfront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Mix per deal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Scalability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Services-constrained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Enterprise procurement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Friction (security, vendor review)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Familiar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Perpetual unlocks sovereign/bank buyers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Valuation implication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4–8x ARR + growth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1–3x revenue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SaaS is the equity story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Predictability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High (NRR)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Re-buy cycles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Long-term revenue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Expansion + NRR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Maintenance ceiling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Recommendation: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SaaS-led company with a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perpetual/sovereign lane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(target ≤20% of new bookings) for regulated/air-gapped/DPDP-driven buyers; hybrid deals (platform fee + implementation) are the enterprise bridge. Both models ship from the same codebase — no fork, no margin dilution.</w:t>
      </w:r>
    </w:p>
    <w:p>
      <w:pPr>
        <w:pStyle w:val="Heading1"/>
        <w:pageBreakBefore/>
        <w:spacing w:after="200" w:before="360" w:line="312"/>
      </w:pPr>
      <w:bookmarkStart w:id="100025" w:name="_Toc100025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22 — UNIT ECONOMICS [E — assumptions stated]</w:t>
      </w:r>
      <w:bookmarkEnd w:id="100025"/>
    </w:p>
    <w:tbl>
      <w:tblPr>
        <w:tblW w:type="pct" w:w="100%"/>
        <w:tblBorders>
          <w:top w:val="single" w:color="000000" w:sz="8"/>
          <w:left w:val="single" w:color="DDD8CC" w:sz="4"/>
          <w:bottom w:val="single" w:color="000000" w:sz="8"/>
          <w:right w:val="single" w:color="DDD8CC" w:sz="4"/>
          <w:insideH w:val="single" w:color="DDD8CC" w:sz="4"/>
          <w:insideV w:val="single" w:color="DDD8CC" w:sz="4"/>
        </w:tblBorders>
        <w:tblLayout w:type="autofit"/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Metric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Conservative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Base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Aggressive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Blended ACV (per customer/yr)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$5,040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$10,800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$20,520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Gross margin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85%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85%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85%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Annual churn (assumption)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10%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12%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15%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LTV</w:t>
            </w: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 (ACV×GM÷churn)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$42,840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$76,500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$116,280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CAC — founder-led/lean [E]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$2,200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$4,500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$7,000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CAC — fully-loaded with enterprise sales [E]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$15,000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$25,000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LTV:CAC (lean / loaded)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19.5 / —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17.0 / 5.1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16.6 / 4.7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CAC payback (loaded)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~10.5 mo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~8.7 mo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NRR assumption (expansion: users + tier ladder)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105–115%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120%+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Honesty note: the lean-CAC ratios (16–19x) are a founder-led-sales artifact, not a steady state; the loaded view (≈5x) is the planning number. Both beat the SaaS viability bar (LTV:CAC ≥ 3, payback ≤ 18 months).</w:t>
      </w:r>
    </w:p>
    <w:p>
      <w:pPr>
        <w:pStyle w:val="Heading1"/>
        <w:pageBreakBefore/>
        <w:spacing w:after="200" w:before="360" w:line="312"/>
      </w:pPr>
      <w:bookmarkStart w:id="100026" w:name="_Toc100026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23 — BREAK-EVEN ANALYSIS [E]</w:t>
      </w:r>
      <w:bookmarkEnd w:id="100026"/>
    </w:p>
    <w:p>
      <w:pPr>
        <w:spacing w:after="12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Operating cost assumptions (monthly, fully loaded): Conservative $38k (4 engineers, founder-led sales, minimal stack); Base $65k (7 engineering/PM, 2 sales/CS, marketing, cloud, AI API, legal/admin); Aggressive $110k (12 engineering, 4 sales/CS, partner program, security audits). Contribution margin per customer = ACV × 85%.</w:t>
      </w:r>
    </w:p>
    <w:p>
      <w:pPr>
        <w:keepNext/>
        <w:spacing w:after="100" w:before="200" w:line="312"/>
      </w:pPr>
      <w:r>
        <w:rPr>
          <w:rFonts w:ascii="Times New Roman" w:eastAsia="SimSun" w:hAnsi="Times New Roman"/>
          <w:b/>
          <w:bCs/>
          <w:color w:val="3A3A3A"/>
          <w:sz w:val="21"/>
          <w:szCs w:val="21"/>
        </w:rPr>
        <w:t xml:space="preserve">Table 19 — Break-Even</w:t>
      </w:r>
    </w:p>
    <w:tbl>
      <w:tblPr>
        <w:tblW w:type="pct" w:w="100%"/>
        <w:tblBorders>
          <w:top w:val="single" w:color="000000" w:sz="8"/>
          <w:left w:val="single" w:color="DDD8CC" w:sz="4"/>
          <w:bottom w:val="single" w:color="000000" w:sz="8"/>
          <w:right w:val="single" w:color="DDD8CC" w:sz="4"/>
          <w:insideH w:val="single" w:color="DDD8CC" w:sz="4"/>
          <w:insideV w:val="single" w:color="DDD8CC" w:sz="4"/>
        </w:tblBorders>
        <w:tblLayout w:type="autofit"/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Conservative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Base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Aggressive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Monthly burn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$38,000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$65,000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$110,000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Annual fixed cost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$456,000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$780,000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$1,320,000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Contribution margin/customer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$4,284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$9,180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$17,442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Break-even customers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107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85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76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Break-even ARR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$539,280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$918,000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$1,559,520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Year-1 exit ARR (from Part 18)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$60,480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$463,200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$1,378,080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Distance to break-even at Y1 exit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−89%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−50%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−12%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Read: Base reaches ~50% of break-even within Year 1; Aggressive is nearly break-even on an ARR basis by month 12 (helped by one-time services; EBITDA-positive Year 1 including services). Conservative requires either a cost reset or a deliberate shift up-market — the strategy conclusion (Part 36) follows directly.</w:t>
      </w:r>
    </w:p>
    <w:p>
      <w:pPr>
        <w:pStyle w:val="Heading1"/>
        <w:pageBreakBefore/>
        <w:spacing w:after="200" w:before="360" w:line="312"/>
      </w:pPr>
      <w:bookmarkStart w:id="100027" w:name="_Toc100027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24 — 3-YEAR BUSINESS MODEL [E — planning assumptions, not forecasts]</w:t>
      </w:r>
      <w:bookmarkEnd w:id="100027"/>
    </w:p>
    <w:p>
      <w:pPr>
        <w:spacing w:after="12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Method: Y1 revenue = 12-month simulation (Part 18, incl. one-time services). Y2/Y3 = retained ARR (85% GRR) + new ARR added mid-year at half-weight + one-time services. Costs scale with hiring plan.</w:t>
      </w:r>
    </w:p>
    <w:p>
      <w:pPr>
        <w:keepNext/>
        <w:spacing w:after="100" w:before="200" w:line="312"/>
      </w:pPr>
      <w:r>
        <w:rPr>
          <w:rFonts w:ascii="Times New Roman" w:eastAsia="SimSun" w:hAnsi="Times New Roman"/>
          <w:b/>
          <w:bCs/>
          <w:color w:val="3A3A3A"/>
          <w:sz w:val="21"/>
          <w:szCs w:val="21"/>
        </w:rPr>
        <w:t xml:space="preserve">Table 18 — 3-Year Model</w:t>
      </w:r>
    </w:p>
    <w:tbl>
      <w:tblPr>
        <w:tblW w:type="pct" w:w="100%"/>
        <w:tblBorders>
          <w:top w:val="single" w:color="000000" w:sz="8"/>
          <w:left w:val="single" w:color="DDD8CC" w:sz="4"/>
          <w:bottom w:val="single" w:color="000000" w:sz="8"/>
          <w:right w:val="single" w:color="DDD8CC" w:sz="4"/>
          <w:insideH w:val="single" w:color="DDD8CC" w:sz="4"/>
          <w:insideV w:val="single" w:color="DDD8CC" w:sz="4"/>
        </w:tblBorders>
        <w:tblLayout w:type="autofit"/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Conservative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Base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Aggressive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Year 1</w:t>
            </w: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 — customers / ARR / revenue / EBITDA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12 / $60k / $57k /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−$399k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35 / $463k / $481k /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−$299k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56 / $1,378k / $1,372k /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+$52k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Year 2</w:t>
            </w: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 — customers / ARR / revenue / EBITDA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30 / $151k / ~$133k /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−$507k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85 / $1,033k / ~$1,044k /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−$206k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145 / $2,313k / ~$2,970k /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+$1,020k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Year 3</w:t>
            </w: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 — customers / ARR / revenue / EBITDA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55 / $297k / ~$242k /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−$578k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150 / $1,807k / ~$1,666k /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−$84k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240 / $4,000k / ~$3,890k / </w:t>
            </w: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+$1,290k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Cumulative cash requirement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~$1.48M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~$0.59M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cash-positive from Y1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Break-even point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Not reached in 3 yr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Early Year 4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Inside Year 1–2</w:t>
            </w:r>
          </w:p>
        </w:tc>
      </w:tr>
    </w:tbl>
    <w:p>
      <w:pPr>
        <w:pStyle w:val="Heading1"/>
        <w:pageBreakBefore/>
        <w:spacing w:after="200" w:before="360" w:line="312"/>
      </w:pPr>
      <w:bookmarkStart w:id="100028" w:name="_Toc100028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25 — MARKET POSITIONING</w:t>
      </w:r>
      <w:bookmarkEnd w:id="100028"/>
    </w:p>
    <w:tbl>
      <w:tblPr>
        <w:tblW w:type="pct" w:w="100%"/>
        <w:tblBorders>
          <w:top w:val="single" w:color="000000" w:sz="8"/>
          <w:left w:val="single" w:color="DDD8CC" w:sz="4"/>
          <w:bottom w:val="single" w:color="000000" w:sz="8"/>
          <w:right w:val="single" w:color="DDD8CC" w:sz="4"/>
          <w:insideH w:val="single" w:color="DDD8CC" w:sz="4"/>
          <w:insideV w:val="single" w:color="DDD8CC" w:sz="4"/>
        </w:tblBorders>
        <w:tblLayout w:type="autofit"/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Option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Strength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Weakness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Verdict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"PMO Control Tower"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Familiar to PMO buyers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Narrow; sounds like a PMO tool, not a C-level platform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Good subtitle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"Enterprise Project Control Tower"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Clear, credible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"Project" undersells portfolio/financial depth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Acceptable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"The Control-Tower Layer Above the Project Ecosystem"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Category-defining; explains coexistence; justifies premium; matches shipped integrations + integrity stack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Needs integration proof on day one; educates the market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Lead narrative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"Project-to-Portfolio Intelligence Platform"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Accurate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Generic; blends into BI/analytics noise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Avoid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"Enterprise Delivery Intelligence Platform"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Modern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"Intelligence" is AI-washed everywhere in 2026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Avoid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"Unified Project, Portfolio &amp; Resource Control Tower"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Complete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Long; feature-list energy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Tagline only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Recommendation: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Position as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"PM Control Tower — the Enterprise Project &amp; Portfolio Control Tower"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, with the layer narrative as the story told in the first five minutes of every meeting: </w:t>
      </w:r>
      <w:r>
        <w:rPr>
          <w:rFonts w:ascii="Times New Roman" w:eastAsia="SimSun" w:hAnsi="Times New Roman"/>
          <w:i/>
          <w:iCs/>
          <w:color w:val="000000"/>
          <w:sz w:val="22"/>
          <w:szCs w:val="22"/>
        </w:rPr>
        <w:t xml:space="preserve">your tools keep their jobs; the truth gets a home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. This positioning is credible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because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PMCT ships the integration catalog, connector honesty discipline, and evidence bundles that the claim requires — and it prices like infrastructure, not like a seat.</w:t>
      </w:r>
    </w:p>
    <w:p>
      <w:pPr>
        <w:pStyle w:val="Heading1"/>
        <w:pageBreakBefore/>
        <w:spacing w:after="200" w:before="360" w:line="312"/>
      </w:pPr>
      <w:bookmarkStart w:id="100029" w:name="_Toc100029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26 — SALES STRATEGY</w:t>
      </w:r>
      <w:bookmarkEnd w:id="100029"/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Ideal customer: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100–1,000 delivery staff, existing Jira/ADO estate, PMO + CFO pain, data-residency sensitivity a plus.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Economic buyer: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PMO Director (champion) → CIO/CFO (approvers). Team-lead buyers are the </w:t>
      </w:r>
      <w:r>
        <w:rPr>
          <w:rFonts w:ascii="Times New Roman" w:eastAsia="SimSun" w:hAnsi="Times New Roman"/>
          <w:i/>
          <w:iCs/>
          <w:color w:val="000000"/>
          <w:sz w:val="22"/>
          <w:szCs w:val="22"/>
        </w:rPr>
        <w:t xml:space="preserve">users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, never the buyers — pricing and packaging must never optimize for them alone.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Sales process: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remote-first discovery → live demo on the prospect's own scenario data →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paid pilot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(4–8 weeks, fixed fee, success criteria: exception feed adopted, board pack generated, 2 connectors live) → security review → procurement → implementation → go-live → expansion (users → tiers → platform).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Cycle: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4–10 weeks mid-market; 3–9 months enterprise. Negotiation anchors: multi-year prepay discount 10–15%; platform fee traded for 3-year commitment; perpetual only for sovereignty cases.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Contract structure: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annual subscription, auto-renew with 90-day notice; SLA from Enterprise tier; DPA + data-residency schedule standard.</w:t>
      </w:r>
    </w:p>
    <w:p>
      <w:pPr>
        <w:pStyle w:val="Heading1"/>
        <w:pageBreakBefore/>
        <w:spacing w:after="200" w:before="360" w:line="312"/>
      </w:pPr>
      <w:bookmarkStart w:id="100030" w:name="_Toc100030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27 — GO-TO-MARKET STRATEGY</w:t>
      </w:r>
      <w:bookmarkEnd w:id="100030"/>
    </w:p>
    <w:p>
      <w:pPr>
        <w:spacing w:after="12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Priority order for a layer product sold to senior buyers:</w:t>
      </w:r>
    </w:p>
    <w:p>
      <w:pPr>
        <w:spacing w:after="80" w:line="312"/>
        <w:ind w:left="480" w:hanging="360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1. 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Direct founder-led sales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(Y1 core): outbound to PMO Directors; PMO-community content; live demo discipline. Channels: LinkedIn, PMI/IPMA chapters, webinars with the Integrity Layer as the hook ("board numbers you can prove").</w:t>
      </w:r>
    </w:p>
    <w:p>
      <w:pPr>
        <w:spacing w:after="80" w:line="312"/>
        <w:ind w:left="480" w:hanging="360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2. 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Consulting partners / SIs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(Y2 accelerator): Big-4-adjacent PMO consultancies and regional ERP integrators (Gulf/India) earn implementation revenue; 15–20% referral fees.</w:t>
      </w:r>
    </w:p>
    <w:p>
      <w:pPr>
        <w:spacing w:after="80" w:line="312"/>
        <w:ind w:left="480" w:hanging="360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3. 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Cloud marketplaces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(Y2+): AWS/Azure listings mainly unlock procurement budgets, not discovery.</w:t>
      </w:r>
    </w:p>
    <w:p>
      <w:pPr>
        <w:spacing w:after="80" w:line="312"/>
        <w:ind w:left="480" w:hanging="360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4. 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Self-serve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only for Starter (free ≤5 viewers, 14-day trial, no credit card) — it feeds the funnel and creates land-and-expand, but is never the core motion.</w:t>
      </w:r>
    </w:p>
    <w:p>
      <w:pPr>
        <w:spacing w:after="80" w:line="312"/>
        <w:ind w:left="480" w:hanging="360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5. 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ABM for Tier-2 displacement: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target accounts running ServiceNow or Clarity at renewal — the TCO table (Part 12) is the campaign.</w:t>
      </w:r>
    </w:p>
    <w:p>
      <w:pPr>
        <w:pStyle w:val="Heading1"/>
        <w:pageBreakBefore/>
        <w:spacing w:after="200" w:before="360" w:line="312"/>
      </w:pPr>
      <w:bookmarkStart w:id="100031" w:name="_Toc100031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28 — IMPLEMENTATION PACKAGES [E]</w:t>
      </w:r>
      <w:bookmarkEnd w:id="100031"/>
    </w:p>
    <w:tbl>
      <w:tblPr>
        <w:tblW w:type="pct" w:w="100%"/>
        <w:tblBorders>
          <w:top w:val="single" w:color="000000" w:sz="8"/>
          <w:left w:val="single" w:color="DDD8CC" w:sz="4"/>
          <w:bottom w:val="single" w:color="000000" w:sz="8"/>
          <w:right w:val="single" w:color="DDD8CC" w:sz="4"/>
          <w:insideH w:val="single" w:color="DDD8CC" w:sz="4"/>
          <w:insideV w:val="single" w:color="DDD8CC" w:sz="4"/>
        </w:tblBorders>
        <w:tblLayout w:type="autofit"/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Package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Contents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Indicative fee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Duration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Basic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Config + admin/user training (remote)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$7,500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1–2 weeks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Professional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Basic + data migration + 2 integrations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$30,000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3–5 weeks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Enterprise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Professional + SSO/SCIM/MFA + governance design + reporting setup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$90,000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8–12 weeks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Global Enterprise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Full transformation: multi-entity rollout, partner-delivered, bespoke connectors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$200,000+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3–6 months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Target: services ≈ 25–40% of first-year total contract value; margin-positive at blended delivery rates.</w:t>
      </w:r>
    </w:p>
    <w:p>
      <w:pPr>
        <w:pStyle w:val="Heading1"/>
        <w:pageBreakBefore/>
        <w:spacing w:after="200" w:before="360" w:line="312"/>
      </w:pPr>
      <w:bookmarkStart w:id="100032" w:name="_Toc100032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29 — SECURITY &amp; ENTERPRISE READINESS</w:t>
      </w:r>
      <w:bookmarkEnd w:id="100032"/>
    </w:p>
    <w:tbl>
      <w:tblPr>
        <w:tblW w:type="pct" w:w="100%"/>
        <w:tblBorders>
          <w:top w:val="single" w:color="000000" w:sz="8"/>
          <w:left w:val="single" w:color="DDD8CC" w:sz="4"/>
          <w:bottom w:val="single" w:color="000000" w:sz="8"/>
          <w:right w:val="single" w:color="DDD8CC" w:sz="4"/>
          <w:insideH w:val="single" w:color="DDD8CC" w:sz="4"/>
          <w:insideV w:val="single" w:color="DDD8CC" w:sz="4"/>
        </w:tblBorders>
        <w:tblLayout w:type="autofit"/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Capability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Status in PMCT v3.1.0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Category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SSO SAML 2.0 / OIDC (Entra ID, Okta), JIT provisioning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Shipped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Existing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SCIM (RFC 7644) user/group provisioning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Shipped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Existing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MFA (TOTP + recovery codes, enforce-by-role)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Shipped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Existing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RBAC (43 permissions × 8 roles) + audit on every mutation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Shipped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Existing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JWT (HS256 12 h) + bcrypt + lockout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Shipped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Existing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Self-hosted single-tenant (Docker/bare-metal, one-file DB, backup scripts)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Shipped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Existing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Data residency (deploy in-country), air-gapped install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Shipped by architecture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Existing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Encryption in transit (TLS via nginx/Caddy)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Shipped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Existing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Encryption at rest (disk/DB-level)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Partial (OS/infra level)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Required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PostgreSQL migration (scale ceiling removal)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Portable schema — execution required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Required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Multi-tenancy + tenant isolation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Not built (documented exception E-1)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Roadmap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SOC 2 Type II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Not started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Roadmap</w:t>
            </w: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 (Y2, ~$60–120k)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ISO 27001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Not started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Roadmap</w:t>
            </w: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 (Y2–Y3)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GDPR/DPDP compliance program (DPA, RoPA, retention)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Architecture-compatible; formal program required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Required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DR/HA (multi-AZ, RPO/RTO targets)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Backup/restore scripts + docs; HA execution required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Required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Penetration test (external)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Not executed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Required before enterprise push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Secrets management, vulnerability management, SAST/SCA in CI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Partial (deps pinned; formal pipeline required)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Required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Honest gate: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no SOC 2, no pen-test report, no formal a11y audit yet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— budget and sequence them in the roadmap below; do not sell Enterprise into US/EU banks before SOC 2 exists.</w:t>
      </w:r>
    </w:p>
    <w:p>
      <w:pPr>
        <w:pStyle w:val="Heading1"/>
        <w:pageBreakBefore/>
        <w:spacing w:after="200" w:before="360" w:line="312"/>
      </w:pPr>
      <w:bookmarkStart w:id="100033" w:name="_Toc100033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30 — PRODUCT ROADMAP (commercially sequenced)</w:t>
      </w:r>
      <w:bookmarkEnd w:id="100033"/>
    </w:p>
    <w:tbl>
      <w:tblPr>
        <w:tblW w:type="pct" w:w="100%"/>
        <w:tblBorders>
          <w:top w:val="single" w:color="000000" w:sz="8"/>
          <w:left w:val="single" w:color="DDD8CC" w:sz="4"/>
          <w:bottom w:val="single" w:color="000000" w:sz="8"/>
          <w:right w:val="single" w:color="DDD8CC" w:sz="4"/>
          <w:insideH w:val="single" w:color="DDD8CC" w:sz="4"/>
          <w:insideV w:val="single" w:color="DDD8CC" w:sz="4"/>
        </w:tblBorders>
        <w:tblLayout w:type="autofit"/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Phase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Theme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Features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Business value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Target buyer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Success criteria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Done (v1–v3.1)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Platform + Command Center + PPT export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46 domains, engines, 177 reports, integrations, integrity layer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The sellable product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Mid-market PMO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Golden path 20/20; production-certified ✔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Phase A (0–3 mo)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Sales readiness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Jira two-way live connector GA, SAP/Oracle-finance read connector, pen test, SOC 2 kickoff, pricing page, demo dataset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Removes top 3 sales objections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First 20 customers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2 connectors demo-able in &lt;1 day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Phase B (3–9 mo)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Layer proof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SAP + HR + Finance connectors, Teams/Slack distribution of the tower, PostgreSQL, SOC 2 Type I→II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Earns the "layer" claim technically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100–500-user deals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50% of new deals with ≥2 live connectors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Phase C (9–18 mo)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Enterprise readiness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Multi-tenancy (E-1), native mobile, scale execution (E-2), ISO 27001 start, a11y audit (E-8)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Unlocks 5,000+ user and SaaS-only buyers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Large enterprise, partners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1 global-enterprise deployment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Phase D (18–36 mo)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AI PMO + industry templates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Generative status narratives (governed), meeting assistant, portfolio scenario AI, industry templates on metadata layer (E-7)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ARPU expansion; defense against incumbents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Installed base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NRR ≥ 115%</w:t>
            </w:r>
          </w:p>
        </w:tc>
      </w:tr>
    </w:tbl>
    <w:p>
      <w:pPr>
        <w:pStyle w:val="Heading1"/>
        <w:pageBreakBefore/>
        <w:spacing w:after="200" w:before="360" w:line="312"/>
      </w:pPr>
      <w:bookmarkStart w:id="100034" w:name="_Toc100034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31 — SWOT</w:t>
      </w:r>
      <w:bookmarkEnd w:id="100034"/>
    </w:p>
    <w:p>
      <w:pPr>
        <w:spacing w:after="12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Strengths (current):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breadth already shipped (46 domains; CPM/EVM/Monte Carlo; 177 reports; PPT export); integrity/auditability as architecture, not add-on; self-hosted option; lean cost base; the layer thesis with connectors and honest status discipline.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Potential strengths: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financial-intelligence depth vs Tier 1; price/performance vs Tier 2; India/Gulf wedge with DPDP/sovereignty demand.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Weaknesses (current):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no brand/trust signals; no SOC 2/ISO/pen-test; single-tenant SQLite scale ceiling; no native mobile; small team = delivery capacity risk; features outpaced by incumbent marketing spend.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Opportunities: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mid-market gap between $25 and $60/user; glue-layer consolidation spend; DPDP/sovereignty-driven deployments; partner channel; Atlassian/ServiceNow pricing pressure pushing buyers to look.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Threats: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Atlassian/ServiceNow extending upward into their estates; Planview moving down-market; AI dashboards commoditizing "insight"; buyer inertia ("Jira is fine"); a two-person sales motion missing quarters.</w:t>
      </w:r>
    </w:p>
    <w:p>
      <w:pPr>
        <w:pStyle w:val="Heading1"/>
        <w:pageBreakBefore/>
        <w:spacing w:after="200" w:before="360" w:line="312"/>
      </w:pPr>
      <w:bookmarkStart w:id="100035" w:name="_Toc100035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32 — COMPETITIVE MOAT</w:t>
      </w:r>
      <w:bookmarkEnd w:id="100035"/>
    </w:p>
    <w:tbl>
      <w:tblPr>
        <w:tblW w:type="pct" w:w="100%"/>
        <w:tblBorders>
          <w:top w:val="single" w:color="000000" w:sz="8"/>
          <w:left w:val="single" w:color="DDD8CC" w:sz="4"/>
          <w:bottom w:val="single" w:color="000000" w:sz="8"/>
          <w:right w:val="single" w:color="DDD8CC" w:sz="4"/>
          <w:insideH w:val="single" w:color="DDD8CC" w:sz="4"/>
          <w:insideV w:val="single" w:color="DDD8CC" w:sz="4"/>
        </w:tblBorders>
        <w:tblLayout w:type="autofit"/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Candidate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Real moat?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Why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Aggregated cross-system data model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Yes — strongest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Compounds with every connector and customer; incumbents' data is walled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Integration ecosystem (27 connectors, webhooks, honest status)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Time and trust to replicate; grows with Phase B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Evidence/freshness/governance chain (SHA-256, audit, gates)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Rare, hard to retrofit, decisive in regulated sales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Financial engine (EVM/NPV/IRR computed live)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Partial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Replicable math; moat only when fed by live delivery data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Metadata-driven configuration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Partial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Adoption lock-in grows with configured fields/terminology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Workflow/automation engine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Weak alone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Table stakes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Reporting library (177)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Weak alone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Copiable; matters in aggregate UX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AI layer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Emerging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Governance-gated AI is differentiating in regulated buyers; raw models are not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Switching costs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Yes (over time)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Configured metadata + connectors + historical evidence = rising exit cost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Brand/trust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7"/>
                <w:szCs w:val="17"/>
              </w:rPr>
              <w:t xml:space="preserve">To build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The honest gap — SOC 2 + reference logos are the moat purchase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Easily replicated by incumbents: individual features, dashboards, AI summaries, Gantt. Not easily replicated: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the layer position itself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— it would require them to cooperate with competitors' systems of record, against their commercial interest.</w:t>
      </w:r>
    </w:p>
    <w:p>
      <w:pPr>
        <w:pStyle w:val="Heading1"/>
        <w:pageBreakBefore/>
        <w:spacing w:after="200" w:before="360" w:line="312"/>
      </w:pPr>
      <w:bookmarkStart w:id="100036" w:name="_Toc100036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33 — KEY RISKS &amp; MITIGATIONS</w:t>
      </w:r>
      <w:bookmarkEnd w:id="100036"/>
    </w:p>
    <w:tbl>
      <w:tblPr>
        <w:tblW w:type="pct" w:w="100%"/>
        <w:tblBorders>
          <w:top w:val="single" w:color="000000" w:sz="8"/>
          <w:left w:val="single" w:color="DDD8CC" w:sz="4"/>
          <w:bottom w:val="single" w:color="000000" w:sz="8"/>
          <w:right w:val="single" w:color="DDD8CC" w:sz="4"/>
          <w:insideH w:val="single" w:color="DDD8CC" w:sz="4"/>
          <w:insideV w:val="single" w:color="DDD8CC" w:sz="4"/>
        </w:tblBorders>
        <w:tblLayout w:type="autofit"/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Risk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Severity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Mitigation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Incumbents extend upward (Atlassian/ServiceNow)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Stay the neutral layer; integrate deeply with them (co-option beats confrontation); win on neutrality + self-hosted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No certifications blocks enterprise pipeline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Phase A/B security budget ($100–200k); don't chase certifications before pipeline justifies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SQLite scale ceiling exposed in deal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PostgreSQL migration in Phase B; be honest per E-2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Sales capacity (founder-led ceiling)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Hire 2 enterprise AEs at first $30k MRR; partner channel Phase B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Long enterprise cycles starve cash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Land SMB/mid for cash flow; services revenue; perpetual lane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Feature-copying by ClickUp/monday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Compete on depth + governance, not features; publish integrity moat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AI expectations exceed governed scope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Sell the governance as the answer, not the gap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Data migration failures damage trust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Governed dry-run import (already shipped); migration rehearsals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Key-person dependency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Documentation suite (ships today), hiring plan, escrow for perpetual deals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Currency/FX (INR pricing)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Price in USD; INR indicative</w:t>
            </w:r>
          </w:p>
        </w:tc>
      </w:tr>
    </w:tbl>
    <w:p>
      <w:pPr>
        <w:pStyle w:val="Heading1"/>
        <w:pageBreakBefore/>
        <w:spacing w:after="200" w:before="360" w:line="312"/>
      </w:pPr>
      <w:bookmarkStart w:id="100037" w:name="_Toc100037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34 — MANAGEMENT KPI DASHBOARD</w:t>
      </w:r>
      <w:bookmarkEnd w:id="100037"/>
    </w:p>
    <w:tbl>
      <w:tblPr>
        <w:tblW w:type="pct" w:w="100%"/>
        <w:tblBorders>
          <w:top w:val="single" w:color="000000" w:sz="8"/>
          <w:left w:val="single" w:color="DDD8CC" w:sz="4"/>
          <w:bottom w:val="single" w:color="000000" w:sz="8"/>
          <w:right w:val="single" w:color="DDD8CC" w:sz="4"/>
          <w:insideH w:val="single" w:color="DDD8CC" w:sz="4"/>
          <w:insideV w:val="single" w:color="DDD8CC" w:sz="4"/>
        </w:tblBorders>
        <w:tblLayout w:type="autofit"/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</w:tblGrid>
      <w:tr>
        <w:trPr>
          <w:cantSplit/>
          <w:tblHeader/>
        </w:trPr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Category</w:t>
            </w:r>
          </w:p>
        </w:tc>
        <w:tc>
          <w:tcPr>
            <w:shd w:fill="D6C09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7"/>
                <w:szCs w:val="17"/>
              </w:rPr>
              <w:t xml:space="preserve">KPIs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Product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MAU/seat ≥ 60%; exception-feed adoption; connectors live per customer (target ≥2); reports auto-generated per month; time-to-first-board-pack &lt; 1 week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SaaS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MRR, ARR, ARPU, GRR ≥ 85%, NRR ≥ 105%, churn ≤ 12%, GM ≥ 85%, LTV:CAC ≥ 3 (loaded CAC)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Sales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Pipeline coverage ≥ 3x; demo→pilot ≥ 40%; pilot→paid ≥ 60%; win rate ≥ 25% (mid-market); cycle ≤ 8 weeks mid / ≤ 2 quarters ent; ACV by tier</w:t>
            </w:r>
          </w:p>
        </w:tc>
      </w:tr>
      <w:tr>
        <w:trPr>
          <w:cantSplit/>
        </w:trPr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Customer</w:t>
            </w:r>
          </w:p>
        </w:tc>
        <w:tc>
          <w:tcPr>
            <w:shd w:fill="F5F3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NPS ≥ 40; time-to-value ≤ 30 days; support tickets/customer ≤ 1/mo; logo retention ≥ 88%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Financial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Times New Roman" w:eastAsia="SimSun" w:hAnsi="Times New Roman"/>
                <w:color w:val="000000"/>
                <w:sz w:val="17"/>
                <w:szCs w:val="17"/>
              </w:rPr>
              <w:t xml:space="preserve">Revenue vs plan; burn multiple ≤ 2; runway ≥ 18 mo; EBITDA trajectory (Part 24)</w:t>
            </w:r>
          </w:p>
        </w:tc>
      </w:tr>
    </w:tbl>
    <w:p>
      <w:pPr>
        <w:pStyle w:val="Heading1"/>
        <w:pageBreakBefore/>
        <w:spacing w:after="200" w:before="360" w:line="312"/>
      </w:pPr>
      <w:bookmarkStart w:id="100038" w:name="_Toc100038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35 — INVESTOR / MANAGEMENT SUMMARY</w:t>
      </w:r>
      <w:bookmarkEnd w:id="100038"/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What: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PMCT is the Enterprise Project &amp; Portfolio Control Tower — the layer above Jira, ServiceNow, SAP, HR and Finance that gives CEO/CFO/CTO/PMO computed, auditable, real-time portfolio intelligence.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Problem: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leadership steers portfolios on hand-built, stale, unaudited summaries; the glue layer costs more than the tools it stitches.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Buyer: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PMO Director champions; CFO/CIO approve; mid-market and upper-mid enterprise (100–5,000 staff) first.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Why they pay: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consolidation of glue spend (3–5x PMCT's price), decision speed, audit evidence, data residency — value-based pricing between work management and enterprise PPM.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Market: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PPM software $6.8–9.8B (2026) growing 10–13% CAGR to $10–18B by 2030–31 [V].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Competition: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Tier-1 tools can't leave their walls; Tier-2 suites cost 5–15x and take quarters to deploy; Tier-3 hybrids lack depth.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Differentiation verdict: SUFFICIENT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(mid-market/upper-mid) on the combination: portfolio optimization + financial intelligence + governance + executive reporting + integrations + self-hosted + integrity chain.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PARTIAL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for global enterprise until certifications/scale.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Pricing: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$9/15/21/29 per user tiers + platform ≥$75k/yr + perpetual $75k–900k; AI and SSO included where competitors charge extra.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Year 1 (base planning scenario):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35 customers, ~2,540 paid users, $463k exit ARR, $481k revenue; conservative $57k; aggressive $1.37M.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No guarantees — planning scenarios.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Investment required: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~$0.6–0.8M cumulative cash to break-even (base), concentrated in engineering + security certifications + 2 sales hires.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Biggest risks: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incumbent response, certification gate, sales capacity.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Next 90 days: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GA the Jira live connector; run 10 paid pilots; publish pricing; start SOC 2 + pen test; close first 5 reference logos.</w:t>
      </w:r>
    </w:p>
    <w:p>
      <w:pPr>
        <w:pStyle w:val="Heading1"/>
        <w:pageBreakBefore/>
        <w:spacing w:after="200" w:before="360" w:line="312"/>
      </w:pPr>
      <w:bookmarkStart w:id="100039" w:name="_Toc100039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PART 36 — FINAL RECOMMENDATION</w:t>
      </w:r>
      <w:bookmarkEnd w:id="100039"/>
    </w:p>
    <w:p>
      <w:pPr>
        <w:spacing w:after="80" w:line="312"/>
        <w:ind w:left="480" w:hanging="360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1. 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Product strategy: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sell what ships (v3.1.0), and spend the next two quarters on the three things sales needs: live Jira connector GA, SAP/Finance read connectors, and security certification. Everything else waits.</w:t>
      </w:r>
    </w:p>
    <w:p>
      <w:pPr>
        <w:spacing w:after="80" w:line="312"/>
        <w:ind w:left="480" w:hanging="360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2. 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Pricing: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$9 / $15 / $21 / $29 per user/month (annual)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for Starter/Professional/ Business/Enterprise; platform fee from $75k/yr above 500 users; AI and SSO always included. Annual-prepay 25% discount. Do not discount below Professional for the mid-market — the price point is the positioning.</w:t>
      </w:r>
    </w:p>
    <w:p>
      <w:pPr>
        <w:spacing w:after="80" w:line="312"/>
        <w:ind w:left="480" w:hanging="360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3. 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Enterprise strategy: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platform deals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$75k–250k/yr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(2,000-user ceiling until Phase C), 3-year prepay discount 10–15%, implementation bundled.</w:t>
      </w:r>
    </w:p>
    <w:p>
      <w:pPr>
        <w:spacing w:after="80" w:line="312"/>
        <w:ind w:left="480" w:hanging="360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4. 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Perpetual license: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$75k–900k one-time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by size class + 18–20% maintenance; reserved for sovereignty/regulated buyers; ≤20% of bookings.</w:t>
      </w:r>
    </w:p>
    <w:p>
      <w:pPr>
        <w:spacing w:after="80" w:line="312"/>
        <w:ind w:left="480" w:hanging="360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5. 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Implementation: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$7.5k / $30k / $90k / $200k+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packages; target 25–40% of first-year TCV; partner-delivered at the top end.</w:t>
      </w:r>
    </w:p>
    <w:p>
      <w:pPr>
        <w:spacing w:after="80" w:line="312"/>
        <w:ind w:left="480" w:hanging="360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6. 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Support: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included business-hours;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$8–12%/yr premium support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for subscription; maintenance carries it for perpetual.</w:t>
      </w:r>
    </w:p>
    <w:p>
      <w:pPr>
        <w:spacing w:after="80" w:line="312"/>
        <w:ind w:left="480" w:hanging="360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7. 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Go-to-market: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founder-led direct sales to PMO Directors in India + Gulf first (100–500 delivery staff, Jira estates, residency-sensitive), paid pilots as the standard wedge, partner channel from month 6.</w:t>
      </w:r>
    </w:p>
    <w:p>
      <w:pPr>
        <w:spacing w:after="80" w:line="312"/>
        <w:ind w:left="480" w:hanging="360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8. 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Year 1 targets: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Conservative — 12 customers / $57k revenue (validate); Base — 35 customers / $481k revenue / $463k exit ARR (plan); Aggressive — 56 customers / $1.37M revenue incl. 2 platform deals (stretch). </w:t>
      </w: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These are planning scenarios, not commitments.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The conservative scenario is not viable as-is: if pipeline lags base by month 6, cut costs and move up-market rather than burning through the cash plan.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b/>
          <w:bCs/>
          <w:color w:val="000000"/>
          <w:sz w:val="22"/>
          <w:szCs w:val="22"/>
        </w:rPr>
        <w:t xml:space="preserve">The one-sentence commercial thesis: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 organizations already pay 3–5x PMCT's price for the broken glue layer between their project tools and their executives — PMCT replaces that glue with a governed, self-hostable control tower, priced as the layer it is.</w:t>
      </w:r>
    </w:p>
    <w:p>
      <w:pPr>
        <w:pStyle w:val="Heading1"/>
        <w:pageBreakBefore/>
        <w:spacing w:after="200" w:before="360" w:line="312"/>
      </w:pPr>
      <w:bookmarkStart w:id="100040" w:name="_Toc100040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TABLE INDEX (as required)</w:t>
      </w:r>
      <w:bookmarkEnd w:id="100040"/>
    </w:p>
    <w:p>
      <w:pPr>
        <w:spacing w:after="12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T1 Capability map (Part 3) · T2 20-competitor comparison (Part 6) · T3 Feature matrix (Part 7) · T4 2026 pricing comparison (Part 10) · T5–T11 organization costs 25/50/100/250/500/1,000/5,000 (Part 11) · T12 recommended pricing (Part 14) · T13 SaaS revenue model (Part 18) · T14–T16 12-month scenarios (Part 18) · T17 SaaS vs perpetual (Part 21) · T18 3-year model (Part 24) · T19 break-even (Part 23) · T20 enterprise deals (Part 16) · T21 category &amp; tier map (Part 6, Tier column + layer-test column) · T22 coexistence vs replacement (Parts 8/16 — verdict: coexistence-first; replacement triggers: multi-entity consolidation, ServiceNow renewal events, CFO mandate) · T23 differentiation scorecard (Part 8).</w:t>
      </w:r>
    </w:p>
    <w:p>
      <w:pPr>
        <w:pStyle w:val="Heading1"/>
        <w:pageBreakBefore/>
        <w:spacing w:after="200" w:before="360" w:line="312"/>
      </w:pPr>
      <w:bookmarkStart w:id="100041" w:name="_Toc100041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SOURCES (market &amp; pricing claims)</w:t>
      </w:r>
      <w:bookmarkEnd w:id="100041"/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Atlassian/Jira pricing — atlassian.com (Standard $7.91, Premium $14.54; Enterprise from ~$166k/yr) [V]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ClickUp — clickup.com/pricing (Unlimited $7, Business $12; AI add-ons $9–28) [V]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Trello — trello.com (Standard $5, Premium $10, Enterprise $17.50) [V]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Asana — asana.com (Starter $10.99, Advanced $24.99; Enterprise est. $35–45 [R]) [V/R]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monday.com — monday.com (Basic $9, Standard $12, Pro $19) [V]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Smartsheet — smartsheet.com; Tech.co (Pro $9, Business $19) [V]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Wrike — wrike.com (Team $10, Business $25; Enterprise/Pinnacle custom) [V]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Teamwork — teamwork.com (Starter $9.50; Pro/Deliver, Grow tiers [R]) [V/R]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Zoho Projects — zoho.com (Premium $4, Enterprise $9) [V]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Basecamp — basecamp.com ($15/user or $299/mo flat) [V]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Notion — notion.com (Plus $10, Business $20 incl. AI) [V]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Airtable — airtable.com (Team $20, Business $45) [V]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Microsoft Planner/Project — microsoft.com (P1 $10, P3 $30, P5 $55; Project 2024 perpetual $679.99/$1,129.99) [V]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Aha! Roadmaps — aha.io; TrustRadius (Premium $59, Enterprise $99, E+ $149) [V]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Celoxis — celoxis.com; Capterra; Research.com (Cloud ~$22.50; on-prem ~$450/user) [R]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Planview — planview.com (quote-only); The Digital Project Manager; G2; SoftwareFinder (est. $19–100+/user/mo; AdaptiveWork $60–100) [R]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ServiceNow SPM — servicenow.com (quote-only); Unthread 4/2026; Desk365; Kanini (est. $70–200+/user/mo; avg contract ~$130k/yr) [R]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Broadcom Clarity — Broadcom TechDocs (license types; quote-only); RFP.wiki; PPM Express (est. ~$60/user/mo; ~$69k/yr baseline) [R]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Oracle Primavera — Oracle Global Price List via resellers; ProjectManager.com; PSG; Taradigm (P6 EPPM cloud ~$125–145/user/mo; on-prem ~$2,750/user + $605/yr) [R]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PPM market size — MarketsandMarkets (PPM Market 2026–2031: $9.79B → $17.75B); The Business Research Company ($6.81B 2026); IDC ($7.46B 2025, +11.5%); Fortune Business Insights; Grand View Research [V-analyst]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Project performance context — McKinsey–Oxford large-IT-project study (45% over budget); PMI Pulse of the Profession [R, dated studies]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i/>
          <w:iCs/>
          <w:color w:val="000000"/>
          <w:sz w:val="22"/>
          <w:szCs w:val="22"/>
        </w:rPr>
        <w:t xml:space="preserve">All PMCT-side figures (capability claims, pricing recommendations, revenue scenarios, benefit models) are [E] planning assumptions grounded in the shipped v3.1.0 product and documented throughout. Nothing in this document is a guarantee of revenue, acquisition or market share.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A0A0A0"/>
        <w:sz w:val="15"/>
        <w:szCs w:val="15"/>
      </w:rPr>
      <w:t xml:space="preserve">Confidential — PMCT-BP-2026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60606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C096" w:sz="4" w:space="4"/>
      </w:pBdr>
      <w:tabs>
        <w:tab w:val="right" w:pos="8788"/>
      </w:tabs>
    </w:pPr>
    <w:r>
      <w:rPr>
        <w:rFonts w:ascii="Times New Roman" w:eastAsia="SimSun" w:hAnsi="Times New Roman"/>
        <w:color w:val="A0A0A0"/>
        <w:sz w:val="15"/>
        <w:szCs w:val="15"/>
      </w:rPr>
      <w:t xml:space="preserve">PM Control Tower — Business Plan &amp; Commercial Strategy 2026–2027</w:t>
    </w:r>
    <w:r>
      <w:rPr>
        <w:sz w:val="15"/>
        <w:szCs w:val="15"/>
      </w:rPr>
      <w:t xml:space="preserve">	</w:t>
    </w:r>
    <w:r>
      <w:rPr>
        <w:rFonts w:ascii="Times New Roman" w:eastAsia="SimSun" w:hAnsi="Times New Roman"/>
        <w:color w:val="A0A0A0"/>
        <w:sz w:val="15"/>
        <w:szCs w:val="15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 Control Tower — Business Plan &amp; Commercial Strategy 2026–2027</dc:title>
  <dc:creator>dynamiq Solutions</dc:creator>
  <cp:lastModifiedBy>Un-named</cp:lastModifiedBy>
  <cp:revision>1</cp:revision>
  <dcterms:created xsi:type="dcterms:W3CDTF">2026-09-23T17:23:29.483Z</dcterms:created>
  <dcterms:modified xsi:type="dcterms:W3CDTF">2026-09-23T17:23:29.484Z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