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Executive Control Tower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executives, PMO, portfolio managers · Time: 30 minutes Prerequisite: module 01 · Screen: `#/dashboard` (Executive → Executive Control Tower)</w:t>
      </w:r>
    </w:p>
    <w:p>
      <w:pPr>
        <w:pStyle w:val="Heading2"/>
      </w:pPr>
      <w:r>
        <w:t>Learning objectives</w:t>
      </w:r>
    </w:p>
    <w:p>
      <w:r>
        <w:t>Read the command center like an operator: interpret the telemetry strip, use the</w:t>
      </w:r>
    </w:p>
    <w:p>
      <w:r>
        <w:t>five KPI tiles, drill from any 3D chart into its source records, and judge data</w:t>
      </w:r>
    </w:p>
    <w:p>
      <w:r>
        <w:t>trust via the Integrity Core.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t>1. The command header</w:t>
      </w:r>
    </w:p>
    <w:p>
      <w:r>
        <w:rPr>
          <w:rFonts w:ascii="Segoe UI" w:hAnsi="Segoe UI"/>
        </w:rPr>
        <w:t xml:space="preserve">At the top: the title, a </w:t>
      </w:r>
      <w:r>
        <w:rPr>
          <w:b/>
        </w:rPr>
        <w:t>Live</w:t>
      </w:r>
      <w:r>
        <w:t xml:space="preserve"> badge (green chip showing when the bundle was</w:t>
      </w:r>
    </w:p>
    <w:p>
      <w:r>
        <w:t>generated — click refresh in a pinch), and a shortcut to the **Leadership</w:t>
      </w:r>
    </w:p>
    <w:p>
      <w:r>
        <w:t>Control Tower** (the slide-ready executive bundle, module 06).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Access note: this screen requires the `executive.view` permission. Users without it see a clear "Restricted area" panel with shortcuts to their own workspace — never a raw error.</w:t>
      </w:r>
    </w:p>
    <w:p>
      <w:pPr>
        <w:pStyle w:val="Heading2"/>
      </w:pPr>
      <w:r>
        <w:t>2. The live telemetry strip (dark HUD band)</w:t>
      </w:r>
    </w:p>
    <w:p>
      <w:r>
        <w:t>Six always-current readouts, refreshed by realtime events as teammates 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Readout</w:t>
            </w:r>
          </w:p>
        </w:tc>
        <w:tc>
          <w:tcPr>
            <w:tcW w:type="dxa" w:w="3249"/>
          </w:tcPr>
          <w:p>
            <w:r>
              <w:rPr>
                <w:b/>
              </w:rPr>
              <w:t>Shows</w:t>
            </w:r>
          </w:p>
        </w:tc>
        <w:tc>
          <w:tcPr>
            <w:tcW w:type="dxa" w:w="3249"/>
          </w:tcPr>
          <w:p>
            <w:r>
              <w:rPr>
                <w:b/>
              </w:rPr>
              <w:t>Watch for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Portfolio</w:t>
            </w:r>
          </w:p>
        </w:tc>
        <w:tc>
          <w:tcPr>
            <w:tcW w:type="dxa" w:w="3249"/>
          </w:tcPr>
          <w:p>
            <w:r>
              <w:t>Total projects + active/draft split</w:t>
            </w:r>
          </w:p>
        </w:tc>
        <w:tc>
          <w:tcPr>
            <w:tcW w:type="dxa" w:w="3249"/>
          </w:tcPr>
          <w:p>
            <w:r>
              <w:t>Portfolio growing faster than PM capacity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Health score</w:t>
            </w:r>
          </w:p>
        </w:tc>
        <w:tc>
          <w:tcPr>
            <w:tcW w:type="dxa" w:w="3249"/>
          </w:tcPr>
          <w:p>
            <w:r>
              <w:t>Portfolio-average RAG score /100</w:t>
            </w:r>
          </w:p>
        </w:tc>
        <w:tc>
          <w:tcPr>
            <w:tcW w:type="dxa" w:w="3249"/>
          </w:tcPr>
          <w:p>
            <w:r>
              <w:t>Trend below 60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EVM indices</w:t>
            </w:r>
          </w:p>
        </w:tc>
        <w:tc>
          <w:tcPr>
            <w:tcW w:type="dxa" w:w="3249"/>
          </w:tcPr>
          <w:p>
            <w:r>
              <w:t>Mean CPI / SPI across projects</w:t>
            </w:r>
          </w:p>
        </w:tc>
        <w:tc>
          <w:tcPr>
            <w:tcW w:type="dxa" w:w="3249"/>
          </w:tcPr>
          <w:p>
            <w:r>
              <w:t>Values &lt; 0.95 turn amber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Forecast</w:t>
            </w:r>
          </w:p>
        </w:tc>
        <w:tc>
          <w:tcPr>
            <w:tcW w:type="dxa" w:w="3249"/>
          </w:tcPr>
          <w:p>
            <w:r>
              <w:t>Portfolio EAC + variance vs budget</w:t>
            </w:r>
          </w:p>
        </w:tc>
        <w:tc>
          <w:tcPr>
            <w:tcW w:type="dxa" w:w="3249"/>
          </w:tcPr>
          <w:p>
            <w:r>
              <w:t>Rose = forecast overrun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Alerts</w:t>
            </w:r>
          </w:p>
        </w:tc>
        <w:tc>
          <w:tcPr>
            <w:tcW w:type="dxa" w:w="3249"/>
          </w:tcPr>
          <w:p>
            <w:r>
              <w:t>Open governance alerts + overdue milestones</w:t>
            </w:r>
          </w:p>
        </w:tc>
        <w:tc>
          <w:tcPr>
            <w:tcW w:type="dxa" w:w="3249"/>
          </w:tcPr>
          <w:p>
            <w:r>
              <w:t>Any non-zero number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Governance</w:t>
            </w:r>
          </w:p>
        </w:tc>
        <w:tc>
          <w:tcPr>
            <w:tcW w:type="dxa" w:w="3249"/>
          </w:tcPr>
          <w:p>
            <w:r>
              <w:t>Pending stage gates + change requests</w:t>
            </w:r>
          </w:p>
        </w:tc>
        <w:tc>
          <w:tcPr>
            <w:tcW w:type="dxa" w:w="3249"/>
          </w:tcPr>
          <w:p>
            <w:r>
              <w:t>Queue growing week over week</w:t>
            </w:r>
          </w:p>
        </w:tc>
      </w:tr>
    </w:tbl>
    <w:p/>
    <w:p>
      <w:r>
        <w:t>The footer carries the operating model: **Plan → Execute → Monitor → Control →</w:t>
      </w:r>
    </w:p>
    <w:p>
      <w:r>
        <w:t>Govern → Deliver**.</w:t>
      </w:r>
    </w:p>
    <w:p>
      <w:pPr>
        <w:pStyle w:val="Heading2"/>
      </w:pPr>
      <w:r>
        <w:t>3. The five KPI tiles</w:t>
      </w:r>
    </w:p>
    <w:p>
      <w:r>
        <w:t>Each tile is a portal — click it and you land on the record set behind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Tile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Click takes you to</w:t>
            </w:r>
          </w:p>
        </w:tc>
      </w:tr>
      <w:tr>
        <w:tc>
          <w:tcPr>
            <w:tcW w:type="dxa" w:w="4873"/>
          </w:tcPr>
          <w:p>
            <w:r>
              <w:t>Portfolio Projects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</w:rPr>
              <w:t>Project register (</w:t>
            </w:r>
            <w:r>
              <w:rPr>
                <w:rFonts w:ascii="Consolas" w:hAnsi="Consolas" w:eastAsia="Consolas"/>
                <w:color w:val="0E7490"/>
                <w:sz w:val="18"/>
              </w:rPr>
              <w:t>#/projects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r>
              <w:t>Current Budget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</w:rPr>
              <w:t>Financials (</w:t>
            </w:r>
            <w:r>
              <w:rPr>
                <w:rFonts w:ascii="Consolas" w:hAnsi="Consolas" w:eastAsia="Consolas"/>
                <w:color w:val="0E7490"/>
                <w:sz w:val="18"/>
              </w:rPr>
              <w:t>#/financials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r>
              <w:t>Actual Cost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</w:rPr>
              <w:t>Financials (</w:t>
            </w:r>
            <w:r>
              <w:rPr>
                <w:rFonts w:ascii="Consolas" w:hAnsi="Consolas" w:eastAsia="Consolas"/>
                <w:color w:val="0E7490"/>
                <w:sz w:val="18"/>
              </w:rPr>
              <w:t>#/financials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r>
              <w:t>Forecast (EAC)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</w:rPr>
              <w:t>EVM control (</w:t>
            </w:r>
            <w:r>
              <w:rPr>
                <w:rFonts w:ascii="Consolas" w:hAnsi="Consolas" w:eastAsia="Consolas"/>
                <w:color w:val="0E7490"/>
                <w:sz w:val="18"/>
              </w:rPr>
              <w:t>#/evm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r>
              <w:t>Portfolio CPI / SPI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</w:rPr>
              <w:t>EVM control (</w:t>
            </w:r>
            <w:r>
              <w:rPr>
                <w:rFonts w:ascii="Consolas" w:hAnsi="Consolas" w:eastAsia="Consolas"/>
                <w:color w:val="0E7490"/>
                <w:sz w:val="18"/>
              </w:rPr>
              <w:t>#/evm</w:t>
            </w:r>
            <w:r>
              <w:t>)</w:t>
            </w:r>
          </w:p>
        </w:tc>
      </w:tr>
    </w:tbl>
    <w:p/>
    <w:p>
      <w:r>
        <w:rPr>
          <w:rFonts w:ascii="Segoe UI" w:hAnsi="Segoe UI"/>
        </w:rPr>
        <w:t xml:space="preserve">Tiles also carry a </w:t>
      </w:r>
      <w:r>
        <w:rPr>
          <w:b/>
        </w:rPr>
        <w:t>delta chip</w:t>
      </w:r>
      <w:r>
        <w:t xml:space="preserve"> (e.g. ▲ x% forecast vs budget, coloured by</w:t>
      </w:r>
    </w:p>
    <w:p>
      <w:r>
        <w:rPr>
          <w:rFonts w:ascii="Segoe UI" w:hAnsi="Segoe UI"/>
        </w:rPr>
        <w:t xml:space="preserve">good/bad) and a </w:t>
      </w:r>
      <w:r>
        <w:rPr>
          <w:b/>
        </w:rPr>
        <w:t>sparkline</w:t>
      </w:r>
      <w:r>
        <w:t xml:space="preserve"> of the recent trend where history exists.</w:t>
      </w:r>
    </w:p>
    <w:p>
      <w:pPr>
        <w:pStyle w:val="Heading2"/>
      </w:pPr>
      <w:r>
        <w:t>4. The 3D chart wall</w:t>
      </w:r>
    </w:p>
    <w:p>
      <w:r>
        <w:t>Four bespoke SVG 3D visualisations (no plug-ins, resolution-independent):</w:t>
      </w:r>
    </w:p>
    <w:p>
      <w:pPr>
        <w:pStyle w:val="ListNumber"/>
      </w:pPr>
      <w:r>
        <w:rPr>
          <w:b/>
        </w:rPr>
        <w:t>Project Health Matrix</w:t>
      </w:r>
      <w:r>
        <w:t xml:space="preserve"> — an extruded 3D donut of the RAG distribution</w:t>
      </w:r>
    </w:p>
    <w:p>
      <w:r>
        <w:rPr>
          <w:rFonts w:ascii="Segoe UI" w:hAnsi="Segoe UI"/>
        </w:rPr>
        <w:t xml:space="preserve">(Green / Amber / Red). </w:t>
      </w:r>
      <w:r>
        <w:rPr>
          <w:i/>
        </w:rPr>
        <w:t>Hover a segment</w:t>
      </w:r>
      <w:r>
        <w:t xml:space="preserve"> to spotlight it and see its</w:t>
      </w:r>
    </w:p>
    <w:p>
      <w:r>
        <w:rPr>
          <w:rFonts w:ascii="Segoe UI" w:hAnsi="Segoe UI"/>
        </w:rPr>
        <w:t xml:space="preserve">percentage; </w:t>
      </w:r>
      <w:r>
        <w:rPr>
          <w:i/>
        </w:rPr>
        <w:t>click a slice or legend entry</w:t>
      </w:r>
      <w:r>
        <w:t xml:space="preserve"> to open the project register</w:t>
      </w:r>
    </w:p>
    <w:p>
      <w:r>
        <w:t>filtered to that health band. The centre shows total projects; the footer</w:t>
      </w:r>
    </w:p>
    <w:p>
      <w:r>
        <w:t>shows the average health score.</w:t>
      </w:r>
    </w:p>
    <w:p>
      <w:pPr>
        <w:pStyle w:val="ListNumber"/>
      </w:pPr>
      <w:r>
        <w:rPr>
          <w:b/>
        </w:rPr>
        <w:t>Portfolio Investment Matrix</w:t>
      </w:r>
      <w:r>
        <w:t xml:space="preserve"> — isometric 3D columns per portfolio with</w:t>
      </w:r>
    </w:p>
    <w:p>
      <w:r>
        <w:rPr>
          <w:rFonts w:ascii="Segoe UI" w:hAnsi="Segoe UI"/>
        </w:rPr>
        <w:t xml:space="preserve">three faces of data: </w:t>
      </w:r>
      <w:r>
        <w:rPr>
          <w:b/>
        </w:rPr>
        <w:t>Budget</w:t>
      </w:r>
      <w:r>
        <w:rPr>
          <w:rFonts w:ascii="Segoe UI" w:hAnsi="Segoe UI"/>
        </w:rPr>
        <w:t xml:space="preserve"> (blue), </w:t>
      </w:r>
      <w:r>
        <w:rPr>
          <w:b/>
        </w:rPr>
        <w:t>Actual</w:t>
      </w:r>
      <w:r>
        <w:rPr>
          <w:rFonts w:ascii="Segoe UI" w:hAnsi="Segoe UI"/>
        </w:rPr>
        <w:t xml:space="preserve"> (cyan), </w:t>
      </w:r>
      <w:r>
        <w:rPr>
          <w:b/>
        </w:rPr>
        <w:t>Forecast</w:t>
      </w:r>
    </w:p>
    <w:p>
      <w:r>
        <w:rPr>
          <w:rFonts w:ascii="Segoe UI" w:hAnsi="Segoe UI"/>
        </w:rPr>
        <w:t xml:space="preserve">(amber). </w:t>
      </w:r>
      <w:r>
        <w:rPr>
          <w:i/>
        </w:rPr>
        <w:t>Hover a cluster</w:t>
      </w:r>
      <w:r>
        <w:rPr>
          <w:rFonts w:ascii="Segoe UI" w:hAnsi="Segoe UI"/>
        </w:rPr>
        <w:t xml:space="preserve"> for the tooltip with exact values; </w:t>
      </w:r>
      <w:r>
        <w:rPr>
          <w:i/>
        </w:rPr>
        <w:t>click</w:t>
      </w:r>
      <w:r>
        <w:t xml:space="preserve"> to open</w:t>
      </w:r>
    </w:p>
    <w:p>
      <w:r>
        <w:t>Portfolios. This is the fastest way to spot a portfolio where the amber</w:t>
      </w:r>
    </w:p>
    <w:p>
      <w:r>
        <w:t>forecast column rises above the blue budget column.</w:t>
      </w:r>
    </w:p>
    <w:p>
      <w:pPr>
        <w:pStyle w:val="ListNumber"/>
      </w:pPr>
      <w:r>
        <w:rPr>
          <w:b/>
        </w:rPr>
        <w:t>EVM Performance Dials</w:t>
      </w:r>
      <w:r>
        <w:rPr>
          <w:rFonts w:ascii="Segoe UI" w:hAnsi="Segoe UI"/>
        </w:rPr>
        <w:t xml:space="preserve"> — two radial 3D gauges, </w:t>
      </w:r>
      <w:r>
        <w:rPr>
          <w:b/>
        </w:rPr>
        <w:t>CPI</w:t>
      </w:r>
      <w:r>
        <w:rPr>
          <w:rFonts w:ascii="Segoe UI" w:hAnsi="Segoe UI"/>
        </w:rPr>
        <w:t xml:space="preserve"> and </w:t>
      </w:r>
      <w:r>
        <w:rPr>
          <w:b/>
        </w:rPr>
        <w:t>SPI</w:t>
      </w:r>
      <w:r>
        <w:t>, from</w:t>
      </w:r>
    </w:p>
    <w:p>
      <w:r>
        <w:t>the latest period close. Green ≥ 0.95, amber ≥ 0.85, red below; the dashed</w:t>
      </w:r>
    </w:p>
    <w:p>
      <w:r>
        <w:t>tick marks the 0.95 target. The caption states plainly whether corrective</w:t>
      </w:r>
    </w:p>
    <w:p>
      <w:r>
        <w:t>control is advised.</w:t>
      </w:r>
    </w:p>
    <w:p>
      <w:pPr>
        <w:pStyle w:val="ListNumber"/>
      </w:pPr>
      <w:r>
        <w:rPr>
          <w:b/>
        </w:rPr>
        <w:t>Earned Value by Project</w:t>
      </w:r>
      <w:r>
        <w:t xml:space="preserve"> — 3D CPI/SPI columns for the worst-performing</w:t>
      </w:r>
    </w:p>
    <w:p>
      <w:r>
        <w:rPr>
          <w:rFonts w:ascii="Segoe UI" w:hAnsi="Segoe UI"/>
        </w:rPr>
        <w:t xml:space="preserve">projects. </w:t>
      </w:r>
      <w:r>
        <w:rPr>
          <w:i/>
        </w:rPr>
        <w:t>Click a cluster</w:t>
      </w:r>
      <w:r>
        <w:t xml:space="preserve"> to jump straight into that project's workspace.</w:t>
      </w:r>
    </w:p>
    <w:p>
      <w:pPr>
        <w:pStyle w:val="ListNumber"/>
      </w:pPr>
      <w:r>
        <w:rPr>
          <w:b/>
        </w:rPr>
        <w:t>Effort Telemetry</w:t>
      </w:r>
      <w:r>
        <w:t xml:space="preserve"> — a perspective 3D area chart of approved hours by week.</w:t>
      </w:r>
    </w:p>
    <w:p>
      <w:r>
        <w:t>Effort is the bridge between timesheets and cost: rising hours with flat</w:t>
      </w:r>
    </w:p>
    <w:p>
      <w:r>
        <w:t>value delivery is an early EVM warning.</w:t>
      </w:r>
    </w:p>
    <w:p>
      <w:pPr>
        <w:pStyle w:val="Heading2"/>
      </w:pPr>
      <w:r>
        <w:t>5. The operational queues</w:t>
      </w:r>
    </w:p>
    <w:p>
      <w:r>
        <w:t>Below the charts, three glass panels list what needs attention today:</w:t>
      </w:r>
    </w:p>
    <w:p>
      <w:pPr>
        <w:pStyle w:val="ListBullet"/>
      </w:pPr>
      <w:r>
        <w:rPr>
          <w:b/>
        </w:rPr>
        <w:t>Top Risks</w:t>
      </w:r>
      <w:r>
        <w:t xml:space="preserve"> — highest-scored exposures with severity dots; "Open RAID" jumps</w:t>
      </w:r>
    </w:p>
    <w:p>
      <w:r>
        <w:t>to the full register.</w:t>
      </w:r>
    </w:p>
    <w:p>
      <w:pPr>
        <w:pStyle w:val="ListBullet"/>
      </w:pPr>
      <w:r>
        <w:rPr>
          <w:b/>
        </w:rPr>
        <w:t>Governance Alerts</w:t>
      </w:r>
      <w:r>
        <w:t xml:space="preserve"> — automated threshold breaches (budget, schedule,</w:t>
      </w:r>
    </w:p>
    <w:p>
      <w:r>
        <w:t>threshold crossings) with type and timestamp; "Open queue" → Governance.</w:t>
      </w:r>
    </w:p>
    <w:p>
      <w:pPr>
        <w:pStyle w:val="ListBullet"/>
      </w:pPr>
      <w:r>
        <w:rPr>
          <w:b/>
        </w:rPr>
        <w:t>Capacity &amp; Milestones</w:t>
      </w:r>
      <w:r>
        <w:t xml:space="preserve"> — over-allocated resources with load bars (rose above</w:t>
      </w:r>
    </w:p>
    <w:p>
      <w:r>
        <w:t>100%), plus overdue milestones with their due dates.</w:t>
      </w:r>
    </w:p>
    <w:p>
      <w:r>
        <w:rPr>
          <w:rFonts w:ascii="Segoe UI" w:hAnsi="Segoe UI"/>
        </w:rPr>
        <w:t xml:space="preserve">Then the </w:t>
      </w:r>
      <w:r>
        <w:rPr>
          <w:b/>
        </w:rPr>
        <w:t>Governance Queue</w:t>
      </w:r>
      <w:r>
        <w:t xml:space="preserve"> panel: pending stage gates and change requests in</w:t>
      </w:r>
    </w:p>
    <w:p>
      <w:r>
        <w:t>flight — the two decision lists a leadership meeting runs on.</w:t>
      </w:r>
    </w:p>
    <w:p>
      <w:pPr>
        <w:pStyle w:val="Heading2"/>
      </w:pPr>
      <w:r>
        <w:t>6. The Integrity Core (dark panel, bottom right)</w:t>
      </w:r>
    </w:p>
    <w:p>
      <w:r>
        <w:t>Trust before decisions. The panel shows:</w:t>
      </w:r>
    </w:p>
    <w:p>
      <w:pPr>
        <w:pStyle w:val="ListBullet"/>
      </w:pPr>
      <w:r>
        <w:rPr>
          <w:rFonts w:ascii="Segoe UI" w:hAnsi="Segoe UI"/>
        </w:rPr>
        <w:t xml:space="preserve">Recent </w:t>
      </w:r>
      <w:r>
        <w:rPr>
          <w:b/>
        </w:rPr>
        <w:t>health changes</w:t>
      </w:r>
      <w:r>
        <w:t xml:space="preserve"> (project moved Amber → Red, etc.),</w:t>
      </w:r>
    </w:p>
    <w:p>
      <w:pPr>
        <w:pStyle w:val="ListBullet"/>
      </w:pPr>
      <w:r>
        <w:rPr>
          <w:rFonts w:ascii="Segoe UI" w:hAnsi="Segoe UI"/>
        </w:rPr>
        <w:t xml:space="preserve">A live </w:t>
      </w:r>
      <w:r>
        <w:rPr>
          <w:b/>
        </w:rPr>
        <w:t>data freshness rail</w:t>
      </w:r>
      <w:r>
        <w:t xml:space="preserve"> — each project's 0–100 score with a coloured</w:t>
      </w:r>
    </w:p>
    <w:p>
      <w:r>
        <w:t>bar; the worst feed dominates the score. Red (&lt; 40) means: the data is stale,</w:t>
      </w:r>
    </w:p>
    <w:p>
      <w:r>
        <w:t>do not decide on it — chase the timesheets/actuals first,</w:t>
      </w:r>
    </w:p>
    <w:p>
      <w:pPr>
        <w:pStyle w:val="ListBullet"/>
      </w:pPr>
      <w:r>
        <w:rPr>
          <w:rFonts w:ascii="Segoe UI" w:hAnsi="Segoe UI"/>
        </w:rPr>
        <w:t xml:space="preserve">A link to the full </w:t>
      </w:r>
      <w:r>
        <w:rPr>
          <w:b/>
        </w:rPr>
        <w:t>Data Integrity</w:t>
      </w:r>
      <w:r>
        <w:rPr>
          <w:rFonts w:ascii="Segoe UI" w:hAnsi="Segoe UI"/>
        </w:rPr>
        <w:t xml:space="preserve"> screen (</w:t>
      </w:r>
      <w:r>
        <w:rPr>
          <w:rFonts w:ascii="Consolas" w:hAnsi="Consolas" w:eastAsia="Consolas"/>
          <w:color w:val="0E7490"/>
          <w:sz w:val="18"/>
        </w:rPr>
        <w:t>#/integrity</w:t>
      </w:r>
      <w:r>
        <w:t>).</w:t>
      </w:r>
    </w:p>
    <w:p>
      <w:pPr>
        <w:pStyle w:val="Heading2"/>
      </w:pPr>
      <w:r>
        <w:t>7. Realtime behaviour</w:t>
      </w:r>
    </w:p>
    <w:p>
      <w:r>
        <w:rPr>
          <w:rFonts w:ascii="Segoe UI" w:hAnsi="Segoe UI"/>
        </w:rPr>
        <w:t>The whole screen subscribes to live events (</w:t>
      </w:r>
      <w:r>
        <w:rPr>
          <w:rFonts w:ascii="Consolas" w:hAnsi="Consolas" w:eastAsia="Consolas"/>
          <w:color w:val="0E7490"/>
          <w:sz w:val="18"/>
        </w:rPr>
        <w:t>project:health</w:t>
      </w:r>
      <w:r>
        <w:rPr>
          <w:rFonts w:ascii="Segoe UI" w:hAnsi="Segoe UI"/>
        </w:rPr>
        <w:t xml:space="preserve">, </w:t>
      </w:r>
      <w:r>
        <w:rPr>
          <w:rFonts w:ascii="Consolas" w:hAnsi="Consolas" w:eastAsia="Consolas"/>
          <w:color w:val="0E7490"/>
          <w:sz w:val="18"/>
        </w:rPr>
        <w:t>actuals:changed</w:t>
      </w:r>
      <w:r>
        <w:t>,</w:t>
      </w:r>
    </w:p>
    <w:p>
      <w:r>
        <w:rPr>
          <w:rFonts w:ascii="Consolas" w:hAnsi="Consolas" w:eastAsia="Consolas"/>
          <w:color w:val="0E7490"/>
          <w:sz w:val="18"/>
        </w:rPr>
        <w:t>alert:created</w:t>
      </w:r>
      <w:r>
        <w:rPr>
          <w:rFonts w:ascii="Segoe UI" w:hAnsi="Segoe UI"/>
        </w:rPr>
        <w:t xml:space="preserve">, </w:t>
      </w:r>
      <w:r>
        <w:rPr>
          <w:rFonts w:ascii="Consolas" w:hAnsi="Consolas" w:eastAsia="Consolas"/>
          <w:color w:val="0E7490"/>
          <w:sz w:val="18"/>
        </w:rPr>
        <w:t>governance:changed</w:t>
      </w:r>
      <w:r>
        <w:rPr>
          <w:rFonts w:ascii="Segoe UI" w:hAnsi="Segoe UI"/>
        </w:rPr>
        <w:t xml:space="preserve">, </w:t>
      </w:r>
      <w:r>
        <w:rPr>
          <w:rFonts w:ascii="Consolas" w:hAnsi="Consolas" w:eastAsia="Consolas"/>
          <w:color w:val="0E7490"/>
          <w:sz w:val="18"/>
        </w:rPr>
        <w:t>evm:changed</w:t>
      </w:r>
      <w:r>
        <w:rPr>
          <w:rFonts w:ascii="Segoe UI" w:hAnsi="Segoe UI"/>
        </w:rPr>
        <w:t xml:space="preserve">, </w:t>
      </w:r>
      <w:r>
        <w:rPr>
          <w:rFonts w:ascii="Consolas" w:hAnsi="Consolas" w:eastAsia="Consolas"/>
          <w:color w:val="0E7490"/>
          <w:sz w:val="18"/>
        </w:rPr>
        <w:t>project:updated</w:t>
      </w:r>
      <w:r>
        <w:t>). Leave</w:t>
      </w:r>
    </w:p>
    <w:p>
      <w:r>
        <w:t>the dashboard open in a meeting — when a teammate logs hours or a health score</w:t>
      </w:r>
    </w:p>
    <w:p>
      <w:r>
        <w:t>changes, the affected tiles and charts refresh themselves.</w:t>
      </w:r>
    </w:p>
    <w:p>
      <w:pPr>
        <w:pStyle w:val="Heading2"/>
      </w:pPr>
      <w:r>
        <w:t>8. Exercise (10 min)</w:t>
      </w:r>
    </w:p>
    <w:p>
      <w:pPr>
        <w:pStyle w:val="ListNumber"/>
      </w:pPr>
      <w:r>
        <w:rPr>
          <w:rFonts w:ascii="Segoe UI" w:hAnsi="Segoe UI"/>
        </w:rPr>
        <w:t xml:space="preserve">Log in as </w:t>
      </w:r>
      <w:r>
        <w:rPr>
          <w:rFonts w:ascii="Consolas" w:hAnsi="Consolas" w:eastAsia="Consolas"/>
          <w:color w:val="0E7490"/>
          <w:sz w:val="18"/>
        </w:rPr>
        <w:t>ceo@pmct.io</w:t>
      </w:r>
      <w:r>
        <w:rPr>
          <w:rFonts w:ascii="Segoe UI" w:hAnsi="Segoe UI"/>
        </w:rPr>
        <w:t xml:space="preserve">; open </w:t>
      </w:r>
      <w:r>
        <w:rPr>
          <w:b/>
        </w:rPr>
        <w:t>Executive Control Tower</w:t>
      </w:r>
      <w:r>
        <w:t>.</w:t>
      </w:r>
    </w:p>
    <w:p>
      <w:pPr>
        <w:pStyle w:val="ListNumber"/>
      </w:pPr>
      <w:r>
        <w:t>From the telemetry strip, note the mean CPI/SPI. Are they healthy?</w:t>
      </w:r>
    </w:p>
    <w:p>
      <w:pPr>
        <w:pStyle w:val="ListNumber"/>
      </w:pPr>
      <w:r>
        <w:rPr>
          <w:rFonts w:ascii="Segoe UI" w:hAnsi="Segoe UI"/>
        </w:rPr>
        <w:t xml:space="preserve">Click the </w:t>
      </w:r>
      <w:r>
        <w:rPr>
          <w:b/>
        </w:rPr>
        <w:t>Forecast (EAC)</w:t>
      </w:r>
      <w:r>
        <w:t xml:space="preserve"> tile → you land on EVM control. Find the project</w:t>
      </w:r>
    </w:p>
    <w:p>
      <w:r>
        <w:t>with the largest cost variance; note its code.</w:t>
      </w:r>
    </w:p>
    <w:p>
      <w:pPr>
        <w:pStyle w:val="ListNumber"/>
      </w:pPr>
      <w:r>
        <w:t>Back on the dashboard, click the same project's cluster in **Earned Value by</w:t>
      </w:r>
    </w:p>
    <w:p>
      <w:r>
        <w:t>Project** → its workspace opens.</w:t>
      </w:r>
    </w:p>
    <w:p>
      <w:pPr>
        <w:pStyle w:val="ListNumber"/>
      </w:pPr>
      <w:r>
        <w:rPr>
          <w:rFonts w:ascii="Segoe UI" w:hAnsi="Segoe UI"/>
        </w:rPr>
        <w:t xml:space="preserve">In </w:t>
      </w:r>
      <w:r>
        <w:rPr>
          <w:b/>
        </w:rPr>
        <w:t>Project Health Matrix</w:t>
      </w:r>
      <w:r>
        <w:t>, hover the Red segment (if any) and click it.</w:t>
      </w:r>
    </w:p>
    <w:p>
      <w:pPr>
        <w:pStyle w:val="ListNumber"/>
      </w:pPr>
      <w:r>
        <w:rPr>
          <w:rFonts w:ascii="Segoe UI" w:hAnsi="Segoe UI"/>
        </w:rPr>
        <w:t xml:space="preserve">Scroll to the </w:t>
      </w:r>
      <w:r>
        <w:rPr>
          <w:b/>
        </w:rPr>
        <w:t>Integrity Core</w:t>
      </w:r>
      <w:r>
        <w:t xml:space="preserve"> — which project has the lowest freshness</w:t>
      </w:r>
    </w:p>
    <w:p>
      <w:r>
        <w:t>score? What is its worst feed?</w:t>
      </w:r>
    </w:p>
    <w:p>
      <w:r>
        <w:rPr>
          <w:b/>
        </w:rPr>
        <w:t>Discussion</w:t>
      </w:r>
      <w:r>
        <w:t>: you just moved from a portfolio-level number to a single</w:t>
      </w:r>
    </w:p>
    <w:p>
      <w:r>
        <w:t>project's operational record in two clicks. How would this change a monthly</w:t>
      </w:r>
    </w:p>
    <w:p>
      <w:r>
        <w:t>review meeting?</w:t>
      </w:r>
    </w:p>
    <w:p>
      <w:pPr>
        <w:pStyle w:val="Heading2"/>
      </w:pPr>
      <w:r>
        <w:t>9. Key takeaways</w:t>
      </w:r>
    </w:p>
    <w:p>
      <w:pPr>
        <w:pStyle w:val="ListBullet"/>
      </w:pPr>
      <w:r>
        <w:t>Six telemetry readouts = the meeting agenda; five KPI tiles = the drill points.</w:t>
      </w:r>
    </w:p>
    <w:p>
      <w:pPr>
        <w:pStyle w:val="ListBullet"/>
      </w:pPr>
      <w:r>
        <w:t>Every 3D chart is interactive: hover for values, click for context.</w:t>
      </w:r>
    </w:p>
    <w:p>
      <w:pPr>
        <w:pStyle w:val="ListBullet"/>
      </w:pPr>
      <w:r>
        <w:t>The Integrity Core answers "can I trust this number?" before you decide.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· Executive Control Tower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