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· Control Performance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Audience: PMs, finance controllers, PMO · Time: 45 minutes Prerequisite: modules 01 &amp; 03 · Screens: Control group</w:t>
      </w:r>
    </w:p>
    <w:p>
      <w:pPr>
        <w:pStyle w:val="Heading2"/>
      </w:pPr>
      <w:r>
        <w:t>Learning objectives</w:t>
      </w:r>
    </w:p>
    <w:p>
      <w:r>
        <w:t>Operate the control loop: budgets and actuals in Financials, performance</w:t>
      </w:r>
    </w:p>
    <w:p>
      <w:r>
        <w:t>measurement in EVM, exposure in RAID, governed change in Change Control, and</w:t>
      </w:r>
    </w:p>
    <w:p>
      <w:r>
        <w:t>decision gates in Stage Gates &amp; Governance — with Data Integrity as the trust</w:t>
      </w:r>
    </w:p>
    <w:p>
      <w:r>
        <w:t>check.</w:t>
      </w:r>
    </w:p>
    <w:p>
      <w:pPr>
        <w:spacing w:before="80"/>
        <w:pBdr>
          <w:bottom w:val="single" w:sz="6" w:color="CBD5E1"/>
        </w:pBdr>
      </w:pPr>
    </w:p>
    <w:p>
      <w:pPr>
        <w:pStyle w:val="Heading2"/>
      </w:pPr>
      <w:r>
        <w:rPr>
          <w:rFonts w:ascii="Segoe UI" w:hAnsi="Segoe UI"/>
        </w:rPr>
        <w:t>1. Financials (</w:t>
      </w:r>
      <w:r>
        <w:rPr>
          <w:rFonts w:ascii="Consolas" w:hAnsi="Consolas" w:eastAsia="Consolas"/>
          <w:color w:val="0E7490"/>
          <w:sz w:val="18"/>
        </w:rPr>
        <w:t>#/financials</w:t>
      </w:r>
      <w:r>
        <w:t>)</w:t>
      </w:r>
    </w:p>
    <w:p>
      <w:r>
        <w:t>The cost truth of the portfolio:</w:t>
      </w:r>
    </w:p>
    <w:p>
      <w:pPr>
        <w:pStyle w:val="ListBullet"/>
      </w:pPr>
      <w:r>
        <w:rPr>
          <w:b/>
        </w:rPr>
        <w:t>Baseline budget</w:t>
      </w:r>
      <w:r>
        <w:rPr>
          <w:rFonts w:ascii="Segoe UI" w:hAnsi="Segoe UI"/>
        </w:rPr>
        <w:t xml:space="preserve"> (approved) vs </w:t>
      </w:r>
      <w:r>
        <w:rPr>
          <w:b/>
        </w:rPr>
        <w:t>current budget</w:t>
      </w:r>
      <w:r>
        <w:t xml:space="preserve"> (post-change) vs</w:t>
      </w:r>
    </w:p>
    <w:p>
      <w:r>
        <w:rPr>
          <w:b/>
        </w:rPr>
        <w:t>actual cost</w:t>
      </w:r>
      <w:r>
        <w:rPr>
          <w:rFonts w:ascii="Segoe UI" w:hAnsi="Segoe UI"/>
        </w:rPr>
        <w:t xml:space="preserve"> (posted actuals) vs </w:t>
      </w:r>
      <w:r>
        <w:rPr>
          <w:b/>
        </w:rPr>
        <w:t>forecast/EAC</w:t>
      </w:r>
      <w:r>
        <w:t>.</w:t>
      </w:r>
    </w:p>
    <w:p>
      <w:pPr>
        <w:pStyle w:val="ListBullet"/>
      </w:pPr>
      <w:r>
        <w:t>Actuals arrive from approved timesheets and direct-cost entries — they are</w:t>
      </w:r>
    </w:p>
    <w:p>
      <w:r>
        <w:t>never typed onto the dashboard.</w:t>
      </w:r>
    </w:p>
    <w:p>
      <w:pPr>
        <w:pStyle w:val="ListBullet"/>
      </w:pPr>
      <w:r>
        <w:t>Budget utilisation % and variance are shown per project and rolled up.</w:t>
      </w:r>
    </w:p>
    <w:p>
      <w:pPr>
        <w:pStyle w:val="ListBullet"/>
      </w:pPr>
      <w:r>
        <w:rPr>
          <w:rFonts w:ascii="Segoe UI" w:hAnsi="Segoe UI"/>
        </w:rPr>
        <w:t>Finance roles (</w:t>
      </w:r>
      <w:r>
        <w:rPr>
          <w:rFonts w:ascii="Consolas" w:hAnsi="Consolas" w:eastAsia="Consolas"/>
          <w:color w:val="0E7490"/>
          <w:sz w:val="18"/>
        </w:rPr>
        <w:t>FINANCE</w:t>
      </w:r>
      <w:r>
        <w:t>) manage budgets; everyone else views.</w:t>
      </w:r>
    </w:p>
    <w:p>
      <w:pPr>
        <w:pStyle w:val="Heading2"/>
      </w:pPr>
      <w:r>
        <w:rPr>
          <w:rFonts w:ascii="Segoe UI" w:hAnsi="Segoe UI"/>
        </w:rPr>
        <w:t>2. Clients &amp; Billing (</w:t>
      </w:r>
      <w:r>
        <w:rPr>
          <w:rFonts w:ascii="Consolas" w:hAnsi="Consolas" w:eastAsia="Consolas"/>
          <w:color w:val="0E7490"/>
          <w:sz w:val="18"/>
        </w:rPr>
        <w:t>#/clients</w:t>
      </w:r>
      <w:r>
        <w:t>)</w:t>
      </w:r>
    </w:p>
    <w:p>
      <w:r>
        <w:t>Commercial layer: client accounts, contracts, billing schedules and invoices</w:t>
      </w:r>
    </w:p>
    <w:p>
      <w:r>
        <w:t>linked to projects; ties revenue to delivery.</w:t>
      </w:r>
    </w:p>
    <w:p>
      <w:pPr>
        <w:pStyle w:val="Heading2"/>
      </w:pPr>
      <w:r>
        <w:rPr>
          <w:rFonts w:ascii="Segoe UI" w:hAnsi="Segoe UI"/>
        </w:rPr>
        <w:t>3. Investment &amp; Business Case (</w:t>
      </w:r>
      <w:r>
        <w:rPr>
          <w:rFonts w:ascii="Consolas" w:hAnsi="Consolas" w:eastAsia="Consolas"/>
          <w:color w:val="0E7490"/>
          <w:sz w:val="18"/>
        </w:rPr>
        <w:t>#/investment</w:t>
      </w:r>
      <w:r>
        <w:t>)</w:t>
      </w:r>
    </w:p>
    <w:p>
      <w:r>
        <w:t>Pre-approval stage: business case, NPV/IRR-style justification, funding rounds</w:t>
      </w:r>
    </w:p>
    <w:p>
      <w:r>
        <w:t>and benefits tracking — connecting "why we started" to "what we achieved".</w:t>
      </w:r>
    </w:p>
    <w:p>
      <w:pPr>
        <w:pStyle w:val="Heading2"/>
      </w:pPr>
      <w:r>
        <w:rPr>
          <w:rFonts w:ascii="Segoe UI" w:hAnsi="Segoe UI"/>
        </w:rPr>
        <w:t>4. EVM (</w:t>
      </w:r>
      <w:r>
        <w:rPr>
          <w:rFonts w:ascii="Consolas" w:hAnsi="Consolas" w:eastAsia="Consolas"/>
          <w:color w:val="0E7490"/>
          <w:sz w:val="18"/>
        </w:rPr>
        <w:t>#/evm</w:t>
      </w:r>
      <w:r>
        <w:t>) — the instrument panel</w:t>
      </w:r>
    </w:p>
    <w:p>
      <w:r>
        <w:t>Earned Value Management per project and in portfolio aggregate: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249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249"/>
          </w:tcPr>
          <w:p>
            <w:r>
              <w:rPr>
                <w:b/>
              </w:rPr>
              <w:t>Healthy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PV</w:t>
            </w:r>
            <w:r>
              <w:t xml:space="preserve"> planned value</w:t>
            </w:r>
          </w:p>
        </w:tc>
        <w:tc>
          <w:tcPr>
            <w:tcW w:type="dxa" w:w="3249"/>
          </w:tcPr>
          <w:p>
            <w:r>
              <w:t>Budgeted cost of work scheduled</w:t>
            </w:r>
          </w:p>
        </w:tc>
        <w:tc>
          <w:tcPr>
            <w:tcW w:type="dxa" w:w="3249"/>
          </w:tcPr>
          <w:p>
            <w: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EV</w:t>
            </w:r>
            <w:r>
              <w:t xml:space="preserve"> earned value</w:t>
            </w:r>
          </w:p>
        </w:tc>
        <w:tc>
          <w:tcPr>
            <w:tcW w:type="dxa" w:w="3249"/>
          </w:tcPr>
          <w:p>
            <w:r>
              <w:t>Budgeted cost of work performed</w:t>
            </w:r>
          </w:p>
        </w:tc>
        <w:tc>
          <w:tcPr>
            <w:tcW w:type="dxa" w:w="3249"/>
          </w:tcPr>
          <w:p>
            <w: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AC</w:t>
            </w:r>
            <w:r>
              <w:t xml:space="preserve"> actual cost</w:t>
            </w:r>
          </w:p>
        </w:tc>
        <w:tc>
          <w:tcPr>
            <w:tcW w:type="dxa" w:w="3249"/>
          </w:tcPr>
          <w:p>
            <w:r>
              <w:t>Cost of work performed</w:t>
            </w:r>
          </w:p>
        </w:tc>
        <w:tc>
          <w:tcPr>
            <w:tcW w:type="dxa" w:w="3249"/>
          </w:tcPr>
          <w:p>
            <w: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CPI = EV/AC</w:t>
            </w:r>
          </w:p>
        </w:tc>
        <w:tc>
          <w:tcPr>
            <w:tcW w:type="dxa" w:w="3249"/>
          </w:tcPr>
          <w:p>
            <w:r>
              <w:t>Cost efficiency</w:t>
            </w:r>
          </w:p>
        </w:tc>
        <w:tc>
          <w:tcPr>
            <w:tcW w:type="dxa" w:w="3249"/>
          </w:tcPr>
          <w:p>
            <w:r>
              <w:t>≥ 0.95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SPI = EV/PV</w:t>
            </w:r>
          </w:p>
        </w:tc>
        <w:tc>
          <w:tcPr>
            <w:tcW w:type="dxa" w:w="3249"/>
          </w:tcPr>
          <w:p>
            <w:r>
              <w:t>Schedule efficiency</w:t>
            </w:r>
          </w:p>
        </w:tc>
        <w:tc>
          <w:tcPr>
            <w:tcW w:type="dxa" w:w="3249"/>
          </w:tcPr>
          <w:p>
            <w:r>
              <w:t>≥ 0.95</w:t>
            </w:r>
          </w:p>
        </w:tc>
      </w:tr>
    </w:tbl>
    <w:p/>
    <w:p>
      <w:pPr>
        <w:pStyle w:val="ListBullet"/>
      </w:pPr>
      <w:r>
        <w:rPr>
          <w:b/>
        </w:rPr>
        <w:t>Period close</w:t>
      </w:r>
      <w:r>
        <w:t>: EVM is computed per period (status date) — the latest close</w:t>
      </w:r>
    </w:p>
    <w:p>
      <w:r>
        <w:t>feeds the Executive gauges.</w:t>
      </w:r>
    </w:p>
    <w:p>
      <w:pPr>
        <w:pStyle w:val="ListBullet"/>
      </w:pPr>
      <w:r>
        <w:rPr>
          <w:b/>
        </w:rPr>
        <w:t>Per-project view</w:t>
      </w:r>
      <w:r>
        <w:t>: CPI/SPI columns, trend lines, variance explanations.</w:t>
      </w:r>
    </w:p>
    <w:p>
      <w:pPr>
        <w:pStyle w:val="ListBullet"/>
      </w:pPr>
      <w:r>
        <w:rPr>
          <w:b/>
        </w:rPr>
        <w:t>Breach rules</w:t>
      </w:r>
      <w:r>
        <w:rPr>
          <w:rFonts w:ascii="Segoe UI" w:hAnsi="Segoe UI"/>
        </w:rPr>
        <w:t xml:space="preserve">: when indices cross thresholds, an </w:t>
      </w:r>
      <w:r>
        <w:rPr>
          <w:rFonts w:ascii="Consolas" w:hAnsi="Consolas" w:eastAsia="Consolas"/>
          <w:color w:val="0E7490"/>
          <w:sz w:val="18"/>
        </w:rPr>
        <w:t>EVM_BREACH</w:t>
      </w:r>
      <w:r>
        <w:t xml:space="preserve"> alert is</w:t>
      </w:r>
    </w:p>
    <w:p>
      <w:r>
        <w:t>raised and automations fire (e.g. notify the sponsor).</w:t>
      </w:r>
    </w:p>
    <w:p>
      <w:pPr>
        <w:pStyle w:val="ListBullet"/>
      </w:pPr>
      <w:r>
        <w:rPr>
          <w:rFonts w:ascii="Segoe UI" w:hAnsi="Segoe UI"/>
        </w:rPr>
        <w:t xml:space="preserve">Variances are measured against the </w:t>
      </w:r>
      <w:r>
        <w:rPr>
          <w:b/>
        </w:rPr>
        <w:t>baseline</w:t>
      </w:r>
      <w:r>
        <w:t xml:space="preserve"> (module 03) — no baseline,</w:t>
      </w:r>
    </w:p>
    <w:p>
      <w:r>
        <w:t>no honest variance.</w:t>
      </w:r>
    </w:p>
    <w:p>
      <w:pPr>
        <w:pStyle w:val="Heading2"/>
      </w:pPr>
      <w:r>
        <w:rPr>
          <w:rFonts w:ascii="Segoe UI" w:hAnsi="Segoe UI"/>
        </w:rPr>
        <w:t>5. Health (</w:t>
      </w:r>
      <w:r>
        <w:rPr>
          <w:rFonts w:ascii="Consolas" w:hAnsi="Consolas" w:eastAsia="Consolas"/>
          <w:color w:val="0E7490"/>
          <w:sz w:val="18"/>
        </w:rPr>
        <w:t>#/health</w:t>
      </w:r>
      <w:r>
        <w:t>)</w:t>
      </w:r>
    </w:p>
    <w:p>
      <w:r>
        <w:t>Project health is a computed score (0–100) blending schedule, cost, RAID and</w:t>
      </w:r>
    </w:p>
    <w:p>
      <w:r>
        <w:t>milestone signals into RAG:</w:t>
      </w:r>
    </w:p>
    <w:p>
      <w:pPr>
        <w:pStyle w:val="ListBullet"/>
      </w:pPr>
      <w:r>
        <w:t>Health changes are captured historically — the dashboard shows recent</w:t>
      </w:r>
    </w:p>
    <w:p>
      <w:r>
        <w:t>movements (e.g. Amber → Red).</w:t>
      </w:r>
    </w:p>
    <w:p>
      <w:pPr>
        <w:pStyle w:val="ListBullet"/>
      </w:pPr>
      <w:r>
        <w:rPr>
          <w:rFonts w:ascii="Consolas" w:hAnsi="Consolas" w:eastAsia="Consolas"/>
          <w:color w:val="0E7490"/>
          <w:sz w:val="18"/>
        </w:rPr>
        <w:t>HEALTH_CHANGED</w:t>
      </w:r>
      <w:r>
        <w:t xml:space="preserve"> is an automation trigger: a project going red can</w:t>
      </w:r>
    </w:p>
    <w:p>
      <w:r>
        <w:t>automatically summon the PMO.</w:t>
      </w:r>
    </w:p>
    <w:p>
      <w:pPr>
        <w:pStyle w:val="Heading2"/>
      </w:pPr>
      <w:r>
        <w:rPr>
          <w:rFonts w:ascii="Segoe UI" w:hAnsi="Segoe UI"/>
        </w:rPr>
        <w:t>6. RAID (</w:t>
      </w:r>
      <w:r>
        <w:rPr>
          <w:rFonts w:ascii="Consolas" w:hAnsi="Consolas" w:eastAsia="Consolas"/>
          <w:color w:val="0E7490"/>
          <w:sz w:val="18"/>
        </w:rPr>
        <w:t>#/raid</w:t>
      </w:r>
      <w:r>
        <w:t>) — Risks, Assumptions, Issues, Dependencies</w:t>
      </w:r>
    </w:p>
    <w:p>
      <w:pPr>
        <w:pStyle w:val="ListNumber"/>
      </w:pPr>
      <w:r>
        <w:rPr>
          <w:b/>
        </w:rPr>
        <w:t>Log</w:t>
      </w:r>
      <w:r>
        <w:t xml:space="preserve"> the item with type, severity, owner, score (probability × impact),</w:t>
      </w:r>
    </w:p>
    <w:p>
      <w:r>
        <w:t>mitigation and status.</w:t>
      </w:r>
    </w:p>
    <w:p>
      <w:pPr>
        <w:pStyle w:val="ListNumber"/>
      </w:pPr>
      <w:r>
        <w:t>Top-scored risks flow to the Executive dashboard automatically.</w:t>
      </w:r>
    </w:p>
    <w:p>
      <w:pPr>
        <w:pStyle w:val="ListNumber"/>
      </w:pPr>
      <w:r>
        <w:rPr>
          <w:rFonts w:ascii="Consolas" w:hAnsi="Consolas" w:eastAsia="Consolas"/>
          <w:color w:val="0E7490"/>
          <w:sz w:val="18"/>
        </w:rPr>
        <w:t>RAID_CREATED</w:t>
      </w:r>
      <w:r>
        <w:t xml:space="preserve"> triggers automations (e.g. alert the program board for CRITICAL</w:t>
      </w:r>
    </w:p>
    <w:p>
      <w:r>
        <w:t>items).</w:t>
      </w:r>
    </w:p>
    <w:p>
      <w:pPr>
        <w:pStyle w:val="ListNumber"/>
      </w:pPr>
      <w:r>
        <w:t>Close items with resolution notes — the register stays audit-clean.</w:t>
      </w:r>
    </w:p>
    <w:p>
      <w:pPr>
        <w:pStyle w:val="Heading2"/>
      </w:pPr>
      <w:r>
        <w:rPr>
          <w:rFonts w:ascii="Segoe UI" w:hAnsi="Segoe UI"/>
        </w:rPr>
        <w:t>7. Change Control (</w:t>
      </w:r>
      <w:r>
        <w:rPr>
          <w:rFonts w:ascii="Consolas" w:hAnsi="Consolas" w:eastAsia="Consolas"/>
          <w:color w:val="0E7490"/>
          <w:sz w:val="18"/>
        </w:rPr>
        <w:t>#/changes</w:t>
      </w:r>
      <w:r>
        <w:t>)</w:t>
      </w:r>
    </w:p>
    <w:p>
      <w:r>
        <w:t>The governed route to change scope/schedule/cost:</w:t>
      </w:r>
    </w:p>
    <w:p>
      <w:pPr>
        <w:pStyle w:val="ListNumber"/>
      </w:pPr>
      <w:r>
        <w:rPr>
          <w:rFonts w:ascii="Segoe UI" w:hAnsi="Segoe UI"/>
        </w:rPr>
        <w:t xml:space="preserve">Raise a </w:t>
      </w:r>
      <w:r>
        <w:rPr>
          <w:b/>
        </w:rPr>
        <w:t>Change Request</w:t>
      </w:r>
      <w:r>
        <w:t xml:space="preserve"> — description, reason, impacted scope.</w:t>
      </w:r>
    </w:p>
    <w:p>
      <w:pPr>
        <w:pStyle w:val="ListNumber"/>
      </w:pPr>
      <w:r>
        <w:rPr>
          <w:rFonts w:ascii="Segoe UI" w:hAnsi="Segoe UI"/>
        </w:rPr>
        <w:t xml:space="preserve">The platform attaches </w:t>
      </w:r>
      <w:r>
        <w:rPr>
          <w:b/>
        </w:rPr>
        <w:t>impact analysis</w:t>
      </w:r>
      <w:r>
        <w:t xml:space="preserve"> (schedule/cost deltas vs baseline).</w:t>
      </w:r>
    </w:p>
    <w:p>
      <w:pPr>
        <w:pStyle w:val="ListNumber"/>
      </w:pPr>
      <w:r>
        <w:t>Workflow: Submitted → Assessed → Approved / Rejected — every transition is</w:t>
      </w:r>
    </w:p>
    <w:p>
      <w:r>
        <w:t>audited.</w:t>
      </w:r>
    </w:p>
    <w:p>
      <w:pPr>
        <w:pStyle w:val="ListNumber"/>
      </w:pPr>
      <w:r>
        <w:t>Approved CRs update the current budget and justify a new baseline.</w:t>
      </w:r>
    </w:p>
    <w:p>
      <w:pPr>
        <w:pStyle w:val="ListNumber"/>
      </w:pPr>
      <w:r>
        <w:rPr>
          <w:rFonts w:ascii="Consolas" w:hAnsi="Consolas" w:eastAsia="Consolas"/>
          <w:color w:val="0E7490"/>
          <w:sz w:val="18"/>
        </w:rPr>
        <w:t>CHANGE_REQUESTED</w:t>
      </w:r>
      <w:r>
        <w:t xml:space="preserve"> triggers notifications to the approver chain.</w:t>
      </w:r>
    </w:p>
    <w:p>
      <w:pPr>
        <w:pStyle w:val="Heading2"/>
      </w:pPr>
      <w:r>
        <w:rPr>
          <w:rFonts w:ascii="Segoe UI" w:hAnsi="Segoe UI"/>
        </w:rPr>
        <w:t>8. Stage Gates (</w:t>
      </w:r>
      <w:r>
        <w:rPr>
          <w:rFonts w:ascii="Consolas" w:hAnsi="Consolas" w:eastAsia="Consolas"/>
          <w:color w:val="0E7490"/>
          <w:sz w:val="18"/>
        </w:rPr>
        <w:t>#/gates</w:t>
      </w:r>
      <w:r>
        <w:t>)</w:t>
      </w:r>
    </w:p>
    <w:p>
      <w:r>
        <w:t>Phase checkpoints (Initiate → Plan → Execute → Close):</w:t>
      </w:r>
    </w:p>
    <w:p>
      <w:pPr>
        <w:pStyle w:val="ListBullet"/>
      </w:pPr>
      <w:r>
        <w:t>Each gate has criteria and evidence attached to a project phase.</w:t>
      </w:r>
    </w:p>
    <w:p>
      <w:pPr>
        <w:pStyle w:val="ListBullet"/>
      </w:pPr>
      <w:r>
        <w:rPr>
          <w:rFonts w:ascii="Segoe UI" w:hAnsi="Segoe UI"/>
        </w:rPr>
        <w:t>Approvers (</w:t>
      </w:r>
      <w:r>
        <w:rPr>
          <w:rFonts w:ascii="Consolas" w:hAnsi="Consolas" w:eastAsia="Consolas"/>
          <w:color w:val="0E7490"/>
          <w:sz w:val="18"/>
        </w:rPr>
        <w:t>gate.decide</w:t>
      </w:r>
      <w:r>
        <w:rPr>
          <w:rFonts w:ascii="Segoe UI" w:hAnsi="Segoe UI"/>
        </w:rPr>
        <w:t xml:space="preserve"> permission — executives, PMO) </w:t>
      </w:r>
      <w:r>
        <w:rPr>
          <w:b/>
        </w:rPr>
        <w:t>Pass / Hold / Fail</w:t>
      </w:r>
    </w:p>
    <w:p>
      <w:r>
        <w:t>with comments; the decision is audited.</w:t>
      </w:r>
    </w:p>
    <w:p>
      <w:pPr>
        <w:pStyle w:val="ListBullet"/>
      </w:pPr>
      <w:r>
        <w:t>Pending gates appear on the Executive dashboard governance queue and on the</w:t>
      </w:r>
    </w:p>
    <w:p>
      <w:r>
        <w:t>Leadership bundle.</w:t>
      </w:r>
    </w:p>
    <w:p>
      <w:pPr>
        <w:pStyle w:val="Heading2"/>
      </w:pPr>
      <w:r>
        <w:rPr>
          <w:rFonts w:ascii="Segoe UI" w:hAnsi="Segoe UI"/>
        </w:rPr>
        <w:t>9. Governance (</w:t>
      </w:r>
      <w:r>
        <w:rPr>
          <w:rFonts w:ascii="Consolas" w:hAnsi="Consolas" w:eastAsia="Consolas"/>
          <w:color w:val="0E7490"/>
          <w:sz w:val="18"/>
        </w:rPr>
        <w:t>#/governance</w:t>
      </w:r>
      <w:r>
        <w:t>)</w:t>
      </w:r>
    </w:p>
    <w:p>
      <w:r>
        <w:t>The single queue where governance work happens: pending gates, change requests</w:t>
      </w:r>
    </w:p>
    <w:p>
      <w:r>
        <w:t>in flight, open alerts and their states — the "governance section" of every</w:t>
      </w:r>
    </w:p>
    <w:p>
      <w:r>
        <w:t>steering meeting runs off this screen.</w:t>
      </w:r>
    </w:p>
    <w:p>
      <w:pPr>
        <w:pStyle w:val="Heading2"/>
      </w:pPr>
      <w:r>
        <w:rPr>
          <w:rFonts w:ascii="Segoe UI" w:hAnsi="Segoe UI"/>
        </w:rPr>
        <w:t>10. Data Integrity (</w:t>
      </w:r>
      <w:r>
        <w:rPr>
          <w:rFonts w:ascii="Consolas" w:hAnsi="Consolas" w:eastAsia="Consolas"/>
          <w:color w:val="0E7490"/>
          <w:sz w:val="18"/>
        </w:rPr>
        <w:t>#/integrity</w:t>
      </w:r>
      <w:r>
        <w:t>) — trust, scored</w:t>
      </w:r>
    </w:p>
    <w:p>
      <w:pPr>
        <w:pStyle w:val="ListBullet"/>
      </w:pPr>
      <w:r>
        <w:rPr>
          <w:rFonts w:ascii="Segoe UI" w:hAnsi="Segoe UI"/>
        </w:rPr>
        <w:t xml:space="preserve">Every project gets a </w:t>
      </w:r>
      <w:r>
        <w:rPr>
          <w:b/>
        </w:rPr>
        <w:t>freshness score</w:t>
      </w:r>
      <w:r>
        <w:t xml:space="preserve"> (0–100) from the recency of its</w:t>
      </w:r>
    </w:p>
    <w:p>
      <w:r>
        <w:t>feeds: timesheets, actuals, health captures, EVM periods. The **worst feed</w:t>
      </w:r>
    </w:p>
    <w:p>
      <w:r>
        <w:t>dominates** — one stale feed drags the score down and names itself.</w:t>
      </w:r>
    </w:p>
    <w:p>
      <w:pPr>
        <w:pStyle w:val="ListBullet"/>
      </w:pPr>
      <w:r>
        <w:t>Levels: GREEN healthy → WARN → DEGRADE → CRITICAL (score &lt; 40).</w:t>
      </w:r>
    </w:p>
    <w:p>
      <w:pPr>
        <w:pStyle w:val="ListBullet"/>
      </w:pPr>
      <w:r>
        <w:rPr>
          <w:rFonts w:ascii="Segoe UI" w:hAnsi="Segoe UI"/>
        </w:rPr>
        <w:t xml:space="preserve">The rule taught to every user: </w:t>
      </w:r>
      <w:r>
        <w:rPr>
          <w:b/>
        </w:rPr>
        <w:t>below 40, do not decide — chase the feed.</w:t>
      </w:r>
    </w:p>
    <w:p>
      <w:pPr>
        <w:pStyle w:val="ListBullet"/>
      </w:pPr>
      <w:r>
        <w:t>AI-assisted remediation actions can be drafted here for human review.</w:t>
      </w:r>
    </w:p>
    <w:p>
      <w:pPr>
        <w:pStyle w:val="Heading2"/>
      </w:pPr>
      <w:r>
        <w:rPr>
          <w:rFonts w:ascii="Segoe UI" w:hAnsi="Segoe UI"/>
        </w:rPr>
        <w:t>11. Prioritization (</w:t>
      </w:r>
      <w:r>
        <w:rPr>
          <w:rFonts w:ascii="Consolas" w:hAnsi="Consolas" w:eastAsia="Consolas"/>
          <w:color w:val="0E7490"/>
          <w:sz w:val="18"/>
        </w:rPr>
        <w:t>#/prioritization</w:t>
      </w:r>
      <w:r>
        <w:t>)</w:t>
      </w:r>
    </w:p>
    <w:p>
      <w:r>
        <w:t>Score and rank projects/programs (value, risk, strategic fit) to guide</w:t>
      </w:r>
    </w:p>
    <w:p>
      <w:r>
        <w:t>funding decisions — feeding the Investment screen.</w:t>
      </w:r>
    </w:p>
    <w:p>
      <w:pPr>
        <w:pStyle w:val="Heading2"/>
      </w:pPr>
      <w:r>
        <w:t>12. Exercise (20 min) — the control loop</w:t>
      </w:r>
    </w:p>
    <w:p>
      <w:pPr>
        <w:pStyle w:val="ListNumber"/>
      </w:pPr>
      <w:r>
        <w:rPr>
          <w:rFonts w:ascii="Segoe UI" w:hAnsi="Segoe UI"/>
        </w:rPr>
        <w:t xml:space="preserve">Log in as </w:t>
      </w:r>
      <w:r>
        <w:rPr>
          <w:rFonts w:ascii="Consolas" w:hAnsi="Consolas" w:eastAsia="Consolas"/>
          <w:color w:val="0E7490"/>
          <w:sz w:val="18"/>
        </w:rPr>
        <w:t>pm.sarah@pmct.io</w:t>
      </w:r>
      <w:r>
        <w:rPr>
          <w:rFonts w:ascii="Segoe UI" w:hAnsi="Segoe UI"/>
        </w:rPr>
        <w:t xml:space="preserve">; open </w:t>
      </w:r>
      <w:r>
        <w:rPr>
          <w:b/>
        </w:rPr>
        <w:t>EVM</w:t>
      </w:r>
      <w:r>
        <w:t xml:space="preserve"> — find your project's CPI/SPI.</w:t>
      </w:r>
    </w:p>
    <w:p>
      <w:r>
        <w:t>Are you delivering under budget? Ahead of schedule?</w:t>
      </w:r>
    </w:p>
    <w:p>
      <w:pPr>
        <w:pStyle w:val="ListNumber"/>
      </w:pPr>
      <w:r>
        <w:rPr>
          <w:rFonts w:ascii="Segoe UI" w:hAnsi="Segoe UI"/>
        </w:rPr>
        <w:t xml:space="preserve">Open </w:t>
      </w:r>
      <w:r>
        <w:rPr>
          <w:b/>
        </w:rPr>
        <w:t>RAID</w:t>
      </w:r>
      <w:r>
        <w:t>; log a CRITICAL risk ("vendor insolvency"); add mitigation.</w:t>
      </w:r>
    </w:p>
    <w:p>
      <w:pPr>
        <w:pStyle w:val="ListNumber"/>
      </w:pPr>
      <w:r>
        <w:t>Open the Executive dashboard (or ask the facilitator) — is the risk in Top</w:t>
      </w:r>
    </w:p>
    <w:p>
      <w:r>
        <w:t>Risks yet?</w:t>
      </w:r>
    </w:p>
    <w:p>
      <w:pPr>
        <w:pStyle w:val="ListNumber"/>
      </w:pPr>
      <w:r>
        <w:rPr>
          <w:rFonts w:ascii="Segoe UI" w:hAnsi="Segoe UI"/>
        </w:rPr>
        <w:t xml:space="preserve">Open </w:t>
      </w:r>
      <w:r>
        <w:rPr>
          <w:b/>
        </w:rPr>
        <w:t>Changes</w:t>
      </w:r>
      <w:r>
        <w:t>; raise a CR to extend the schedule by two weeks. Note the</w:t>
      </w:r>
    </w:p>
    <w:p>
      <w:r>
        <w:t>impact analysis.</w:t>
      </w:r>
    </w:p>
    <w:p>
      <w:pPr>
        <w:pStyle w:val="ListNumber"/>
      </w:pPr>
      <w:r>
        <w:rPr>
          <w:rFonts w:ascii="Segoe UI" w:hAnsi="Segoe UI"/>
        </w:rPr>
        <w:t xml:space="preserve">As facilitator (PMO): approve the CR in </w:t>
      </w:r>
      <w:r>
        <w:rPr>
          <w:b/>
        </w:rPr>
        <w:t>Governance</w:t>
      </w:r>
      <w:r>
        <w:t>; verify the audit</w:t>
      </w:r>
    </w:p>
    <w:p>
      <w:r>
        <w:rPr>
          <w:rFonts w:ascii="Segoe UI" w:hAnsi="Segoe UI"/>
        </w:rPr>
        <w:t>trail (</w:t>
      </w:r>
      <w:r>
        <w:rPr>
          <w:b/>
        </w:rPr>
        <w:t>Administration → Audit Trail</w:t>
      </w:r>
      <w:r>
        <w:t>).</w:t>
      </w:r>
    </w:p>
    <w:p>
      <w:pPr>
        <w:pStyle w:val="ListNumber"/>
      </w:pPr>
      <w:r>
        <w:rPr>
          <w:rFonts w:ascii="Segoe UI" w:hAnsi="Segoe UI"/>
        </w:rPr>
        <w:t xml:space="preserve">Check </w:t>
      </w:r>
      <w:r>
        <w:rPr>
          <w:b/>
        </w:rPr>
        <w:t>Data Integrity</w:t>
      </w:r>
      <w:r>
        <w:t xml:space="preserve"> — which project needs timesheets chased?</w:t>
      </w:r>
    </w:p>
    <w:p>
      <w:r>
        <w:rPr>
          <w:b/>
        </w:rPr>
        <w:t>Discussion</w:t>
      </w:r>
      <w:r>
        <w:t>: which of these steps would have been email + spreadsheet in a</w:t>
      </w:r>
    </w:p>
    <w:p>
      <w:r>
        <w:t>traditional PMO? What did the audit trail capture for free?</w:t>
      </w:r>
    </w:p>
    <w:p>
      <w:pPr>
        <w:pStyle w:val="Heading2"/>
      </w:pPr>
      <w:r>
        <w:t>13. Key takeaways</w:t>
      </w:r>
    </w:p>
    <w:p>
      <w:pPr>
        <w:pStyle w:val="ListBullet"/>
      </w:pPr>
      <w:r>
        <w:t>Financials ↔ EVM ↔ Health form the measurement triangle; baselines make it</w:t>
      </w:r>
    </w:p>
    <w:p>
      <w:r>
        <w:t>honest; timesheets make it true.</w:t>
      </w:r>
    </w:p>
    <w:p>
      <w:pPr>
        <w:pStyle w:val="ListBullet"/>
      </w:pPr>
      <w:r>
        <w:t>RAID, Changes and Gates are the three governance muscles — all audited.</w:t>
      </w:r>
    </w:p>
    <w:p>
      <w:pPr>
        <w:pStyle w:val="ListBullet"/>
      </w:pPr>
      <w:r>
        <w:t>Integrity scores convert "data hygiene" into a managed KPI with a stop rule.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· Control Performance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