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· Intelligence &amp; Reporting</w:t>
      </w:r>
    </w:p>
    <w:p>
      <w:pPr>
        <w:ind w:left="340"/>
        <w:pBdr>
          <w:left w:val="single" w:sz="18" w:color="0E7490" w:space="6"/>
        </w:pBdr>
      </w:pPr>
      <w:r>
        <w:rPr>
          <w:i/>
          <w:color w:val="334155"/>
        </w:rPr>
        <w:t>Audience: executives, PMO, anyone consuming reports · Time: 30 minutes Prerequisite: modules 01–02 · Screens: Intelligence group</w:t>
      </w:r>
    </w:p>
    <w:p>
      <w:pPr>
        <w:pStyle w:val="Heading2"/>
      </w:pPr>
      <w:r>
        <w:t>Learning objectives</w:t>
      </w:r>
    </w:p>
    <w:p>
      <w:r>
        <w:t>Choose the right reporting surface for the audience — Leadership bundle, report</w:t>
      </w:r>
    </w:p>
    <w:p>
      <w:r>
        <w:t>library, Reporting Center templates, or Analytics — schedule subscriptions, and</w:t>
      </w:r>
    </w:p>
    <w:p>
      <w:r>
        <w:t>use the AI PM Assistant responsibly.</w:t>
      </w:r>
    </w:p>
    <w:p>
      <w:pPr>
        <w:spacing w:before="80"/>
        <w:pBdr>
          <w:bottom w:val="single" w:sz="6" w:color="CBD5E1"/>
        </w:pBdr>
      </w:pPr>
    </w:p>
    <w:p>
      <w:pPr>
        <w:pStyle w:val="Heading2"/>
      </w:pPr>
      <w:r>
        <w:t>1. Which screen for which meeting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Meeting</w:t>
            </w:r>
          </w:p>
        </w:tc>
        <w:tc>
          <w:tcPr>
            <w:tcW w:type="dxa" w:w="3249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3249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3249"/>
          </w:tcPr>
          <w:p>
            <w:r>
              <w:t>Monthly steering / board</w:t>
            </w:r>
          </w:p>
        </w:tc>
        <w:tc>
          <w:tcPr>
            <w:tcW w:type="dxa" w:w="3249"/>
          </w:tcPr>
          <w:p>
            <w:r>
              <w:rPr>
                <w:b/>
              </w:rPr>
              <w:t>Leadership Control Tower</w:t>
            </w:r>
          </w:p>
        </w:tc>
        <w:tc>
          <w:tcPr>
            <w:tcW w:type="dxa" w:w="3249"/>
          </w:tcPr>
          <w:p>
            <w:r>
              <w:t>Slide-ready executive bundle</w:t>
            </w:r>
          </w:p>
        </w:tc>
      </w:tr>
      <w:tr>
        <w:tc>
          <w:tcPr>
            <w:tcW w:type="dxa" w:w="3249"/>
          </w:tcPr>
          <w:p>
            <w:r>
              <w:t>Operational review</w:t>
            </w:r>
          </w:p>
        </w:tc>
        <w:tc>
          <w:tcPr>
            <w:tcW w:type="dxa" w:w="3249"/>
          </w:tcPr>
          <w:p>
            <w:r>
              <w:rPr>
                <w:b/>
              </w:rPr>
              <w:t>Reports</w:t>
            </w:r>
          </w:p>
        </w:tc>
        <w:tc>
          <w:tcPr>
            <w:tcW w:type="dxa" w:w="3249"/>
          </w:tcPr>
          <w:p>
            <w:r>
              <w:t>Standard report library</w:t>
            </w:r>
          </w:p>
        </w:tc>
      </w:tr>
      <w:tr>
        <w:tc>
          <w:tcPr>
            <w:tcW w:type="dxa" w:w="3249"/>
          </w:tcPr>
          <w:p>
            <w:r>
              <w:t>Ad-hoc / self-service</w:t>
            </w:r>
          </w:p>
        </w:tc>
        <w:tc>
          <w:tcPr>
            <w:tcW w:type="dxa" w:w="3249"/>
          </w:tcPr>
          <w:p>
            <w:r>
              <w:rPr>
                <w:b/>
              </w:rPr>
              <w:t>Reporting Center</w:t>
            </w:r>
          </w:p>
        </w:tc>
        <w:tc>
          <w:tcPr>
            <w:tcW w:type="dxa" w:w="3249"/>
          </w:tcPr>
          <w:p>
            <w:r>
              <w:t>177 templates, generate &amp; export</w:t>
            </w:r>
          </w:p>
        </w:tc>
      </w:tr>
      <w:tr>
        <w:tc>
          <w:tcPr>
            <w:tcW w:type="dxa" w:w="3249"/>
          </w:tcPr>
          <w:p>
            <w:r>
              <w:t>Trend &amp; forecast session</w:t>
            </w:r>
          </w:p>
        </w:tc>
        <w:tc>
          <w:tcPr>
            <w:tcW w:type="dxa" w:w="3249"/>
          </w:tcPr>
          <w:p>
            <w:r>
              <w:rPr>
                <w:b/>
              </w:rPr>
              <w:t>Analytics</w:t>
            </w:r>
          </w:p>
        </w:tc>
        <w:tc>
          <w:tcPr>
            <w:tcW w:type="dxa" w:w="3249"/>
          </w:tcPr>
          <w:p>
            <w:r>
              <w:t>Time-series and predictive views</w:t>
            </w:r>
          </w:p>
        </w:tc>
      </w:tr>
      <w:tr>
        <w:tc>
          <w:tcPr>
            <w:tcW w:type="dxa" w:w="3249"/>
          </w:tcPr>
          <w:p>
            <w:r>
              <w:t>Quick question</w:t>
            </w:r>
          </w:p>
        </w:tc>
        <w:tc>
          <w:tcPr>
            <w:tcW w:type="dxa" w:w="3249"/>
          </w:tcPr>
          <w:p>
            <w:r>
              <w:rPr>
                <w:b/>
              </w:rPr>
              <w:t>AI PM Assistant</w:t>
            </w:r>
          </w:p>
        </w:tc>
        <w:tc>
          <w:tcPr>
            <w:tcW w:type="dxa" w:w="3249"/>
          </w:tcPr>
          <w:p>
            <w:r>
              <w:t>Instant answers over your data</w:t>
            </w:r>
          </w:p>
        </w:tc>
      </w:tr>
    </w:tbl>
    <w:p/>
    <w:p>
      <w:r>
        <w:t>All of them read the same operational data — figures never disagree between</w:t>
      </w:r>
    </w:p>
    <w:p>
      <w:r>
        <w:t>screens.</w:t>
      </w:r>
    </w:p>
    <w:p>
      <w:pPr>
        <w:pStyle w:val="Heading2"/>
      </w:pPr>
      <w:r>
        <w:rPr>
          <w:rFonts w:ascii="Segoe UI" w:hAnsi="Segoe UI"/>
        </w:rPr>
        <w:t>2. Leadership Control Tower (</w:t>
      </w:r>
      <w:r>
        <w:rPr>
          <w:rFonts w:ascii="Consolas" w:hAnsi="Consolas" w:eastAsia="Consolas"/>
          <w:color w:val="0E7490"/>
          <w:sz w:val="18"/>
        </w:rPr>
        <w:t>#/reports/leadership</w:t>
      </w:r>
      <w:r>
        <w:t>)</w:t>
      </w:r>
    </w:p>
    <w:p>
      <w:r>
        <w:t>The executive's executive screen — a multi-section bundle generated from live</w:t>
      </w:r>
    </w:p>
    <w:p>
      <w:r>
        <w:t>data:</w:t>
      </w:r>
    </w:p>
    <w:p>
      <w:pPr>
        <w:pStyle w:val="ListBullet"/>
      </w:pPr>
      <w:r>
        <w:rPr>
          <w:b/>
        </w:rPr>
        <w:t>Portfolio overview</w:t>
      </w:r>
      <w:r>
        <w:t xml:space="preserve"> — counts, values, health distribution.</w:t>
      </w:r>
    </w:p>
    <w:p>
      <w:pPr>
        <w:pStyle w:val="ListBullet"/>
      </w:pPr>
      <w:r>
        <w:rPr>
          <w:b/>
        </w:rPr>
        <w:t>Financial summary</w:t>
      </w:r>
      <w:r>
        <w:t xml:space="preserve"> — budget/actual/forecast, variance narrative.</w:t>
      </w:r>
    </w:p>
    <w:p>
      <w:pPr>
        <w:pStyle w:val="ListBullet"/>
      </w:pPr>
      <w:r>
        <w:rPr>
          <w:b/>
        </w:rPr>
        <w:t>EVM performance</w:t>
      </w:r>
      <w:r>
        <w:t xml:space="preserve"> — indices, trends, exceptions.</w:t>
      </w:r>
    </w:p>
    <w:p>
      <w:pPr>
        <w:pStyle w:val="ListBullet"/>
      </w:pPr>
      <w:r>
        <w:rPr>
          <w:b/>
        </w:rPr>
        <w:t>Risks &amp; issues</w:t>
      </w:r>
      <w:r>
        <w:t xml:space="preserve"> — top exposures with severity.</w:t>
      </w:r>
    </w:p>
    <w:p>
      <w:pPr>
        <w:pStyle w:val="ListBullet"/>
      </w:pPr>
      <w:r>
        <w:rPr>
          <w:b/>
        </w:rPr>
        <w:t>Governance</w:t>
      </w:r>
      <w:r>
        <w:t xml:space="preserve"> — gates and changes awaiting decisions.</w:t>
      </w:r>
    </w:p>
    <w:p>
      <w:pPr>
        <w:pStyle w:val="ListBullet"/>
      </w:pPr>
      <w:r>
        <w:rPr>
          <w:b/>
        </w:rPr>
        <w:t>Delivery confidence</w:t>
      </w:r>
      <w:r>
        <w:t xml:space="preserve"> — schedule health and milestones.</w:t>
      </w:r>
    </w:p>
    <w:p>
      <w:r>
        <w:t>Each section is presentation-formatted: copy into a board pack or present</w:t>
      </w:r>
    </w:p>
    <w:p>
      <w:r>
        <w:t>directly. Period selector switches the reporting window.</w:t>
      </w:r>
    </w:p>
    <w:p>
      <w:pPr>
        <w:pStyle w:val="Heading2"/>
      </w:pPr>
      <w:r>
        <w:rPr>
          <w:rFonts w:ascii="Segoe UI" w:hAnsi="Segoe UI"/>
        </w:rPr>
        <w:t>3. Reports (</w:t>
      </w:r>
      <w:r>
        <w:rPr>
          <w:rFonts w:ascii="Consolas" w:hAnsi="Consolas" w:eastAsia="Consolas"/>
          <w:color w:val="0E7490"/>
          <w:sz w:val="18"/>
        </w:rPr>
        <w:t>#/reports</w:t>
      </w:r>
      <w:r>
        <w:t>)</w:t>
      </w:r>
    </w:p>
    <w:p>
      <w:r>
        <w:t>The standard report library: portfolio status, project health, financial</w:t>
      </w:r>
    </w:p>
    <w:p>
      <w:r>
        <w:t>summary, resource utilisation, RAID exposure, schedule performance, governance</w:t>
      </w:r>
    </w:p>
    <w:p>
      <w:r>
        <w:t>digest and more. Pick report → pick scope (portfolio/program/project) and period</w:t>
      </w:r>
    </w:p>
    <w:p>
      <w:r>
        <w:t>→ generate → export.</w:t>
      </w:r>
    </w:p>
    <w:p>
      <w:pPr>
        <w:pStyle w:val="Heading2"/>
      </w:pPr>
      <w:r>
        <w:rPr>
          <w:rFonts w:ascii="Segoe UI" w:hAnsi="Segoe UI"/>
        </w:rPr>
        <w:t>4. Reporting Center (</w:t>
      </w:r>
      <w:r>
        <w:rPr>
          <w:rFonts w:ascii="Consolas" w:hAnsi="Consolas" w:eastAsia="Consolas"/>
          <w:color w:val="0E7490"/>
          <w:sz w:val="18"/>
        </w:rPr>
        <w:t>#/reporting</w:t>
      </w:r>
      <w:r>
        <w:t>) — self-service factory</w:t>
      </w:r>
    </w:p>
    <w:p>
      <w:r>
        <w:t>The most powerful reporting surface:</w:t>
      </w:r>
    </w:p>
    <w:p>
      <w:pPr>
        <w:pStyle w:val="ListBullet"/>
      </w:pPr>
      <w:r>
        <w:rPr>
          <w:b/>
        </w:rPr>
        <w:t>Template library</w:t>
      </w:r>
      <w:r>
        <w:t xml:space="preserve"> — 177 published templates across 13 categories</w:t>
      </w:r>
    </w:p>
    <w:p>
      <w:r>
        <w:t>(Executive, Financial, Schedule, EVM, Resources, RAID, Governance, Client,</w:t>
      </w:r>
    </w:p>
    <w:p>
      <w:r>
        <w:t>Benefits, Delivery, Quality, Compliance, Custom). Search, filter by category,</w:t>
      </w:r>
    </w:p>
    <w:p>
      <w:r>
        <w:t>preview.</w:t>
      </w:r>
    </w:p>
    <w:p>
      <w:pPr>
        <w:pStyle w:val="ListBullet"/>
      </w:pPr>
      <w:r>
        <w:rPr>
          <w:b/>
        </w:rPr>
        <w:t>Generate</w:t>
      </w:r>
      <w:r>
        <w:t xml:space="preserve"> — choose template + scope + period; the report renders with real</w:t>
      </w:r>
    </w:p>
    <w:p>
      <w:r>
        <w:t>data, charts included.</w:t>
      </w:r>
    </w:p>
    <w:p>
      <w:pPr>
        <w:pStyle w:val="ListBullet"/>
      </w:pPr>
      <w:r>
        <w:rPr>
          <w:b/>
        </w:rPr>
        <w:t>Charts</w:t>
      </w:r>
      <w:r>
        <w:t xml:space="preserve"> — interactive charts embedded in generated reports (RAG</w:t>
      </w:r>
    </w:p>
    <w:p>
      <w:r>
        <w:t>distribution, cost curves, EVM trends, resource histograms).</w:t>
      </w:r>
    </w:p>
    <w:p>
      <w:pPr>
        <w:pStyle w:val="ListBullet"/>
      </w:pPr>
      <w:r>
        <w:rPr>
          <w:b/>
        </w:rPr>
        <w:t>Save &amp; publish</w:t>
      </w:r>
      <w:r>
        <w:t xml:space="preserve"> — save your generated report; PMO can publish custom</w:t>
      </w:r>
    </w:p>
    <w:p>
      <w:r>
        <w:t>templates for the whole organisation.</w:t>
      </w:r>
    </w:p>
    <w:p>
      <w:pPr>
        <w:pStyle w:val="ListBullet"/>
      </w:pPr>
      <w:r>
        <w:rPr>
          <w:b/>
        </w:rPr>
        <w:t>Subscriptions</w:t>
      </w:r>
      <w:r>
        <w:t xml:space="preserve"> — subscribe to a template with a cadence (daily/weekly/</w:t>
      </w:r>
    </w:p>
    <w:p>
      <w:r>
        <w:t>monthly); the platform delivers it on schedule to your notifications. Manage</w:t>
      </w:r>
    </w:p>
    <w:p>
      <w:r>
        <w:t>subscriptions in your profile area of the screen.</w:t>
      </w:r>
    </w:p>
    <w:p>
      <w:pPr>
        <w:ind w:left="340"/>
        <w:pBdr>
          <w:left w:val="single" w:sz="18" w:color="0E7490" w:space="6"/>
        </w:pBdr>
      </w:pPr>
      <w:r>
        <w:rPr>
          <w:i/>
          <w:color w:val="334155"/>
        </w:rPr>
        <w:t>Training tip: the fastest path to "can I get a report on X?" is Reporting Center → search the template name. If it does not exist, a PMO admin can publish one from any generated report.</w:t>
      </w:r>
    </w:p>
    <w:p>
      <w:pPr>
        <w:pStyle w:val="Heading2"/>
      </w:pPr>
      <w:r>
        <w:rPr>
          <w:rFonts w:ascii="Segoe UI" w:hAnsi="Segoe UI"/>
        </w:rPr>
        <w:t>5. Analytics (</w:t>
      </w:r>
      <w:r>
        <w:rPr>
          <w:rFonts w:ascii="Consolas" w:hAnsi="Consolas" w:eastAsia="Consolas"/>
          <w:color w:val="0E7490"/>
          <w:sz w:val="18"/>
        </w:rPr>
        <w:t>#/analytics</w:t>
      </w:r>
      <w:r>
        <w:t>)</w:t>
      </w:r>
    </w:p>
    <w:p>
      <w:r>
        <w:t>Time-series intelligence across the portfolio:</w:t>
      </w:r>
    </w:p>
    <w:p>
      <w:pPr>
        <w:pStyle w:val="ListBullet"/>
      </w:pPr>
      <w:r>
        <w:rPr>
          <w:b/>
        </w:rPr>
        <w:t>Health timeline</w:t>
      </w:r>
      <w:r>
        <w:t xml:space="preserve"> — RAG/health-score movement per project over months.</w:t>
      </w:r>
    </w:p>
    <w:p>
      <w:pPr>
        <w:pStyle w:val="ListBullet"/>
      </w:pPr>
      <w:r>
        <w:rPr>
          <w:b/>
        </w:rPr>
        <w:t>EVM history</w:t>
      </w:r>
      <w:r>
        <w:t xml:space="preserve"> — CPI/SPI trends per project — the shape of the trend matters</w:t>
      </w:r>
    </w:p>
    <w:p>
      <w:r>
        <w:t>more than one period's value.</w:t>
      </w:r>
    </w:p>
    <w:p>
      <w:pPr>
        <w:pStyle w:val="ListBullet"/>
      </w:pPr>
      <w:r>
        <w:rPr>
          <w:b/>
        </w:rPr>
        <w:t>Timesheet weeks</w:t>
      </w:r>
      <w:r>
        <w:t xml:space="preserve"> — approved-hours volume (feeds the dashboard's Effort</w:t>
      </w:r>
    </w:p>
    <w:p>
      <w:r>
        <w:t>Telemetry).</w:t>
      </w:r>
    </w:p>
    <w:p>
      <w:pPr>
        <w:pStyle w:val="ListBullet"/>
      </w:pPr>
      <w:r>
        <w:rPr>
          <w:b/>
        </w:rPr>
        <w:t>RAID trend</w:t>
      </w:r>
      <w:r>
        <w:t xml:space="preserve"> — open items by month (is exposure growing?).</w:t>
      </w:r>
    </w:p>
    <w:p>
      <w:pPr>
        <w:pStyle w:val="ListBullet"/>
      </w:pPr>
      <w:r>
        <w:rPr>
          <w:b/>
        </w:rPr>
        <w:t>Throughput</w:t>
      </w:r>
      <w:r>
        <w:t xml:space="preserve"> — completed items per month (delivery velocity).</w:t>
      </w:r>
    </w:p>
    <w:p>
      <w:r>
        <w:t>Use Analytics to answer "is it getting better or worse?" — use Reports to answer</w:t>
      </w:r>
    </w:p>
    <w:p>
      <w:r>
        <w:t>"what is the state now?".</w:t>
      </w:r>
    </w:p>
    <w:p>
      <w:pPr>
        <w:pStyle w:val="Heading2"/>
      </w:pPr>
      <w:r>
        <w:rPr>
          <w:rFonts w:ascii="Segoe UI" w:hAnsi="Segoe UI"/>
        </w:rPr>
        <w:t>6. AI PM Assistant (</w:t>
      </w:r>
      <w:r>
        <w:rPr>
          <w:rFonts w:ascii="Consolas" w:hAnsi="Consolas" w:eastAsia="Consolas"/>
          <w:color w:val="0E7490"/>
          <w:sz w:val="18"/>
        </w:rPr>
        <w:t>#/assistant</w:t>
      </w:r>
      <w:r>
        <w:t>)</w:t>
      </w:r>
    </w:p>
    <w:p>
      <w:r>
        <w:t>Natural-language questions over your project data ("Which projects are at risk</w:t>
      </w:r>
    </w:p>
    <w:p>
      <w:r>
        <w:t>this quarter?", "Summarise FLOW's EVM position"):</w:t>
      </w:r>
    </w:p>
    <w:p>
      <w:pPr>
        <w:pStyle w:val="ListBullet"/>
      </w:pPr>
      <w:r>
        <w:t>Answers cite the underlying records.</w:t>
      </w:r>
    </w:p>
    <w:p>
      <w:pPr>
        <w:pStyle w:val="ListBullet"/>
      </w:pPr>
      <w:r>
        <w:t>Drafted remediation actions (e.g. proposed RAID entries) go through **human</w:t>
      </w:r>
    </w:p>
    <w:p>
      <w:r>
        <w:t>review** before anything is written — the AI proposes, people decide.</w:t>
      </w:r>
    </w:p>
    <w:p>
      <w:pPr>
        <w:pStyle w:val="ListBullet"/>
      </w:pPr>
      <w:r>
        <w:rPr>
          <w:rFonts w:ascii="Segoe UI" w:hAnsi="Segoe UI"/>
        </w:rPr>
        <w:t xml:space="preserve">Requires the </w:t>
      </w:r>
      <w:r>
        <w:rPr>
          <w:rFonts w:ascii="Consolas" w:hAnsi="Consolas" w:eastAsia="Consolas"/>
          <w:color w:val="0E7490"/>
          <w:sz w:val="18"/>
        </w:rPr>
        <w:t>ai.use</w:t>
      </w:r>
      <w:r>
        <w:t xml:space="preserve"> permission.</w:t>
      </w:r>
    </w:p>
    <w:p>
      <w:pPr>
        <w:pStyle w:val="Heading2"/>
      </w:pPr>
      <w:r>
        <w:t>7. Subscriptions in practice</w:t>
      </w:r>
    </w:p>
    <w:p>
      <w:r>
        <w:t>A working rhythm for a PMO:</w:t>
      </w:r>
    </w:p>
    <w:p>
      <w:pPr>
        <w:pStyle w:val="ListNumber"/>
      </w:pPr>
      <w:r>
        <w:rPr>
          <w:rFonts w:ascii="Segoe UI" w:hAnsi="Segoe UI"/>
        </w:rPr>
        <w:t xml:space="preserve">Weekly: </w:t>
      </w:r>
      <w:r>
        <w:rPr>
          <w:i/>
        </w:rPr>
        <w:t>Executive Portfolio Digest</w:t>
      </w:r>
      <w:r>
        <w:t xml:space="preserve"> → every Monday 08:00 to leadership.</w:t>
      </w:r>
    </w:p>
    <w:p>
      <w:pPr>
        <w:pStyle w:val="ListNumber"/>
      </w:pPr>
      <w:r>
        <w:rPr>
          <w:rFonts w:ascii="Segoe UI" w:hAnsi="Segoe UI"/>
        </w:rPr>
        <w:t xml:space="preserve">Monthly: </w:t>
      </w:r>
      <w:r>
        <w:rPr>
          <w:i/>
        </w:rPr>
        <w:t>EVM Performance Report</w:t>
      </w:r>
      <w:r>
        <w:t xml:space="preserve"> → close day +1 to finance and PMs.</w:t>
      </w:r>
    </w:p>
    <w:p>
      <w:pPr>
        <w:pStyle w:val="ListNumber"/>
      </w:pPr>
      <w:r>
        <w:rPr>
          <w:rFonts w:ascii="Segoe UI" w:hAnsi="Segoe UI"/>
        </w:rPr>
        <w:t xml:space="preserve">Per project: </w:t>
      </w:r>
      <w:r>
        <w:rPr>
          <w:i/>
        </w:rPr>
        <w:t>RAID Exposure Report</w:t>
      </w:r>
      <w:r>
        <w:t xml:space="preserve"> → Fridays to project boards.</w:t>
      </w:r>
    </w:p>
    <w:p>
      <w:r>
        <w:t>Subscriptions turn reporting from an event into a background service.</w:t>
      </w:r>
    </w:p>
    <w:p>
      <w:pPr>
        <w:pStyle w:val="Heading2"/>
      </w:pPr>
      <w:r>
        <w:t>8. Exercise (10 min)</w:t>
      </w:r>
    </w:p>
    <w:p>
      <w:pPr>
        <w:pStyle w:val="ListNumber"/>
      </w:pPr>
      <w:r>
        <w:rPr>
          <w:rFonts w:ascii="Segoe UI" w:hAnsi="Segoe UI"/>
        </w:rPr>
        <w:t xml:space="preserve">Log in as </w:t>
      </w:r>
      <w:r>
        <w:rPr>
          <w:rFonts w:ascii="Consolas" w:hAnsi="Consolas" w:eastAsia="Consolas"/>
          <w:color w:val="0E7490"/>
          <w:sz w:val="18"/>
        </w:rPr>
        <w:t>ceo@pmct.io</w:t>
      </w:r>
      <w:r>
        <w:rPr>
          <w:rFonts w:ascii="Segoe UI" w:hAnsi="Segoe UI"/>
        </w:rPr>
        <w:t xml:space="preserve">; open </w:t>
      </w:r>
      <w:r>
        <w:rPr>
          <w:b/>
        </w:rPr>
        <w:t>Leadership Control Tower</w:t>
      </w:r>
      <w:r>
        <w:t>. Identify one</w:t>
      </w:r>
    </w:p>
    <w:p>
      <w:r>
        <w:t>insight and one decision needed — from the same page.</w:t>
      </w:r>
    </w:p>
    <w:p>
      <w:pPr>
        <w:pStyle w:val="ListNumber"/>
      </w:pPr>
      <w:r>
        <w:rPr>
          <w:rFonts w:ascii="Segoe UI" w:hAnsi="Segoe UI"/>
        </w:rPr>
        <w:t xml:space="preserve">Open </w:t>
      </w:r>
      <w:r>
        <w:rPr>
          <w:b/>
        </w:rPr>
        <w:t>Reporting Center</w:t>
      </w:r>
      <w:r>
        <w:t>; search "EVM"; generate the EVM report for the</w:t>
      </w:r>
    </w:p>
    <w:p>
      <w:r>
        <w:t>FLOW project. Note the embedded charts.</w:t>
      </w:r>
    </w:p>
    <w:p>
      <w:pPr>
        <w:pStyle w:val="ListNumber"/>
      </w:pPr>
      <w:r>
        <w:t>Subscribe to it weekly.</w:t>
      </w:r>
    </w:p>
    <w:p>
      <w:pPr>
        <w:pStyle w:val="ListNumber"/>
      </w:pPr>
      <w:r>
        <w:rPr>
          <w:rFonts w:ascii="Segoe UI" w:hAnsi="Segoe UI"/>
        </w:rPr>
        <w:t xml:space="preserve">Open </w:t>
      </w:r>
      <w:r>
        <w:rPr>
          <w:b/>
        </w:rPr>
        <w:t>Analytics</w:t>
      </w:r>
      <w:r>
        <w:t xml:space="preserve"> → EVM history: is the portfolio trend improving?</w:t>
      </w:r>
    </w:p>
    <w:p>
      <w:pPr>
        <w:pStyle w:val="ListNumber"/>
      </w:pPr>
      <w:r>
        <w:rPr>
          <w:rFonts w:ascii="Segoe UI" w:hAnsi="Segoe UI"/>
        </w:rPr>
        <w:t xml:space="preserve">Ask the </w:t>
      </w:r>
      <w:r>
        <w:rPr>
          <w:b/>
        </w:rPr>
        <w:t>AI Assistant</w:t>
      </w:r>
      <w:r>
        <w:t>: "Which projects need attention and why?"</w:t>
      </w:r>
    </w:p>
    <w:p>
      <w:r>
        <w:rPr>
          <w:b/>
        </w:rPr>
        <w:t>Discussion</w:t>
      </w:r>
      <w:r>
        <w:t>: which of these outputs would you still rebuild in PowerPoint</w:t>
      </w:r>
    </w:p>
    <w:p>
      <w:r>
        <w:t>every month — and what would you stop rebuilding?</w:t>
      </w:r>
    </w:p>
    <w:p>
      <w:pPr>
        <w:pStyle w:val="Heading2"/>
      </w:pPr>
      <w:r>
        <w:t>9. Key takeaways</w:t>
      </w:r>
    </w:p>
    <w:p>
      <w:pPr>
        <w:pStyle w:val="ListBullet"/>
      </w:pPr>
      <w:r>
        <w:t>One data source, five surfaces — pick by audience, never by data availability.</w:t>
      </w:r>
    </w:p>
    <w:p>
      <w:pPr>
        <w:pStyle w:val="ListBullet"/>
      </w:pPr>
      <w:r>
        <w:t>Reporting Center + subscriptions make reporting a service, not a chore.</w:t>
      </w:r>
    </w:p>
    <w:p>
      <w:pPr>
        <w:pStyle w:val="ListBullet"/>
      </w:pPr>
      <w:r>
        <w:t>Analytics shows trends; AI accelerates questions; humans keep the decisions.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B1F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B1F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· Intelligence &amp; Reporting</dc:title>
  <dc:subject/>
  <dc:creator>PM Control Tower — Training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