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8DD534" w14:textId="77777777" w:rsidR="00907B17" w:rsidRDefault="00000000">
      <w:r>
        <w:rPr>
          <w:b/>
          <w:color w:val="173E65"/>
          <w:sz w:val="36"/>
        </w:rPr>
        <w:t>Does winter temperature help predict respiratory surges in the Northeast?</w:t>
      </w:r>
    </w:p>
    <w:p w14:paraId="45391C0F" w14:textId="77777777" w:rsidR="00907B17" w:rsidRDefault="00000000">
      <w:r>
        <w:rPr>
          <w:color w:val="52514E"/>
          <w:sz w:val="24"/>
        </w:rPr>
        <w:t>A statistical modeling report on influenza, RSV and COVID, 2010–2026</w:t>
      </w:r>
    </w:p>
    <w:p w14:paraId="3AF64224" w14:textId="77777777" w:rsidR="00907B17" w:rsidRDefault="00000000">
      <w:pPr>
        <w:spacing w:after="40"/>
        <w:rPr>
          <w:color w:val="52514E"/>
          <w:sz w:val="17"/>
        </w:rPr>
      </w:pPr>
      <w:r>
        <w:rPr>
          <w:color w:val="52514E"/>
          <w:sz w:val="17"/>
        </w:rPr>
        <w:t>Vitchakorn Poonyakanok</w:t>
      </w:r>
    </w:p>
    <w:p w14:paraId="4ED3051C" w14:textId="4AD5E247" w:rsidR="00BA5F22" w:rsidRDefault="00BA5F22">
      <w:pPr>
        <w:spacing w:after="40"/>
      </w:pPr>
      <w:r>
        <w:rPr>
          <w:color w:val="52514E"/>
          <w:sz w:val="17"/>
        </w:rPr>
        <w:t>Andrew ID: vpoonyak</w:t>
      </w:r>
    </w:p>
    <w:p w14:paraId="14543EFD" w14:textId="77777777" w:rsidR="00907B17" w:rsidRDefault="00000000">
      <w:pPr>
        <w:spacing w:after="40"/>
      </w:pPr>
      <w:r>
        <w:rPr>
          <w:color w:val="52514E"/>
          <w:sz w:val="17"/>
        </w:rPr>
        <w:t>CMU 90-819 Python Programming II</w:t>
      </w:r>
    </w:p>
    <w:p w14:paraId="7F013690" w14:textId="77777777" w:rsidR="00907B17" w:rsidRDefault="00000000">
      <w:pPr>
        <w:spacing w:after="40"/>
      </w:pPr>
      <w:r>
        <w:rPr>
          <w:color w:val="52514E"/>
          <w:sz w:val="17"/>
        </w:rPr>
        <w:t>October 2026</w:t>
      </w:r>
    </w:p>
    <w:p w14:paraId="6C973D87" w14:textId="184CAFF1" w:rsidR="00907B17" w:rsidRDefault="00000000">
      <w:pPr>
        <w:spacing w:after="40"/>
      </w:pPr>
      <w:r>
        <w:rPr>
          <w:color w:val="52514E"/>
          <w:sz w:val="17"/>
        </w:rPr>
        <w:t xml:space="preserve">Repository: </w:t>
      </w:r>
      <w:hyperlink r:id="rId8" w:history="1">
        <w:r w:rsidRPr="00BA5F22">
          <w:rPr>
            <w:rStyle w:val="Hyperlink"/>
            <w:sz w:val="17"/>
          </w:rPr>
          <w:t>https://github.com/vpoonyak/Winter_Temp_NSSP</w:t>
        </w:r>
      </w:hyperlink>
    </w:p>
    <w:p w14:paraId="0120509E" w14:textId="77777777" w:rsidR="00907B17" w:rsidRDefault="00907B17">
      <w:pPr>
        <w:spacing w:after="0"/>
      </w:pPr>
    </w:p>
    <w:tbl>
      <w:tblPr>
        <w:tblW w:w="0" w:type="auto"/>
        <w:tblLook w:val="04A0" w:firstRow="1" w:lastRow="0" w:firstColumn="1" w:lastColumn="0" w:noHBand="0" w:noVBand="1"/>
      </w:tblPr>
      <w:tblGrid>
        <w:gridCol w:w="9337"/>
      </w:tblGrid>
      <w:tr w:rsidR="00907B17" w14:paraId="2BF08BDD" w14:textId="77777777">
        <w:tc>
          <w:tcPr>
            <w:tcW w:w="9360" w:type="dxa"/>
            <w:tcBorders>
              <w:left w:val="single" w:sz="18" w:space="0" w:color="173E65"/>
            </w:tcBorders>
            <w:shd w:val="clear" w:color="auto" w:fill="EEF4FA"/>
          </w:tcPr>
          <w:p w14:paraId="4FC17884" w14:textId="0F03E538" w:rsidR="00907B17" w:rsidRDefault="00000000">
            <w:pPr>
              <w:spacing w:before="80"/>
            </w:pPr>
            <w:r>
              <w:rPr>
                <w:b/>
              </w:rPr>
              <w:t>Summary</w:t>
            </w:r>
          </w:p>
          <w:p w14:paraId="4C3945DB" w14:textId="77777777" w:rsidR="00907B17" w:rsidRDefault="00000000">
            <w:pPr>
              <w:pStyle w:val="ListBullet"/>
              <w:spacing w:before="40" w:after="40"/>
            </w:pPr>
            <w:r>
              <w:t xml:space="preserve">Winter temperature describes the respiratory season but does </w:t>
            </w:r>
            <w:r>
              <w:rPr>
                <w:b/>
              </w:rPr>
              <w:t>not</w:t>
            </w:r>
            <w:r>
              <w:t xml:space="preserve"> predict it.</w:t>
            </w:r>
          </w:p>
          <w:p w14:paraId="4C39C90F" w14:textId="77777777" w:rsidR="00907B17" w:rsidRDefault="00000000">
            <w:pPr>
              <w:pStyle w:val="ListBullet"/>
              <w:spacing w:before="40" w:after="40"/>
            </w:pPr>
            <w:r>
              <w:t xml:space="preserve">Once the seasonal cycle is removed, temperature shows </w:t>
            </w:r>
            <w:r>
              <w:rPr>
                <w:b/>
              </w:rPr>
              <w:t>no</w:t>
            </w:r>
            <w:r>
              <w:t xml:space="preserve"> link with the size, timing or growth of surges, even allowing for changes in disease reporting.</w:t>
            </w:r>
          </w:p>
          <w:p w14:paraId="5FE330DE" w14:textId="77777777" w:rsidR="00907B17" w:rsidRDefault="00000000">
            <w:pPr>
              <w:pStyle w:val="ListBullet"/>
              <w:spacing w:before="40" w:after="40"/>
            </w:pPr>
            <w:r>
              <w:t xml:space="preserve">Adding temperature does </w:t>
            </w:r>
            <w:r>
              <w:rPr>
                <w:b/>
              </w:rPr>
              <w:t>not</w:t>
            </w:r>
            <w:r>
              <w:t xml:space="preserve"> improve Chronos-2 forecasts.</w:t>
            </w:r>
          </w:p>
          <w:p w14:paraId="29D6AE7C" w14:textId="77777777" w:rsidR="00907B17" w:rsidRDefault="00000000">
            <w:pPr>
              <w:pStyle w:val="ListBullet"/>
              <w:spacing w:before="40" w:after="80"/>
            </w:pPr>
            <w:r>
              <w:t>Chronos-2 alone cut four-week-ahead error by 26% (outpatient illness) and 31% (emergency visits) versus a naive forecast.</w:t>
            </w:r>
          </w:p>
        </w:tc>
      </w:tr>
    </w:tbl>
    <w:p w14:paraId="46325555" w14:textId="77777777" w:rsidR="00907B17" w:rsidRDefault="00907B17">
      <w:pPr>
        <w:spacing w:after="0"/>
      </w:pPr>
    </w:p>
    <w:p w14:paraId="140072A0" w14:textId="77777777" w:rsidR="00907B17" w:rsidRDefault="00000000">
      <w:pPr>
        <w:pStyle w:val="Heading1"/>
      </w:pPr>
      <w:r>
        <w:t>1. Question</w:t>
      </w:r>
    </w:p>
    <w:p w14:paraId="703A284F" w14:textId="77777777" w:rsidR="00907B17" w:rsidRDefault="00000000">
      <w:r>
        <w:t>Hospitals increase number of staff for winter respiratory illnesses surge. If colder winters brought bigger or earlier surges, temperature would be a cheap early warning. Studies show that cold, dry air helps influenza spread.</w:t>
      </w:r>
      <w:r>
        <w:fldChar w:fldCharType="begin"/>
      </w:r>
      <w:r>
        <w:instrText xml:space="preserve"> ADDIN ZOTERO_ITEM CSL_CITATION {"citationID": "4c808a79", "properties": {"formattedCitation": "&lt;sup&gt;1,2&lt;/sup&gt;", "plainCitation": "1,2", "noteIndex": 0}, "citationItems": [{"id": "DBPS6LRL", "uris": ["http://zotero.org/groups/6645821/items/DBPS6LRL"], "itemData": {"id": "DBPS6LRL", "type": "article-journal", "title": "Influenza virus transmission is dependent on relative humidity and temperature", "container-title": "PLoS Pathogens", "container-title-short": "PLoS Pathog", "volume": "3", "issue": "10", "page": "e151", "DOI": "10.1371/journal.ppat.0030151", "URL": "https://doi.org/10.1371/journal.ppat.0030151", "issued": {"date-parts": [[2007, 10, 19]]}, "author": [{"family": "Lowen", "given": "Anice C."}, {"family": "Mubareka", "given": "Samira"}, {"family": "Steel", "given": "John"}, {"family": "Palese", "given": "Peter"}]}}, {"id": "WQN6RNAZ", "uris": ["http://zotero.org/groups/6645821/items/WQN6RNAZ"], "itemData": {"id": "WQN6RNAZ", "type": "article-journal", "title": "Absolute humidity modulates influenza survival, transmission, and seasonality", "container-title": "Proceedings of the National Academy of Sciences", "container-title-short": "Proc Natl Acad Sci U S A", "volume": "106", "issue": "9", "page": "3243-3248", "DOI": "10.1073/pnas.0806852106", "URL": "https://doi.org/10.1073/pnas.0806852106", "issued": {"date-parts": [[2009, 3, 3]]}, "author": [{"family": "Shaman", "given": "Jeffrey"}, {"family": "Kohn", "given": "Melvin"}]}}], "schema": "https://github.com/citation-style-language/schema/raw/master/csl-citation.json"} </w:instrText>
      </w:r>
      <w:r>
        <w:fldChar w:fldCharType="separate"/>
      </w:r>
      <w:r>
        <w:rPr>
          <w:vertAlign w:val="superscript"/>
        </w:rPr>
        <w:t>1,2</w:t>
      </w:r>
      <w:r>
        <w:fldChar w:fldCharType="end"/>
      </w:r>
      <w:r>
        <w:t xml:space="preserve"> My research question ask whether winter temperature relates to the size, timing or growth of influenza, RSV and COVID surges in Northeastern US (CT, ME, MA, NH, NJ, NY, PA, RI and VT), and whether it improves forecasts.</w:t>
      </w:r>
    </w:p>
    <w:p w14:paraId="022943C8" w14:textId="77777777" w:rsidR="00907B17" w:rsidRDefault="00000000">
      <w:pPr>
        <w:pStyle w:val="Heading1"/>
      </w:pPr>
      <w:r>
        <w:t>2. Data and Descriptive analysis</w:t>
      </w:r>
    </w:p>
    <w:p w14:paraId="041A047C" w14:textId="77777777" w:rsidR="00907B17" w:rsidRDefault="00000000">
      <w:r>
        <w:t>The data are NOAA county monthly temperatures (1895–2026),</w:t>
      </w:r>
      <w:r>
        <w:fldChar w:fldCharType="begin"/>
      </w:r>
      <w:r>
        <w:instrText xml:space="preserve"> ADDIN ZOTERO_ITEM CSL_CITATION {"citationID": "8736ec77", "properties": {"formattedCitation": "&lt;sup&gt;3&lt;/sup&gt;", "plainCitation": "3", "noteIndex": 0}, "citationItems": [{"id": "2ESC3HA5", "uris": ["http://zotero.org/groups/6645821/items/2ESC3HA5"], "itemData": {"id": "2ESC3HA5", "type": "dataset", "title": "NOAA Monthly U.S. Climate Divisional Database (NClimDiv)", "DOI": "10.7289/V5M32STR", "URL": "https://www.ncei.noaa.gov/pub/data/cirs/climdiv/", "publisher": "NOAA National Centers for Environmental Information", "issued": {"date-parts": [[2014]]}, "accessed": {"date-parts": [[2026, 10, 5]]}, "note": "Subset used: county monthly average temperature (climdiv-tmpccy), 1895-2026.", "author": [{"family": "Vose", "given": "Russell S."}, {"family": "Applequist", "given": "Scott"}, {"family": "Squires", "given": "Mike"}, {"family": "Durre", "given": "Imke"}, {"family": "Menne", "given": "Matthew J."}, {"family": "Williams Jr.", "given": "Claude N."}, {"family": "Fenimore", "given": "Chris"}, {"family": "Gleason", "given": "Karin"}, {"family": "Arndt", "given": "Derek"}]}}], "schema": "https://github.com/citation-style-language/schema/raw/master/csl-citation.json"} </w:instrText>
      </w:r>
      <w:r>
        <w:fldChar w:fldCharType="separate"/>
      </w:r>
      <w:r>
        <w:rPr>
          <w:vertAlign w:val="superscript"/>
        </w:rPr>
        <w:t>3</w:t>
      </w:r>
      <w:r>
        <w:fldChar w:fldCharType="end"/>
      </w:r>
      <w:r>
        <w:t xml:space="preserve"> CDC emergency-department (ED) visit shares for influenza, RSV and COVID (2022–2026),</w:t>
      </w:r>
      <w:r>
        <w:fldChar w:fldCharType="begin"/>
      </w:r>
      <w:r>
        <w:instrText xml:space="preserve"> ADDIN ZOTERO_ITEM CSL_CITATION {"citationID": "6529272f", "properties": {"formattedCitation": "&lt;sup&gt;4&lt;/sup&gt;", "plainCitation": "4", "noteIndex": 0}, "citationItems": [{"id": "BU3MICZD", "uris": ["http://zotero.org/groups/6645821/items/BU3MICZD"], "itemData": {"id": "BU3MICZD", "type": "dataset", "title": "NSSP emergency department visit signals (source: CDC National Syndromic Surveillance Program)", "URL": "https://cmu-delphi.github.io/delphi-epidata/api/covidcast-signals/nssp.html", "publisher": "Delphi Epidata API", "issued": {"date-parts": [[2026]]}, "accessed": {"date-parts": [[2026, 10, 5]]}, "author": [{"literal": "Delphi Research Group, Carnegie Mellon University"}]}}], "schema": "https://github.com/citation-style-language/schema/raw/master/csl-citation.json"} </w:instrText>
      </w:r>
      <w:r>
        <w:fldChar w:fldCharType="separate"/>
      </w:r>
      <w:r>
        <w:rPr>
          <w:vertAlign w:val="superscript"/>
        </w:rPr>
        <w:t>4</w:t>
      </w:r>
      <w:r>
        <w:fldChar w:fldCharType="end"/>
      </w:r>
      <w:r>
        <w:t xml:space="preserve"> CDC outpatient influenza-like illness (ILI) shares (2010–2026)</w:t>
      </w:r>
      <w:r>
        <w:fldChar w:fldCharType="begin"/>
      </w:r>
      <w:r>
        <w:instrText xml:space="preserve"> ADDIN ZOTERO_ITEM CSL_CITATION {"citationID": "21e99451", "properties": {"formattedCitation": "&lt;sup&gt;5&lt;/sup&gt;", "plainCitation": "5", "noteIndex": 0}, "citationItems": [{"id": "ACWCWNYT", "uris": ["http://zotero.org/groups/6645821/items/ACWCWNYT"], "itemData": {"id": "ACWCWNYT", "type": "dataset", "title": "FluView: ILINet influenza-like illness surveillance (source: CDC ILINet)", "URL": "https://cmu-delphi.github.io/delphi-epidata/api/fluview.html", "publisher": "Delphi Epidata API", "issued": {"date-parts": [[2026]]}, "accessed": {"date-parts": [[2026, 10, 5]]}, "author": [{"literal": "Delphi Research Group, Carnegie Mellon University"}]}}], "schema": "https://github.com/citation-style-language/schema/raw/master/csl-citation.json"} </w:instrText>
      </w:r>
      <w:r>
        <w:fldChar w:fldCharType="separate"/>
      </w:r>
      <w:r>
        <w:rPr>
          <w:vertAlign w:val="superscript"/>
        </w:rPr>
        <w:t>5</w:t>
      </w:r>
      <w:r>
        <w:fldChar w:fldCharType="end"/>
      </w:r>
      <w:r>
        <w:t xml:space="preserve"> and Census boundaries.</w:t>
      </w:r>
      <w:r>
        <w:fldChar w:fldCharType="begin"/>
      </w:r>
      <w:r>
        <w:instrText xml:space="preserve"> ADDIN ZOTERO_ITEM CSL_CITATION {"citationID": "7692da22", "properties": {"formattedCitation": "&lt;sup&gt;6&lt;/sup&gt;", "plainCitation": "6", "noteIndex": 0}, "citationItems": [{"id": "WW96XDA7", "uris": ["http://zotero.org/groups/6645821/items/WW96XDA7"], "itemData": {"id": "WW96XDA7", "type": "dataset", "title": "2020 Cartographic Boundary Files: counties and states, 1:20,000,000", "URL": "https://www.census.gov/geographies/mapping-files/time-series/geo/cartographic-boundary.html", "publisher": "U.S. Census Bureau", "issued": {"date-parts": [[2021]]}, "accessed": {"date-parts": [[2026, 10, 6]]}, "author": [{"literal": "U.S. Census Bureau"}]}}], "schema": "https://github.com/citation-style-language/schema/raw/master/csl-citation.json"} </w:instrText>
      </w:r>
      <w:r>
        <w:fldChar w:fldCharType="separate"/>
      </w:r>
      <w:r>
        <w:rPr>
          <w:vertAlign w:val="superscript"/>
        </w:rPr>
        <w:t>6</w:t>
      </w:r>
      <w:r>
        <w:fldChar w:fldCharType="end"/>
      </w:r>
      <w:r>
        <w:t xml:space="preserve"> County ED data are incomplete (none for New Hampshire; Pennsylvania and Rhode Island stop in 2024), so tests use state-level data.</w:t>
      </w:r>
    </w:p>
    <w:p w14:paraId="752ABEB2" w14:textId="29E5F8B0" w:rsidR="00907B17" w:rsidRDefault="00000000">
      <w:r>
        <w:fldChar w:fldCharType="begin"/>
      </w:r>
      <w:r>
        <w:instrText xml:space="preserve"> REF _RefTable_desc \h </w:instrText>
      </w:r>
      <w:r>
        <w:fldChar w:fldCharType="separate"/>
      </w:r>
      <w:r w:rsidR="00C067F1">
        <w:rPr>
          <w:b/>
        </w:rPr>
        <w:t xml:space="preserve">Table </w:t>
      </w:r>
      <w:r w:rsidR="00C067F1">
        <w:rPr>
          <w:b/>
          <w:noProof/>
        </w:rPr>
        <w:t>1</w:t>
      </w:r>
      <w:r>
        <w:fldChar w:fldCharType="end"/>
      </w:r>
      <w:r>
        <w:t xml:space="preserve"> summarizes the cleaned data: no duplicate keys or missing outcomes, and only September–December 2026 temperatures are not yet published. ILINet providers change sharply over time (</w:t>
      </w:r>
      <w:r>
        <w:fldChar w:fldCharType="begin"/>
      </w:r>
      <w:r>
        <w:instrText xml:space="preserve"> REF _RefFigure_providers \h </w:instrText>
      </w:r>
      <w:r>
        <w:fldChar w:fldCharType="separate"/>
      </w:r>
      <w:r w:rsidR="00C067F1">
        <w:rPr>
          <w:b/>
        </w:rPr>
        <w:t xml:space="preserve">Figure </w:t>
      </w:r>
      <w:r w:rsidR="00C067F1">
        <w:rPr>
          <w:b/>
          <w:noProof/>
        </w:rPr>
        <w:t>1</w:t>
      </w:r>
      <w:r>
        <w:fldChar w:fldCharType="end"/>
      </w:r>
      <w:r>
        <w:t>), so comparisons stay within states.</w:t>
      </w:r>
    </w:p>
    <w:tbl>
      <w:tblPr>
        <w:tblW w:w="0" w:type="auto"/>
        <w:jc w:val="center"/>
        <w:tblLayout w:type="fixed"/>
        <w:tblLook w:val="04A0" w:firstRow="1" w:lastRow="0" w:firstColumn="1" w:lastColumn="0" w:noHBand="0" w:noVBand="1"/>
      </w:tblPr>
      <w:tblGrid>
        <w:gridCol w:w="1512"/>
        <w:gridCol w:w="1872"/>
        <w:gridCol w:w="792"/>
        <w:gridCol w:w="1440"/>
        <w:gridCol w:w="1440"/>
        <w:gridCol w:w="1224"/>
        <w:gridCol w:w="1080"/>
      </w:tblGrid>
      <w:tr w:rsidR="00907B17" w14:paraId="041FED65" w14:textId="77777777" w:rsidTr="00BA5F22">
        <w:trPr>
          <w:cantSplit/>
          <w:tblHeader/>
          <w:jc w:val="center"/>
        </w:trPr>
        <w:tc>
          <w:tcPr>
            <w:tcW w:w="1512" w:type="dxa"/>
            <w:tcBorders>
              <w:bottom w:val="single" w:sz="4" w:space="0" w:color="94A3B8"/>
            </w:tcBorders>
            <w:shd w:val="clear" w:color="auto" w:fill="E6EEF6"/>
            <w:vAlign w:val="center"/>
          </w:tcPr>
          <w:p w14:paraId="03E2A59A" w14:textId="77777777" w:rsidR="00907B17" w:rsidRDefault="00000000" w:rsidP="00BA5F22">
            <w:pPr>
              <w:keepNext/>
              <w:spacing w:before="40" w:after="40"/>
            </w:pPr>
            <w:r>
              <w:rPr>
                <w:b/>
                <w:sz w:val="16"/>
              </w:rPr>
              <w:lastRenderedPageBreak/>
              <w:t>Dataset</w:t>
            </w:r>
          </w:p>
        </w:tc>
        <w:tc>
          <w:tcPr>
            <w:tcW w:w="1872" w:type="dxa"/>
            <w:tcBorders>
              <w:bottom w:val="single" w:sz="4" w:space="0" w:color="94A3B8"/>
            </w:tcBorders>
            <w:shd w:val="clear" w:color="auto" w:fill="E6EEF6"/>
            <w:vAlign w:val="center"/>
          </w:tcPr>
          <w:p w14:paraId="28F7C935" w14:textId="77777777" w:rsidR="00907B17" w:rsidRDefault="00000000" w:rsidP="00BA5F22">
            <w:pPr>
              <w:keepNext/>
              <w:spacing w:before="40" w:after="40"/>
            </w:pPr>
            <w:r>
              <w:rPr>
                <w:b/>
                <w:sz w:val="16"/>
              </w:rPr>
              <w:t>Coverage</w:t>
            </w:r>
          </w:p>
        </w:tc>
        <w:tc>
          <w:tcPr>
            <w:tcW w:w="792" w:type="dxa"/>
            <w:tcBorders>
              <w:bottom w:val="single" w:sz="4" w:space="0" w:color="94A3B8"/>
            </w:tcBorders>
            <w:shd w:val="clear" w:color="auto" w:fill="E6EEF6"/>
            <w:vAlign w:val="center"/>
          </w:tcPr>
          <w:p w14:paraId="44EEBBF0" w14:textId="77777777" w:rsidR="00907B17" w:rsidRDefault="00000000" w:rsidP="00BA5F22">
            <w:pPr>
              <w:keepNext/>
              <w:spacing w:before="40" w:after="40"/>
            </w:pPr>
            <w:r>
              <w:rPr>
                <w:b/>
                <w:sz w:val="16"/>
              </w:rPr>
              <w:t>Rows</w:t>
            </w:r>
          </w:p>
        </w:tc>
        <w:tc>
          <w:tcPr>
            <w:tcW w:w="1440" w:type="dxa"/>
            <w:tcBorders>
              <w:bottom w:val="single" w:sz="4" w:space="0" w:color="94A3B8"/>
            </w:tcBorders>
            <w:shd w:val="clear" w:color="auto" w:fill="E6EEF6"/>
            <w:vAlign w:val="center"/>
          </w:tcPr>
          <w:p w14:paraId="15ACBD2F" w14:textId="77777777" w:rsidR="00907B17" w:rsidRDefault="00000000" w:rsidP="00BA5F22">
            <w:pPr>
              <w:keepNext/>
              <w:spacing w:before="40" w:after="40"/>
            </w:pPr>
            <w:r>
              <w:rPr>
                <w:b/>
                <w:sz w:val="16"/>
              </w:rPr>
              <w:t>In-season weekly share, median (IQR), %</w:t>
            </w:r>
          </w:p>
        </w:tc>
        <w:tc>
          <w:tcPr>
            <w:tcW w:w="1440" w:type="dxa"/>
            <w:tcBorders>
              <w:bottom w:val="single" w:sz="4" w:space="0" w:color="94A3B8"/>
            </w:tcBorders>
            <w:shd w:val="clear" w:color="auto" w:fill="E6EEF6"/>
            <w:vAlign w:val="center"/>
          </w:tcPr>
          <w:p w14:paraId="1EE26322" w14:textId="77777777" w:rsidR="00907B17" w:rsidRDefault="00000000" w:rsidP="00BA5F22">
            <w:pPr>
              <w:keepNext/>
              <w:spacing w:before="40" w:after="40"/>
            </w:pPr>
            <w:r>
              <w:rPr>
                <w:b/>
                <w:sz w:val="16"/>
              </w:rPr>
              <w:t>Season peak, median (range), %</w:t>
            </w:r>
          </w:p>
        </w:tc>
        <w:tc>
          <w:tcPr>
            <w:tcW w:w="1224" w:type="dxa"/>
            <w:tcBorders>
              <w:bottom w:val="single" w:sz="4" w:space="0" w:color="94A3B8"/>
            </w:tcBorders>
            <w:shd w:val="clear" w:color="auto" w:fill="E6EEF6"/>
            <w:vAlign w:val="center"/>
          </w:tcPr>
          <w:p w14:paraId="6E01C586" w14:textId="77777777" w:rsidR="00907B17" w:rsidRDefault="00000000" w:rsidP="00BA5F22">
            <w:pPr>
              <w:keepNext/>
              <w:spacing w:before="40" w:after="40"/>
            </w:pPr>
            <w:r>
              <w:rPr>
                <w:b/>
                <w:sz w:val="16"/>
              </w:rPr>
              <w:t>Peak week of season, median (IQR)</w:t>
            </w:r>
          </w:p>
        </w:tc>
        <w:tc>
          <w:tcPr>
            <w:tcW w:w="1080" w:type="dxa"/>
            <w:tcBorders>
              <w:bottom w:val="single" w:sz="4" w:space="0" w:color="94A3B8"/>
            </w:tcBorders>
            <w:shd w:val="clear" w:color="auto" w:fill="E6EEF6"/>
            <w:vAlign w:val="center"/>
          </w:tcPr>
          <w:p w14:paraId="55038C08" w14:textId="77777777" w:rsidR="00907B17" w:rsidRDefault="00000000" w:rsidP="00BA5F22">
            <w:pPr>
              <w:keepNext/>
              <w:spacing w:before="40" w:after="40"/>
            </w:pPr>
            <w:r>
              <w:rPr>
                <w:b/>
                <w:sz w:val="16"/>
              </w:rPr>
              <w:t>Typical peak</w:t>
            </w:r>
          </w:p>
        </w:tc>
      </w:tr>
      <w:tr w:rsidR="00907B17" w14:paraId="67B04449" w14:textId="77777777">
        <w:trPr>
          <w:cantSplit/>
          <w:jc w:val="center"/>
        </w:trPr>
        <w:tc>
          <w:tcPr>
            <w:tcW w:w="1512" w:type="dxa"/>
            <w:tcBorders>
              <w:bottom w:val="single" w:sz="4" w:space="0" w:color="E4E3DF"/>
            </w:tcBorders>
          </w:tcPr>
          <w:p w14:paraId="57E2F10A" w14:textId="77777777" w:rsidR="00907B17" w:rsidRDefault="00000000">
            <w:pPr>
              <w:keepNext/>
              <w:spacing w:before="40" w:after="40"/>
            </w:pPr>
            <w:r>
              <w:rPr>
                <w:sz w:val="16"/>
              </w:rPr>
              <w:t>Temperature (NOAA)</w:t>
            </w:r>
          </w:p>
        </w:tc>
        <w:tc>
          <w:tcPr>
            <w:tcW w:w="1872" w:type="dxa"/>
            <w:tcBorders>
              <w:bottom w:val="single" w:sz="4" w:space="0" w:color="E4E3DF"/>
            </w:tcBorders>
          </w:tcPr>
          <w:p w14:paraId="3845F310" w14:textId="77777777" w:rsidR="00907B17" w:rsidRDefault="00000000">
            <w:pPr>
              <w:keepNext/>
              <w:spacing w:before="40" w:after="40"/>
            </w:pPr>
            <w:r>
              <w:rPr>
                <w:sz w:val="16"/>
              </w:rPr>
              <w:t>217 counties, monthly, 1895–2026</w:t>
            </w:r>
          </w:p>
        </w:tc>
        <w:tc>
          <w:tcPr>
            <w:tcW w:w="792" w:type="dxa"/>
            <w:tcBorders>
              <w:bottom w:val="single" w:sz="4" w:space="0" w:color="E4E3DF"/>
            </w:tcBorders>
          </w:tcPr>
          <w:p w14:paraId="6E8A6BE6" w14:textId="77777777" w:rsidR="00907B17" w:rsidRDefault="00000000">
            <w:pPr>
              <w:keepNext/>
              <w:spacing w:before="40" w:after="40"/>
            </w:pPr>
            <w:r>
              <w:rPr>
                <w:sz w:val="16"/>
              </w:rPr>
              <w:t>343,728</w:t>
            </w:r>
          </w:p>
        </w:tc>
        <w:tc>
          <w:tcPr>
            <w:tcW w:w="1440" w:type="dxa"/>
            <w:tcBorders>
              <w:bottom w:val="single" w:sz="4" w:space="0" w:color="E4E3DF"/>
            </w:tcBorders>
          </w:tcPr>
          <w:p w14:paraId="4F5A5482" w14:textId="77777777" w:rsidR="00907B17" w:rsidRDefault="00000000">
            <w:pPr>
              <w:keepNext/>
              <w:spacing w:before="40" w:after="40"/>
            </w:pPr>
            <w:r>
              <w:rPr>
                <w:sz w:val="16"/>
              </w:rPr>
              <w:t>Dec–Feb normal 20 (VT) to 34 °F (NJ)</w:t>
            </w:r>
          </w:p>
        </w:tc>
        <w:tc>
          <w:tcPr>
            <w:tcW w:w="1440" w:type="dxa"/>
            <w:tcBorders>
              <w:bottom w:val="single" w:sz="4" w:space="0" w:color="E4E3DF"/>
            </w:tcBorders>
          </w:tcPr>
          <w:p w14:paraId="5768E61A" w14:textId="77777777" w:rsidR="00907B17" w:rsidRDefault="00000000">
            <w:pPr>
              <w:keepNext/>
              <w:spacing w:before="40" w:after="40"/>
            </w:pPr>
            <w:r>
              <w:rPr>
                <w:sz w:val="16"/>
              </w:rPr>
              <w:t>Winter anomaly -5.6 to +6.9 °F (2010–26)</w:t>
            </w:r>
          </w:p>
        </w:tc>
        <w:tc>
          <w:tcPr>
            <w:tcW w:w="1224" w:type="dxa"/>
            <w:tcBorders>
              <w:bottom w:val="single" w:sz="4" w:space="0" w:color="E4E3DF"/>
            </w:tcBorders>
          </w:tcPr>
          <w:p w14:paraId="6E505C58" w14:textId="77777777" w:rsidR="00907B17" w:rsidRDefault="00000000">
            <w:pPr>
              <w:keepNext/>
              <w:spacing w:before="40" w:after="40"/>
            </w:pPr>
            <w:r>
              <w:rPr>
                <w:sz w:val="16"/>
              </w:rPr>
              <w:t>–</w:t>
            </w:r>
          </w:p>
        </w:tc>
        <w:tc>
          <w:tcPr>
            <w:tcW w:w="1080" w:type="dxa"/>
            <w:tcBorders>
              <w:bottom w:val="single" w:sz="4" w:space="0" w:color="E4E3DF"/>
            </w:tcBorders>
          </w:tcPr>
          <w:p w14:paraId="1BF38133" w14:textId="77777777" w:rsidR="00907B17" w:rsidRDefault="00000000">
            <w:pPr>
              <w:keepNext/>
              <w:spacing w:before="40" w:after="40"/>
            </w:pPr>
            <w:r>
              <w:rPr>
                <w:sz w:val="16"/>
              </w:rPr>
              <w:t>–</w:t>
            </w:r>
          </w:p>
        </w:tc>
      </w:tr>
      <w:tr w:rsidR="00907B17" w14:paraId="0F5B53B8" w14:textId="77777777">
        <w:trPr>
          <w:cantSplit/>
          <w:jc w:val="center"/>
        </w:trPr>
        <w:tc>
          <w:tcPr>
            <w:tcW w:w="1512" w:type="dxa"/>
            <w:tcBorders>
              <w:bottom w:val="single" w:sz="4" w:space="0" w:color="E4E3DF"/>
            </w:tcBorders>
          </w:tcPr>
          <w:p w14:paraId="70389EA6" w14:textId="77777777" w:rsidR="00907B17" w:rsidRDefault="00000000">
            <w:pPr>
              <w:keepNext/>
              <w:spacing w:before="40" w:after="40"/>
            </w:pPr>
            <w:r>
              <w:rPr>
                <w:sz w:val="16"/>
              </w:rPr>
              <w:t>ILI (ILINet)</w:t>
            </w:r>
          </w:p>
        </w:tc>
        <w:tc>
          <w:tcPr>
            <w:tcW w:w="1872" w:type="dxa"/>
            <w:tcBorders>
              <w:bottom w:val="single" w:sz="4" w:space="0" w:color="E4E3DF"/>
            </w:tcBorders>
          </w:tcPr>
          <w:p w14:paraId="472B495B" w14:textId="77777777" w:rsidR="00907B17" w:rsidRDefault="00000000">
            <w:pPr>
              <w:keepNext/>
              <w:spacing w:before="40" w:after="40"/>
            </w:pPr>
            <w:r>
              <w:rPr>
                <w:sz w:val="16"/>
              </w:rPr>
              <w:t>9 states, weekly, 2010–2026</w:t>
            </w:r>
          </w:p>
        </w:tc>
        <w:tc>
          <w:tcPr>
            <w:tcW w:w="792" w:type="dxa"/>
            <w:tcBorders>
              <w:bottom w:val="single" w:sz="4" w:space="0" w:color="E4E3DF"/>
            </w:tcBorders>
          </w:tcPr>
          <w:p w14:paraId="62A9F60F" w14:textId="77777777" w:rsidR="00907B17" w:rsidRDefault="00000000">
            <w:pPr>
              <w:keepNext/>
              <w:spacing w:before="40" w:after="40"/>
            </w:pPr>
            <w:r>
              <w:rPr>
                <w:sz w:val="16"/>
              </w:rPr>
              <w:t>7,395</w:t>
            </w:r>
          </w:p>
        </w:tc>
        <w:tc>
          <w:tcPr>
            <w:tcW w:w="1440" w:type="dxa"/>
            <w:tcBorders>
              <w:bottom w:val="single" w:sz="4" w:space="0" w:color="E4E3DF"/>
            </w:tcBorders>
          </w:tcPr>
          <w:p w14:paraId="2D517AA9" w14:textId="77777777" w:rsidR="00907B17" w:rsidRDefault="00000000">
            <w:pPr>
              <w:keepNext/>
              <w:spacing w:before="40" w:after="40"/>
            </w:pPr>
            <w:r>
              <w:rPr>
                <w:sz w:val="16"/>
              </w:rPr>
              <w:t>1.6 (0.9–2.8)</w:t>
            </w:r>
          </w:p>
        </w:tc>
        <w:tc>
          <w:tcPr>
            <w:tcW w:w="1440" w:type="dxa"/>
            <w:tcBorders>
              <w:bottom w:val="single" w:sz="4" w:space="0" w:color="E4E3DF"/>
            </w:tcBorders>
          </w:tcPr>
          <w:p w14:paraId="29DB7DBD" w14:textId="77777777" w:rsidR="00907B17" w:rsidRDefault="00000000">
            <w:pPr>
              <w:keepNext/>
              <w:spacing w:before="40" w:after="40"/>
            </w:pPr>
            <w:r>
              <w:rPr>
                <w:sz w:val="16"/>
              </w:rPr>
              <w:t>4.4 (0.4–16.1)</w:t>
            </w:r>
          </w:p>
        </w:tc>
        <w:tc>
          <w:tcPr>
            <w:tcW w:w="1224" w:type="dxa"/>
            <w:tcBorders>
              <w:bottom w:val="single" w:sz="4" w:space="0" w:color="E4E3DF"/>
            </w:tcBorders>
          </w:tcPr>
          <w:p w14:paraId="6473750E" w14:textId="77777777" w:rsidR="00907B17" w:rsidRDefault="00000000">
            <w:pPr>
              <w:keepNext/>
              <w:spacing w:before="40" w:after="40"/>
            </w:pPr>
            <w:r>
              <w:rPr>
                <w:sz w:val="16"/>
              </w:rPr>
              <w:t>17 (12–19)</w:t>
            </w:r>
          </w:p>
        </w:tc>
        <w:tc>
          <w:tcPr>
            <w:tcW w:w="1080" w:type="dxa"/>
            <w:tcBorders>
              <w:bottom w:val="single" w:sz="4" w:space="0" w:color="E4E3DF"/>
            </w:tcBorders>
          </w:tcPr>
          <w:p w14:paraId="3C5E792C" w14:textId="77777777" w:rsidR="00907B17" w:rsidRDefault="00000000">
            <w:pPr>
              <w:keepNext/>
              <w:spacing w:before="40" w:after="40"/>
            </w:pPr>
            <w:r>
              <w:rPr>
                <w:sz w:val="16"/>
              </w:rPr>
              <w:t>Jan 28</w:t>
            </w:r>
          </w:p>
        </w:tc>
      </w:tr>
      <w:tr w:rsidR="00907B17" w14:paraId="3D1A90AD" w14:textId="77777777">
        <w:trPr>
          <w:cantSplit/>
          <w:jc w:val="center"/>
        </w:trPr>
        <w:tc>
          <w:tcPr>
            <w:tcW w:w="1512" w:type="dxa"/>
            <w:tcBorders>
              <w:bottom w:val="single" w:sz="4" w:space="0" w:color="E4E3DF"/>
            </w:tcBorders>
          </w:tcPr>
          <w:p w14:paraId="3DA77F4E" w14:textId="77777777" w:rsidR="00907B17" w:rsidRDefault="00000000">
            <w:pPr>
              <w:keepNext/>
              <w:spacing w:before="40" w:after="40"/>
            </w:pPr>
            <w:r>
              <w:rPr>
                <w:sz w:val="16"/>
              </w:rPr>
              <w:t>Influenza (ED)</w:t>
            </w:r>
          </w:p>
        </w:tc>
        <w:tc>
          <w:tcPr>
            <w:tcW w:w="1872" w:type="dxa"/>
            <w:tcBorders>
              <w:bottom w:val="single" w:sz="4" w:space="0" w:color="E4E3DF"/>
            </w:tcBorders>
          </w:tcPr>
          <w:p w14:paraId="5DCB956C" w14:textId="77777777" w:rsidR="00907B17" w:rsidRDefault="00000000">
            <w:pPr>
              <w:keepNext/>
              <w:spacing w:before="40" w:after="40"/>
            </w:pPr>
            <w:r>
              <w:rPr>
                <w:sz w:val="16"/>
              </w:rPr>
              <w:t>9 states, weekly, 2022–2026</w:t>
            </w:r>
          </w:p>
        </w:tc>
        <w:tc>
          <w:tcPr>
            <w:tcW w:w="792" w:type="dxa"/>
            <w:tcBorders>
              <w:bottom w:val="single" w:sz="4" w:space="0" w:color="E4E3DF"/>
            </w:tcBorders>
          </w:tcPr>
          <w:p w14:paraId="66303204" w14:textId="77777777" w:rsidR="00907B17" w:rsidRDefault="00000000">
            <w:pPr>
              <w:keepNext/>
              <w:spacing w:before="40" w:after="40"/>
            </w:pPr>
            <w:r>
              <w:rPr>
                <w:sz w:val="16"/>
              </w:rPr>
              <w:t>1,863</w:t>
            </w:r>
          </w:p>
        </w:tc>
        <w:tc>
          <w:tcPr>
            <w:tcW w:w="1440" w:type="dxa"/>
            <w:tcBorders>
              <w:bottom w:val="single" w:sz="4" w:space="0" w:color="E4E3DF"/>
            </w:tcBorders>
          </w:tcPr>
          <w:p w14:paraId="61FB9EDD" w14:textId="77777777" w:rsidR="00907B17" w:rsidRDefault="00000000">
            <w:pPr>
              <w:keepNext/>
              <w:spacing w:before="40" w:after="40"/>
            </w:pPr>
            <w:r>
              <w:rPr>
                <w:sz w:val="16"/>
              </w:rPr>
              <w:t>0.9 (0.2–2.6)</w:t>
            </w:r>
          </w:p>
        </w:tc>
        <w:tc>
          <w:tcPr>
            <w:tcW w:w="1440" w:type="dxa"/>
            <w:tcBorders>
              <w:bottom w:val="single" w:sz="4" w:space="0" w:color="E4E3DF"/>
            </w:tcBorders>
          </w:tcPr>
          <w:p w14:paraId="0D0A7535" w14:textId="77777777" w:rsidR="00907B17" w:rsidRDefault="00000000">
            <w:pPr>
              <w:keepNext/>
              <w:spacing w:before="40" w:after="40"/>
            </w:pPr>
            <w:r>
              <w:rPr>
                <w:sz w:val="16"/>
              </w:rPr>
              <w:t>7.0 (2.8–10.2)</w:t>
            </w:r>
          </w:p>
        </w:tc>
        <w:tc>
          <w:tcPr>
            <w:tcW w:w="1224" w:type="dxa"/>
            <w:tcBorders>
              <w:bottom w:val="single" w:sz="4" w:space="0" w:color="E4E3DF"/>
            </w:tcBorders>
          </w:tcPr>
          <w:p w14:paraId="653F1B76" w14:textId="77777777" w:rsidR="00907B17" w:rsidRDefault="00000000">
            <w:pPr>
              <w:keepNext/>
              <w:spacing w:before="40" w:after="40"/>
            </w:pPr>
            <w:r>
              <w:rPr>
                <w:sz w:val="16"/>
              </w:rPr>
              <w:t>13 (13–18)</w:t>
            </w:r>
          </w:p>
        </w:tc>
        <w:tc>
          <w:tcPr>
            <w:tcW w:w="1080" w:type="dxa"/>
            <w:tcBorders>
              <w:bottom w:val="single" w:sz="4" w:space="0" w:color="E4E3DF"/>
            </w:tcBorders>
          </w:tcPr>
          <w:p w14:paraId="410D7A53" w14:textId="77777777" w:rsidR="00907B17" w:rsidRDefault="00000000">
            <w:pPr>
              <w:keepNext/>
              <w:spacing w:before="40" w:after="40"/>
            </w:pPr>
            <w:r>
              <w:rPr>
                <w:sz w:val="16"/>
              </w:rPr>
              <w:t>Dec 31</w:t>
            </w:r>
          </w:p>
        </w:tc>
      </w:tr>
      <w:tr w:rsidR="00907B17" w14:paraId="6DE7A3B1" w14:textId="77777777">
        <w:trPr>
          <w:cantSplit/>
          <w:jc w:val="center"/>
        </w:trPr>
        <w:tc>
          <w:tcPr>
            <w:tcW w:w="1512" w:type="dxa"/>
            <w:tcBorders>
              <w:bottom w:val="single" w:sz="4" w:space="0" w:color="E4E3DF"/>
            </w:tcBorders>
          </w:tcPr>
          <w:p w14:paraId="3F2D2479" w14:textId="77777777" w:rsidR="00907B17" w:rsidRDefault="00000000">
            <w:pPr>
              <w:keepNext/>
              <w:spacing w:before="40" w:after="40"/>
            </w:pPr>
            <w:r>
              <w:rPr>
                <w:sz w:val="16"/>
              </w:rPr>
              <w:t>RSV (ED)</w:t>
            </w:r>
          </w:p>
        </w:tc>
        <w:tc>
          <w:tcPr>
            <w:tcW w:w="1872" w:type="dxa"/>
            <w:tcBorders>
              <w:bottom w:val="single" w:sz="4" w:space="0" w:color="E4E3DF"/>
            </w:tcBorders>
          </w:tcPr>
          <w:p w14:paraId="41DD17D0" w14:textId="77777777" w:rsidR="00907B17" w:rsidRDefault="00000000">
            <w:pPr>
              <w:keepNext/>
              <w:spacing w:before="40" w:after="40"/>
            </w:pPr>
            <w:r>
              <w:rPr>
                <w:sz w:val="16"/>
              </w:rPr>
              <w:t>9 states, weekly, 2022–2026</w:t>
            </w:r>
          </w:p>
        </w:tc>
        <w:tc>
          <w:tcPr>
            <w:tcW w:w="792" w:type="dxa"/>
            <w:tcBorders>
              <w:bottom w:val="single" w:sz="4" w:space="0" w:color="E4E3DF"/>
            </w:tcBorders>
          </w:tcPr>
          <w:p w14:paraId="59E768F1" w14:textId="77777777" w:rsidR="00907B17" w:rsidRDefault="00000000">
            <w:pPr>
              <w:keepNext/>
              <w:spacing w:before="40" w:after="40"/>
            </w:pPr>
            <w:r>
              <w:rPr>
                <w:sz w:val="16"/>
              </w:rPr>
              <w:t>1,863</w:t>
            </w:r>
          </w:p>
        </w:tc>
        <w:tc>
          <w:tcPr>
            <w:tcW w:w="1440" w:type="dxa"/>
            <w:tcBorders>
              <w:bottom w:val="single" w:sz="4" w:space="0" w:color="E4E3DF"/>
            </w:tcBorders>
          </w:tcPr>
          <w:p w14:paraId="1DB1D259" w14:textId="77777777" w:rsidR="00907B17" w:rsidRDefault="00000000">
            <w:pPr>
              <w:keepNext/>
              <w:spacing w:before="40" w:after="40"/>
            </w:pPr>
            <w:r>
              <w:rPr>
                <w:sz w:val="16"/>
              </w:rPr>
              <w:t>0.2 (0.1–0.6)</w:t>
            </w:r>
          </w:p>
        </w:tc>
        <w:tc>
          <w:tcPr>
            <w:tcW w:w="1440" w:type="dxa"/>
            <w:tcBorders>
              <w:bottom w:val="single" w:sz="4" w:space="0" w:color="E4E3DF"/>
            </w:tcBorders>
          </w:tcPr>
          <w:p w14:paraId="49DF7048" w14:textId="77777777" w:rsidR="00907B17" w:rsidRDefault="00000000">
            <w:pPr>
              <w:keepNext/>
              <w:spacing w:before="40" w:after="40"/>
            </w:pPr>
            <w:r>
              <w:rPr>
                <w:sz w:val="16"/>
              </w:rPr>
              <w:t>1.0 (0.6–2.8)</w:t>
            </w:r>
          </w:p>
        </w:tc>
        <w:tc>
          <w:tcPr>
            <w:tcW w:w="1224" w:type="dxa"/>
            <w:tcBorders>
              <w:bottom w:val="single" w:sz="4" w:space="0" w:color="E4E3DF"/>
            </w:tcBorders>
          </w:tcPr>
          <w:p w14:paraId="1BE34CBB" w14:textId="77777777" w:rsidR="00907B17" w:rsidRDefault="00000000">
            <w:pPr>
              <w:keepNext/>
              <w:spacing w:before="40" w:after="40"/>
            </w:pPr>
            <w:r>
              <w:rPr>
                <w:sz w:val="16"/>
              </w:rPr>
              <w:t>13 (8–17)</w:t>
            </w:r>
          </w:p>
        </w:tc>
        <w:tc>
          <w:tcPr>
            <w:tcW w:w="1080" w:type="dxa"/>
            <w:tcBorders>
              <w:bottom w:val="single" w:sz="4" w:space="0" w:color="E4E3DF"/>
            </w:tcBorders>
          </w:tcPr>
          <w:p w14:paraId="7A035BDA" w14:textId="77777777" w:rsidR="00907B17" w:rsidRDefault="00000000">
            <w:pPr>
              <w:keepNext/>
              <w:spacing w:before="40" w:after="40"/>
            </w:pPr>
            <w:r>
              <w:rPr>
                <w:sz w:val="16"/>
              </w:rPr>
              <w:t>Dec 31</w:t>
            </w:r>
          </w:p>
        </w:tc>
      </w:tr>
      <w:tr w:rsidR="00907B17" w14:paraId="5EA3D1FC" w14:textId="77777777">
        <w:trPr>
          <w:cantSplit/>
          <w:jc w:val="center"/>
        </w:trPr>
        <w:tc>
          <w:tcPr>
            <w:tcW w:w="1512" w:type="dxa"/>
            <w:tcBorders>
              <w:bottom w:val="single" w:sz="4" w:space="0" w:color="E4E3DF"/>
            </w:tcBorders>
          </w:tcPr>
          <w:p w14:paraId="6A7FB3E9" w14:textId="77777777" w:rsidR="00907B17" w:rsidRDefault="00000000">
            <w:pPr>
              <w:keepNext/>
              <w:spacing w:before="40" w:after="40"/>
            </w:pPr>
            <w:r>
              <w:rPr>
                <w:sz w:val="16"/>
              </w:rPr>
              <w:t>COVID (ED)</w:t>
            </w:r>
          </w:p>
        </w:tc>
        <w:tc>
          <w:tcPr>
            <w:tcW w:w="1872" w:type="dxa"/>
            <w:tcBorders>
              <w:bottom w:val="single" w:sz="4" w:space="0" w:color="E4E3DF"/>
            </w:tcBorders>
          </w:tcPr>
          <w:p w14:paraId="4025E02A" w14:textId="77777777" w:rsidR="00907B17" w:rsidRDefault="00000000">
            <w:pPr>
              <w:keepNext/>
              <w:spacing w:before="40" w:after="40"/>
            </w:pPr>
            <w:r>
              <w:rPr>
                <w:sz w:val="16"/>
              </w:rPr>
              <w:t>9 states, weekly, 2022–2026</w:t>
            </w:r>
          </w:p>
        </w:tc>
        <w:tc>
          <w:tcPr>
            <w:tcW w:w="792" w:type="dxa"/>
            <w:tcBorders>
              <w:bottom w:val="single" w:sz="4" w:space="0" w:color="E4E3DF"/>
            </w:tcBorders>
          </w:tcPr>
          <w:p w14:paraId="08158207" w14:textId="77777777" w:rsidR="00907B17" w:rsidRDefault="00000000">
            <w:pPr>
              <w:keepNext/>
              <w:spacing w:before="40" w:after="40"/>
            </w:pPr>
            <w:r>
              <w:rPr>
                <w:sz w:val="16"/>
              </w:rPr>
              <w:t>1,863</w:t>
            </w:r>
          </w:p>
        </w:tc>
        <w:tc>
          <w:tcPr>
            <w:tcW w:w="1440" w:type="dxa"/>
            <w:tcBorders>
              <w:bottom w:val="single" w:sz="4" w:space="0" w:color="E4E3DF"/>
            </w:tcBorders>
          </w:tcPr>
          <w:p w14:paraId="3C2A070F" w14:textId="77777777" w:rsidR="00907B17" w:rsidRDefault="00000000">
            <w:pPr>
              <w:keepNext/>
              <w:spacing w:before="40" w:after="40"/>
            </w:pPr>
            <w:r>
              <w:rPr>
                <w:sz w:val="16"/>
              </w:rPr>
              <w:t>0.9 (0.5–1.9)</w:t>
            </w:r>
          </w:p>
        </w:tc>
        <w:tc>
          <w:tcPr>
            <w:tcW w:w="1440" w:type="dxa"/>
            <w:tcBorders>
              <w:bottom w:val="single" w:sz="4" w:space="0" w:color="E4E3DF"/>
            </w:tcBorders>
          </w:tcPr>
          <w:p w14:paraId="335D8CFD" w14:textId="77777777" w:rsidR="00907B17" w:rsidRDefault="00000000">
            <w:pPr>
              <w:keepNext/>
              <w:spacing w:before="40" w:after="40"/>
            </w:pPr>
            <w:r>
              <w:rPr>
                <w:sz w:val="16"/>
              </w:rPr>
              <w:t>2.9 (0.7–4.9)</w:t>
            </w:r>
          </w:p>
        </w:tc>
        <w:tc>
          <w:tcPr>
            <w:tcW w:w="1224" w:type="dxa"/>
            <w:tcBorders>
              <w:bottom w:val="single" w:sz="4" w:space="0" w:color="E4E3DF"/>
            </w:tcBorders>
          </w:tcPr>
          <w:p w14:paraId="26F684C7" w14:textId="77777777" w:rsidR="00907B17" w:rsidRDefault="00000000">
            <w:pPr>
              <w:keepNext/>
              <w:spacing w:before="40" w:after="40"/>
            </w:pPr>
            <w:r>
              <w:rPr>
                <w:sz w:val="16"/>
              </w:rPr>
              <w:t>13 (13–14)</w:t>
            </w:r>
          </w:p>
        </w:tc>
        <w:tc>
          <w:tcPr>
            <w:tcW w:w="1080" w:type="dxa"/>
            <w:tcBorders>
              <w:bottom w:val="single" w:sz="4" w:space="0" w:color="E4E3DF"/>
            </w:tcBorders>
          </w:tcPr>
          <w:p w14:paraId="5A5088FA" w14:textId="77777777" w:rsidR="00907B17" w:rsidRDefault="00000000">
            <w:pPr>
              <w:keepNext/>
              <w:spacing w:before="40" w:after="40"/>
            </w:pPr>
            <w:r>
              <w:rPr>
                <w:sz w:val="16"/>
              </w:rPr>
              <w:t>Dec 31</w:t>
            </w:r>
          </w:p>
        </w:tc>
      </w:tr>
    </w:tbl>
    <w:p w14:paraId="4DBB915B" w14:textId="2363686C" w:rsidR="00907B17" w:rsidRDefault="00000000">
      <w:pPr>
        <w:pStyle w:val="Caption"/>
        <w:spacing w:before="80"/>
      </w:pPr>
      <w:bookmarkStart w:id="0" w:name="_RefTable_desc"/>
      <w:r>
        <w:rPr>
          <w:b/>
        </w:rPr>
        <w:t xml:space="preserve">Table </w:t>
      </w:r>
      <w:r>
        <w:rPr>
          <w:b/>
        </w:rPr>
        <w:fldChar w:fldCharType="begin"/>
      </w:r>
      <w:r>
        <w:rPr>
          <w:b/>
        </w:rPr>
        <w:instrText xml:space="preserve"> SEQ Table \* ARABIC </w:instrText>
      </w:r>
      <w:r>
        <w:rPr>
          <w:b/>
        </w:rPr>
        <w:fldChar w:fldCharType="separate"/>
      </w:r>
      <w:r w:rsidR="00C067F1">
        <w:rPr>
          <w:b/>
          <w:noProof/>
        </w:rPr>
        <w:t>1</w:t>
      </w:r>
      <w:r>
        <w:rPr>
          <w:b/>
        </w:rPr>
        <w:fldChar w:fldCharType="end"/>
      </w:r>
      <w:bookmarkEnd w:id="0"/>
      <w:r>
        <w:rPr>
          <w:b/>
        </w:rPr>
        <w:t xml:space="preserve">. </w:t>
      </w:r>
      <w:r>
        <w:t>Datasets after cleaning. Shares are percentages of outpatient (ILI) or ED visits. Weekly values use in-season weeks (October–May); peaks use complete state-seasons (ILI 142; ED 36 per pathogen). Week 0 of the season is CDC epiweek 40 (early October). IQR, interquartile range.</w:t>
      </w:r>
    </w:p>
    <w:p w14:paraId="2FC41D9C" w14:textId="77777777" w:rsidR="00907B17" w:rsidRDefault="00000000">
      <w:pPr>
        <w:keepNext/>
        <w:jc w:val="center"/>
      </w:pPr>
      <w:r>
        <w:rPr>
          <w:noProof/>
        </w:rPr>
        <w:drawing>
          <wp:inline distT="0" distB="0" distL="0" distR="0" wp14:anchorId="04887BCD" wp14:editId="03022A17">
            <wp:extent cx="5943600" cy="3219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providers.png"/>
                    <pic:cNvPicPr/>
                  </pic:nvPicPr>
                  <pic:blipFill>
                    <a:blip r:embed="rId9"/>
                    <a:stretch>
                      <a:fillRect/>
                    </a:stretch>
                  </pic:blipFill>
                  <pic:spPr>
                    <a:xfrm>
                      <a:off x="0" y="0"/>
                      <a:ext cx="5943600" cy="3219733"/>
                    </a:xfrm>
                    <a:prstGeom prst="rect">
                      <a:avLst/>
                    </a:prstGeom>
                  </pic:spPr>
                </pic:pic>
              </a:graphicData>
            </a:graphic>
          </wp:inline>
        </w:drawing>
      </w:r>
    </w:p>
    <w:p w14:paraId="11B0C370" w14:textId="4A08EEC4" w:rsidR="00907B17" w:rsidRDefault="00000000">
      <w:pPr>
        <w:pStyle w:val="Caption"/>
      </w:pPr>
      <w:bookmarkStart w:id="1" w:name="_RefFigure_providers"/>
      <w:r>
        <w:rPr>
          <w:b/>
        </w:rPr>
        <w:t xml:space="preserve">Figure </w:t>
      </w:r>
      <w:r>
        <w:rPr>
          <w:b/>
        </w:rPr>
        <w:fldChar w:fldCharType="begin"/>
      </w:r>
      <w:r>
        <w:rPr>
          <w:b/>
        </w:rPr>
        <w:instrText xml:space="preserve"> SEQ Figure \* ARABIC </w:instrText>
      </w:r>
      <w:r>
        <w:rPr>
          <w:b/>
        </w:rPr>
        <w:fldChar w:fldCharType="separate"/>
      </w:r>
      <w:r w:rsidR="00C067F1">
        <w:rPr>
          <w:b/>
          <w:noProof/>
        </w:rPr>
        <w:t>1</w:t>
      </w:r>
      <w:r>
        <w:rPr>
          <w:b/>
        </w:rPr>
        <w:fldChar w:fldCharType="end"/>
      </w:r>
      <w:bookmarkEnd w:id="1"/>
      <w:r>
        <w:rPr>
          <w:b/>
        </w:rPr>
        <w:t xml:space="preserve">. </w:t>
      </w:r>
      <w:r>
        <w:t>Weekly number of ILINet providers reporting in each state. Step changes mean ILI levels are compared only within a state.</w:t>
      </w:r>
    </w:p>
    <w:p w14:paraId="45466A64" w14:textId="77CE1220" w:rsidR="00907B17" w:rsidRDefault="00000000">
      <w:r>
        <w:t>ILI surges once every winter in every state (</w:t>
      </w:r>
      <w:r>
        <w:fldChar w:fldCharType="begin"/>
      </w:r>
      <w:r>
        <w:instrText xml:space="preserve"> REF _RefFigure_ili_states \h </w:instrText>
      </w:r>
      <w:r>
        <w:fldChar w:fldCharType="separate"/>
      </w:r>
      <w:r w:rsidR="00C067F1">
        <w:rPr>
          <w:b/>
        </w:rPr>
        <w:t xml:space="preserve">Figure </w:t>
      </w:r>
      <w:r w:rsidR="00C067F1">
        <w:rPr>
          <w:b/>
          <w:noProof/>
        </w:rPr>
        <w:t>2</w:t>
      </w:r>
      <w:r>
        <w:fldChar w:fldCharType="end"/>
      </w:r>
      <w:r>
        <w:t>), peaking at a median 4.4% of visits in late January; the regional peak ranged from 1.4% (2020-21) to 8.8% (2024-25). In ED data (</w:t>
      </w:r>
      <w:r>
        <w:fldChar w:fldCharType="begin"/>
      </w:r>
      <w:r>
        <w:instrText xml:space="preserve"> REF _RefFigure_ed_pathogens \h </w:instrText>
      </w:r>
      <w:r>
        <w:fldChar w:fldCharType="separate"/>
      </w:r>
      <w:r w:rsidR="00C067F1">
        <w:rPr>
          <w:b/>
        </w:rPr>
        <w:t xml:space="preserve">Figure </w:t>
      </w:r>
      <w:r w:rsidR="00C067F1">
        <w:rPr>
          <w:b/>
          <w:noProof/>
        </w:rPr>
        <w:t>3</w:t>
      </w:r>
      <w:r>
        <w:fldChar w:fldCharType="end"/>
      </w:r>
      <w:r>
        <w:t>), influenza peaks highest, RSV usually rises first and COVID also has summer waves. Peaks vary more between seasons than between counties (</w:t>
      </w:r>
      <w:r>
        <w:fldChar w:fldCharType="begin"/>
      </w:r>
      <w:r>
        <w:instrText xml:space="preserve"> REF _RefFigure_county \h </w:instrText>
      </w:r>
      <w:r>
        <w:fldChar w:fldCharType="separate"/>
      </w:r>
      <w:r w:rsidR="00C067F1">
        <w:rPr>
          <w:b/>
        </w:rPr>
        <w:t xml:space="preserve">Figure </w:t>
      </w:r>
      <w:r w:rsidR="00C067F1">
        <w:rPr>
          <w:b/>
          <w:noProof/>
        </w:rPr>
        <w:t>4</w:t>
      </w:r>
      <w:r>
        <w:fldChar w:fldCharType="end"/>
      </w:r>
      <w:r>
        <w:t>).</w:t>
      </w:r>
    </w:p>
    <w:p w14:paraId="396C5BD7" w14:textId="77777777" w:rsidR="00907B17" w:rsidRDefault="00000000">
      <w:pPr>
        <w:keepNext/>
        <w:jc w:val="center"/>
      </w:pPr>
      <w:r>
        <w:rPr>
          <w:noProof/>
        </w:rPr>
        <w:lastRenderedPageBreak/>
        <w:drawing>
          <wp:inline distT="0" distB="0" distL="0" distR="0" wp14:anchorId="051553D4" wp14:editId="1E3DAA96">
            <wp:extent cx="5943600" cy="3442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_ili_states.png"/>
                    <pic:cNvPicPr/>
                  </pic:nvPicPr>
                  <pic:blipFill>
                    <a:blip r:embed="rId10"/>
                    <a:stretch>
                      <a:fillRect/>
                    </a:stretch>
                  </pic:blipFill>
                  <pic:spPr>
                    <a:xfrm>
                      <a:off x="0" y="0"/>
                      <a:ext cx="5943600" cy="3442179"/>
                    </a:xfrm>
                    <a:prstGeom prst="rect">
                      <a:avLst/>
                    </a:prstGeom>
                  </pic:spPr>
                </pic:pic>
              </a:graphicData>
            </a:graphic>
          </wp:inline>
        </w:drawing>
      </w:r>
    </w:p>
    <w:p w14:paraId="0D0C14F6" w14:textId="5A0F8F6C" w:rsidR="00907B17" w:rsidRDefault="00000000">
      <w:pPr>
        <w:pStyle w:val="Caption"/>
      </w:pPr>
      <w:bookmarkStart w:id="2" w:name="_RefFigure_ili_states"/>
      <w:r>
        <w:rPr>
          <w:b/>
        </w:rPr>
        <w:t xml:space="preserve">Figure </w:t>
      </w:r>
      <w:r>
        <w:rPr>
          <w:b/>
        </w:rPr>
        <w:fldChar w:fldCharType="begin"/>
      </w:r>
      <w:r>
        <w:rPr>
          <w:b/>
        </w:rPr>
        <w:instrText xml:space="preserve"> SEQ Figure \* ARABIC </w:instrText>
      </w:r>
      <w:r>
        <w:rPr>
          <w:b/>
        </w:rPr>
        <w:fldChar w:fldCharType="separate"/>
      </w:r>
      <w:r w:rsidR="00C067F1">
        <w:rPr>
          <w:b/>
          <w:noProof/>
        </w:rPr>
        <w:t>2</w:t>
      </w:r>
      <w:r>
        <w:rPr>
          <w:b/>
        </w:rPr>
        <w:fldChar w:fldCharType="end"/>
      </w:r>
      <w:bookmarkEnd w:id="2"/>
      <w:r>
        <w:rPr>
          <w:b/>
        </w:rPr>
        <w:t xml:space="preserve">. </w:t>
      </w:r>
      <w:r>
        <w:t>Weekly outpatient ILI share by state (faint) and its 4-week rolling mean (solid), October 2010 to September 2026.</w:t>
      </w:r>
    </w:p>
    <w:p w14:paraId="238CCA48" w14:textId="77777777" w:rsidR="00907B17" w:rsidRDefault="00000000">
      <w:pPr>
        <w:keepNext/>
        <w:jc w:val="center"/>
      </w:pPr>
      <w:r>
        <w:rPr>
          <w:noProof/>
        </w:rPr>
        <w:drawing>
          <wp:inline distT="0" distB="0" distL="0" distR="0" wp14:anchorId="3EC5FA4E" wp14:editId="4C204EEA">
            <wp:extent cx="5943600" cy="22344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_ed_pathogens.png"/>
                    <pic:cNvPicPr/>
                  </pic:nvPicPr>
                  <pic:blipFill>
                    <a:blip r:embed="rId11"/>
                    <a:stretch>
                      <a:fillRect/>
                    </a:stretch>
                  </pic:blipFill>
                  <pic:spPr>
                    <a:xfrm>
                      <a:off x="0" y="0"/>
                      <a:ext cx="5943600" cy="2234493"/>
                    </a:xfrm>
                    <a:prstGeom prst="rect">
                      <a:avLst/>
                    </a:prstGeom>
                  </pic:spPr>
                </pic:pic>
              </a:graphicData>
            </a:graphic>
          </wp:inline>
        </w:drawing>
      </w:r>
    </w:p>
    <w:p w14:paraId="6B38E660" w14:textId="251807B4" w:rsidR="00907B17" w:rsidRDefault="00000000">
      <w:pPr>
        <w:pStyle w:val="Caption"/>
      </w:pPr>
      <w:bookmarkStart w:id="3" w:name="_RefFigure_ed_pathogens"/>
      <w:r>
        <w:rPr>
          <w:b/>
        </w:rPr>
        <w:t xml:space="preserve">Figure </w:t>
      </w:r>
      <w:r>
        <w:rPr>
          <w:b/>
        </w:rPr>
        <w:fldChar w:fldCharType="begin"/>
      </w:r>
      <w:r>
        <w:rPr>
          <w:b/>
        </w:rPr>
        <w:instrText xml:space="preserve"> SEQ Figure \* ARABIC </w:instrText>
      </w:r>
      <w:r>
        <w:rPr>
          <w:b/>
        </w:rPr>
        <w:fldChar w:fldCharType="separate"/>
      </w:r>
      <w:r w:rsidR="00C067F1">
        <w:rPr>
          <w:b/>
          <w:noProof/>
        </w:rPr>
        <w:t>3</w:t>
      </w:r>
      <w:r>
        <w:rPr>
          <w:b/>
        </w:rPr>
        <w:fldChar w:fldCharType="end"/>
      </w:r>
      <w:bookmarkEnd w:id="3"/>
      <w:r>
        <w:rPr>
          <w:b/>
        </w:rPr>
        <w:t xml:space="preserve">. </w:t>
      </w:r>
      <w:r>
        <w:t>Share of ED visits by pathogen, median of the nine states, 2022–2026.</w:t>
      </w:r>
    </w:p>
    <w:p w14:paraId="00EACFE3" w14:textId="77777777" w:rsidR="00907B17" w:rsidRDefault="00000000">
      <w:pPr>
        <w:keepNext/>
        <w:jc w:val="center"/>
      </w:pPr>
      <w:r>
        <w:rPr>
          <w:noProof/>
        </w:rPr>
        <w:drawing>
          <wp:inline distT="0" distB="0" distL="0" distR="0" wp14:anchorId="0E8032EA" wp14:editId="672DEE8E">
            <wp:extent cx="5943600" cy="1652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county_flu_peak.png"/>
                    <pic:cNvPicPr/>
                  </pic:nvPicPr>
                  <pic:blipFill>
                    <a:blip r:embed="rId12"/>
                    <a:stretch>
                      <a:fillRect/>
                    </a:stretch>
                  </pic:blipFill>
                  <pic:spPr>
                    <a:xfrm>
                      <a:off x="0" y="0"/>
                      <a:ext cx="5943600" cy="1652423"/>
                    </a:xfrm>
                    <a:prstGeom prst="rect">
                      <a:avLst/>
                    </a:prstGeom>
                  </pic:spPr>
                </pic:pic>
              </a:graphicData>
            </a:graphic>
          </wp:inline>
        </w:drawing>
      </w:r>
    </w:p>
    <w:p w14:paraId="4B35F73A" w14:textId="6CA89F36" w:rsidR="00907B17" w:rsidRDefault="00000000">
      <w:pPr>
        <w:pStyle w:val="Caption"/>
      </w:pPr>
      <w:bookmarkStart w:id="4" w:name="_RefFigure_county"/>
      <w:r>
        <w:rPr>
          <w:b/>
        </w:rPr>
        <w:t xml:space="preserve">Figure </w:t>
      </w:r>
      <w:r>
        <w:rPr>
          <w:b/>
        </w:rPr>
        <w:fldChar w:fldCharType="begin"/>
      </w:r>
      <w:r>
        <w:rPr>
          <w:b/>
        </w:rPr>
        <w:instrText xml:space="preserve"> SEQ Figure \* ARABIC </w:instrText>
      </w:r>
      <w:r>
        <w:rPr>
          <w:b/>
        </w:rPr>
        <w:fldChar w:fldCharType="separate"/>
      </w:r>
      <w:r w:rsidR="00C067F1">
        <w:rPr>
          <w:b/>
          <w:noProof/>
        </w:rPr>
        <w:t>4</w:t>
      </w:r>
      <w:r>
        <w:rPr>
          <w:b/>
        </w:rPr>
        <w:fldChar w:fldCharType="end"/>
      </w:r>
      <w:bookmarkEnd w:id="4"/>
      <w:r>
        <w:rPr>
          <w:b/>
        </w:rPr>
        <w:t xml:space="preserve">. </w:t>
      </w:r>
      <w:r>
        <w:t>County peak influenza share of ED visits by season. Hatched counties have no county data.</w:t>
      </w:r>
    </w:p>
    <w:p w14:paraId="705A5C03" w14:textId="65F4ADB4" w:rsidR="00907B17" w:rsidRDefault="00000000">
      <w:r>
        <w:lastRenderedPageBreak/>
        <w:t xml:space="preserve">Winter normals range from 20 °F (Vermont) to 34 °F (New Jersey). Anomalies move together across states (median correlation 0.98; </w:t>
      </w:r>
      <w:r>
        <w:fldChar w:fldCharType="begin"/>
      </w:r>
      <w:r>
        <w:instrText xml:space="preserve"> REF _RefFigure_anomaly_map \h </w:instrText>
      </w:r>
      <w:r>
        <w:fldChar w:fldCharType="separate"/>
      </w:r>
      <w:r w:rsidR="00C067F1">
        <w:rPr>
          <w:b/>
        </w:rPr>
        <w:t xml:space="preserve">Figure </w:t>
      </w:r>
      <w:r w:rsidR="00C067F1">
        <w:rPr>
          <w:b/>
          <w:noProof/>
        </w:rPr>
        <w:t>5</w:t>
      </w:r>
      <w:r>
        <w:fldChar w:fldCharType="end"/>
      </w:r>
      <w:r>
        <w:t>), so each winter is about one regional observation and tests treat seasons as independent.</w:t>
      </w:r>
    </w:p>
    <w:p w14:paraId="5588D2A1" w14:textId="77777777" w:rsidR="00907B17" w:rsidRDefault="00000000">
      <w:pPr>
        <w:keepNext/>
        <w:jc w:val="center"/>
      </w:pPr>
      <w:r>
        <w:rPr>
          <w:noProof/>
        </w:rPr>
        <w:drawing>
          <wp:inline distT="0" distB="0" distL="0" distR="0" wp14:anchorId="6825BC96" wp14:editId="0AC0C221">
            <wp:extent cx="5943600" cy="16328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state_winter_anomaly.png"/>
                    <pic:cNvPicPr/>
                  </pic:nvPicPr>
                  <pic:blipFill>
                    <a:blip r:embed="rId13"/>
                    <a:stretch>
                      <a:fillRect/>
                    </a:stretch>
                  </pic:blipFill>
                  <pic:spPr>
                    <a:xfrm>
                      <a:off x="0" y="0"/>
                      <a:ext cx="5943600" cy="1632892"/>
                    </a:xfrm>
                    <a:prstGeom prst="rect">
                      <a:avLst/>
                    </a:prstGeom>
                  </pic:spPr>
                </pic:pic>
              </a:graphicData>
            </a:graphic>
          </wp:inline>
        </w:drawing>
      </w:r>
    </w:p>
    <w:p w14:paraId="7D0547C5" w14:textId="642BCA2D" w:rsidR="00907B17" w:rsidRDefault="00000000">
      <w:pPr>
        <w:pStyle w:val="Caption"/>
      </w:pPr>
      <w:bookmarkStart w:id="5" w:name="_RefFigure_anomaly_map"/>
      <w:r>
        <w:rPr>
          <w:b/>
        </w:rPr>
        <w:t xml:space="preserve">Figure </w:t>
      </w:r>
      <w:r>
        <w:rPr>
          <w:b/>
        </w:rPr>
        <w:fldChar w:fldCharType="begin"/>
      </w:r>
      <w:r>
        <w:rPr>
          <w:b/>
        </w:rPr>
        <w:instrText xml:space="preserve"> SEQ Figure \* ARABIC </w:instrText>
      </w:r>
      <w:r>
        <w:rPr>
          <w:b/>
        </w:rPr>
        <w:fldChar w:fldCharType="separate"/>
      </w:r>
      <w:r w:rsidR="00C067F1">
        <w:rPr>
          <w:b/>
          <w:noProof/>
        </w:rPr>
        <w:t>5</w:t>
      </w:r>
      <w:r>
        <w:rPr>
          <w:b/>
        </w:rPr>
        <w:fldChar w:fldCharType="end"/>
      </w:r>
      <w:bookmarkEnd w:id="5"/>
      <w:r>
        <w:rPr>
          <w:b/>
        </w:rPr>
        <w:t xml:space="preserve">. </w:t>
      </w:r>
      <w:r>
        <w:t>December–February temperature anomaly by state, relative to the 1991–2020 normal.</w:t>
      </w:r>
    </w:p>
    <w:p w14:paraId="4E9F563D" w14:textId="77777777" w:rsidR="00907B17" w:rsidRDefault="00000000">
      <w:pPr>
        <w:pStyle w:val="Heading1"/>
      </w:pPr>
      <w:r>
        <w:t>3. Feature engineering</w:t>
      </w:r>
    </w:p>
    <w:p w14:paraId="51BC3DCC" w14:textId="1A699597" w:rsidR="00907B17" w:rsidRDefault="00000000">
      <w:r>
        <w:t>Raw temperature–illness correlations mostly rediscover the calendar (</w:t>
      </w:r>
      <w:r>
        <w:fldChar w:fldCharType="begin"/>
      </w:r>
      <w:r>
        <w:instrText xml:space="preserve"> REF _RefFigure_corr \h </w:instrText>
      </w:r>
      <w:r>
        <w:fldChar w:fldCharType="separate"/>
      </w:r>
      <w:r w:rsidR="00C067F1">
        <w:rPr>
          <w:b/>
        </w:rPr>
        <w:t xml:space="preserve">Figure </w:t>
      </w:r>
      <w:r w:rsidR="00C067F1">
        <w:rPr>
          <w:b/>
          <w:noProof/>
        </w:rPr>
        <w:t>8</w:t>
      </w:r>
      <w:r>
        <w:fldChar w:fldCharType="end"/>
      </w:r>
      <w:r>
        <w:t xml:space="preserve">). The key feature is the </w:t>
      </w:r>
      <w:r>
        <w:rPr>
          <w:b/>
        </w:rPr>
        <w:t>temperature anomaly</w:t>
      </w:r>
      <w:r>
        <w:t xml:space="preserve">: temperature minus its 1991–2020 monthly normal, averaged over December–February for season-level tests. The weekly outcome is </w:t>
      </w:r>
      <w:r>
        <w:rPr>
          <w:b/>
        </w:rPr>
        <w:t>ILI growth over the next two weeks</w:t>
      </w:r>
      <w:r>
        <w:t xml:space="preserve"> (log change), controlling for current level, recent growth, week of season and holidays.</w:t>
      </w:r>
    </w:p>
    <w:p w14:paraId="3D9B9A92" w14:textId="77777777" w:rsidR="00907B17" w:rsidRDefault="00000000">
      <w:pPr>
        <w:pStyle w:val="Heading1"/>
      </w:pPr>
      <w:r>
        <w:t>4. Models and analysis plan</w:t>
      </w:r>
    </w:p>
    <w:p w14:paraId="15859641" w14:textId="630B9CFB" w:rsidR="00907B17" w:rsidRDefault="00000000">
      <w:r>
        <w:t>Seven pre-stated hypotheses (</w:t>
      </w:r>
      <w:r>
        <w:fldChar w:fldCharType="begin"/>
      </w:r>
      <w:r>
        <w:instrText xml:space="preserve"> REF _RefTable_tests \h </w:instrText>
      </w:r>
      <w:r>
        <w:fldChar w:fldCharType="separate"/>
      </w:r>
      <w:r w:rsidR="00C067F1">
        <w:rPr>
          <w:b/>
        </w:rPr>
        <w:t xml:space="preserve">Table </w:t>
      </w:r>
      <w:r w:rsidR="00C067F1">
        <w:rPr>
          <w:b/>
          <w:noProof/>
        </w:rPr>
        <w:t>2</w:t>
      </w:r>
      <w:r>
        <w:fldChar w:fldCharType="end"/>
      </w:r>
      <w:r>
        <w:t>) are tested with methods that respect shared winters: season permutation,</w:t>
      </w:r>
      <w:r>
        <w:fldChar w:fldCharType="begin"/>
      </w:r>
      <w:r>
        <w:instrText xml:space="preserve"> ADDIN ZOTERO_ITEM CSL_CITATION {"citationID": "eb8ca2a8", "properties": {"formattedCitation": "&lt;sup&gt;7&lt;/sup&gt;", "plainCitation": "7", "noteIndex": 0}, "citationItems": [{"id": "TL5A2N7R", "uris": ["http://zotero.org/groups/6645821/items/TL5A2N7R"], "itemData": {"id": "TL5A2N7R", "type": "book", "title": "Permutation, Parametric and Bootstrap Tests of Hypotheses", "DOI": "10.1007/b138696", "ISBN": "0-387-20279-X", "edition": "3", "collection-title": "Springer Series in Statistics", "publisher": "Springer", "publisher-place": "New York", "issued": {"date-parts": [[2005]]}, "author": [{"family": "Good", "given": "Phillip I."}]}}], "schema": "https://github.com/citation-style-language/schema/raw/master/csl-citation.json"} </w:instrText>
      </w:r>
      <w:r>
        <w:fldChar w:fldCharType="separate"/>
      </w:r>
      <w:r>
        <w:rPr>
          <w:vertAlign w:val="superscript"/>
        </w:rPr>
        <w:t>7</w:t>
      </w:r>
      <w:r>
        <w:fldChar w:fldCharType="end"/>
      </w:r>
      <w:r>
        <w:t xml:space="preserve"> season-clustered errors,</w:t>
      </w:r>
      <w:r>
        <w:fldChar w:fldCharType="begin"/>
      </w:r>
      <w:r>
        <w:instrText xml:space="preserve"> ADDIN ZOTERO_ITEM CSL_CITATION {"citationID": "a934eaea", "properties": {"formattedCitation": "&lt;sup&gt;8&lt;/sup&gt;", "plainCitation": "8", "noteIndex": 0}, "citationItems": [{"id": "JRUIF7C8", "uris": ["http://zotero.org/groups/6645821/items/JRUIF7C8"], "itemData": {"id": "JRUIF7C8", "type": "article-journal", "title": "A practitioner's guide to cluster-robust inference", "container-title": "Journal of Human Resources", "container-title-short": "J Hum Resour", "volume": "50", "issue": "2", "page": "317-372", "DOI": "10.3368/jhr.50.2.317", "issued": {"date-parts": [[2015]]}, "author": [{"family": "Cameron", "given": "A. Colin"}, {"family": "Miller", "given": "Douglas L."}]}}], "schema": "https://github.com/citation-style-language/schema/raw/master/csl-citation.json"} </w:instrText>
      </w:r>
      <w:r>
        <w:fldChar w:fldCharType="separate"/>
      </w:r>
      <w:r>
        <w:rPr>
          <w:vertAlign w:val="superscript"/>
        </w:rPr>
        <w:t>8</w:t>
      </w:r>
      <w:r>
        <w:fldChar w:fldCharType="end"/>
      </w:r>
      <w:r>
        <w:t xml:space="preserve"> a paired rank test</w:t>
      </w:r>
      <w:r>
        <w:fldChar w:fldCharType="begin"/>
      </w:r>
      <w:r>
        <w:instrText xml:space="preserve"> ADDIN ZOTERO_ITEM CSL_CITATION {"citationID": "8fe0be80", "properties": {"formattedCitation": "&lt;sup&gt;9&lt;/sup&gt;", "plainCitation": "9", "noteIndex": 0}, "citationItems": [{"id": "TXK78VHC", "uris": ["http://zotero.org/groups/6645821/items/TXK78VHC"], "itemData": {"id": "TXK78VHC", "type": "article-journal", "title": "Individual comparisons by ranking methods", "container-title": "Biometrics Bulletin", "volume": "1", "issue": "6", "page": "80-83", "DOI": "10.2307/3001968", "issued": {"date-parts": [[1945, 12]]}, "author": [{"family": "Wilcoxon", "given": "Frank"}]}}], "schema": "https://github.com/citation-style-language/schema/raw/master/csl-citation.json"} </w:instrText>
      </w:r>
      <w:r>
        <w:fldChar w:fldCharType="separate"/>
      </w:r>
      <w:r>
        <w:rPr>
          <w:vertAlign w:val="superscript"/>
        </w:rPr>
        <w:t>9</w:t>
      </w:r>
      <w:r>
        <w:fldChar w:fldCharType="end"/>
      </w:r>
      <w:r>
        <w:t xml:space="preserve"> and block sign-flips, with Holm correction.</w:t>
      </w:r>
      <w:r>
        <w:fldChar w:fldCharType="begin"/>
      </w:r>
      <w:r>
        <w:instrText xml:space="preserve"> ADDIN ZOTERO_ITEM CSL_CITATION {"citationID": "12799a5b", "properties": {"formattedCitation": "&lt;sup&gt;10&lt;/sup&gt;", "plainCitation": "10", "noteIndex": 0}, "citationItems": [{"id": "BJ8DVQBU", "uris": ["http://zotero.org/groups/6645821/items/BJ8DVQBU"], "itemData": {"id": "BJ8DVQBU", "type": "article-journal", "title": "A simple sequentially rejective multiple test procedure", "container-title": "Scandinavian Journal of Statistics", "container-title-short": "Scand J Stat", "volume": "6", "issue": "2", "page": "65-70", "URL": "https://www.jstor.org/stable/4615733", "issued": {"date-parts": [[1979]]}, "author": [{"family": "Holm", "given": "Sture"}]}}], "schema": "https://github.com/citation-style-language/schema/raw/master/csl-citation.json"} </w:instrText>
      </w:r>
      <w:r>
        <w:fldChar w:fldCharType="separate"/>
      </w:r>
      <w:r>
        <w:rPr>
          <w:vertAlign w:val="superscript"/>
        </w:rPr>
        <w:t>10</w:t>
      </w:r>
      <w:r>
        <w:fldChar w:fldCharType="end"/>
      </w:r>
    </w:p>
    <w:p w14:paraId="40E1EC78" w14:textId="63B1DC1D" w:rsidR="00907B17" w:rsidRDefault="00000000">
      <w:r>
        <w:fldChar w:fldCharType="begin"/>
      </w:r>
      <w:r>
        <w:instrText xml:space="preserve"> REF _RefFigure_dag \h </w:instrText>
      </w:r>
      <w:r>
        <w:fldChar w:fldCharType="separate"/>
      </w:r>
      <w:r w:rsidR="00C067F1">
        <w:rPr>
          <w:b/>
        </w:rPr>
        <w:t xml:space="preserve">Figure </w:t>
      </w:r>
      <w:r w:rsidR="00C067F1">
        <w:rPr>
          <w:b/>
          <w:noProof/>
        </w:rPr>
        <w:t>6</w:t>
      </w:r>
      <w:r>
        <w:fldChar w:fldCharType="end"/>
      </w:r>
      <w:r>
        <w:t xml:space="preserve"> shows the assumptions. Temperature anomaly is the exposure; time of year is the main confounder, setting both normal temperature and the respiratory season. Using anomalies removes that path, and within-state and within-season comparisons block the state and season-year paths. Reporting also changes over time (providers, and a 2021-22 ILI definition change</w:t>
      </w:r>
      <w:r>
        <w:fldChar w:fldCharType="begin"/>
      </w:r>
      <w:r>
        <w:instrText xml:space="preserve"> ADDIN ZOTERO_ITEM CSL_CITATION {"citationID": "d0a047d6", "properties": {"formattedCitation": "&lt;sup&gt;11&lt;/sup&gt;", "plainCitation": "11", "noteIndex": 0}, "citationItems": [{"id": "ZSIEAUCY", "uris": ["http://zotero.org/groups/6645821/items/ZSIEAUCY"], "itemData": {"id": "ZSIEAUCY", "type": "webpage", "title": "U.S. Influenza Surveillance: Purpose and Methods", "container-title": "FluView", "URL": "https://www.cdc.gov/fluview/overview/index.html", "accessed": {"date-parts": [[2026, 10, 8]]}, "note": "States that since the 2021-22 season the ILI case definition no longer includes \"without a known cause other than influenza\".", "author": [{"literal": "Centers for Disease Control and Prevention"}]}}], "schema": "https://github.com/citation-style-language/schema/raw/master/csl-citation.json"} </w:instrText>
      </w:r>
      <w:r>
        <w:fldChar w:fldCharType="separate"/>
      </w:r>
      <w:r>
        <w:rPr>
          <w:vertAlign w:val="superscript"/>
        </w:rPr>
        <w:t>11</w:t>
      </w:r>
      <w:r>
        <w:fldChar w:fldCharType="end"/>
      </w:r>
      <w:r>
        <w:t>), so season-level tests are re-run with reporting controls.</w:t>
      </w:r>
    </w:p>
    <w:p w14:paraId="36397B8E" w14:textId="77777777" w:rsidR="00907B17" w:rsidRDefault="00000000">
      <w:pPr>
        <w:keepNext/>
        <w:jc w:val="center"/>
      </w:pPr>
      <w:r>
        <w:rPr>
          <w:noProof/>
        </w:rPr>
        <w:lastRenderedPageBreak/>
        <w:drawing>
          <wp:inline distT="0" distB="0" distL="0" distR="0" wp14:anchorId="1FE4143A" wp14:editId="0BE8BD4E">
            <wp:extent cx="5943600" cy="29816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hypothesis.png"/>
                    <pic:cNvPicPr/>
                  </pic:nvPicPr>
                  <pic:blipFill>
                    <a:blip r:embed="rId14"/>
                    <a:stretch>
                      <a:fillRect/>
                    </a:stretch>
                  </pic:blipFill>
                  <pic:spPr>
                    <a:xfrm>
                      <a:off x="0" y="0"/>
                      <a:ext cx="5943600" cy="2981634"/>
                    </a:xfrm>
                    <a:prstGeom prst="rect">
                      <a:avLst/>
                    </a:prstGeom>
                  </pic:spPr>
                </pic:pic>
              </a:graphicData>
            </a:graphic>
          </wp:inline>
        </w:drawing>
      </w:r>
    </w:p>
    <w:p w14:paraId="5645C6C2" w14:textId="1C095040" w:rsidR="00907B17" w:rsidRDefault="00000000">
      <w:pPr>
        <w:pStyle w:val="Caption"/>
      </w:pPr>
      <w:bookmarkStart w:id="6" w:name="_RefFigure_dag"/>
      <w:r>
        <w:rPr>
          <w:b/>
        </w:rPr>
        <w:t xml:space="preserve">Figure </w:t>
      </w:r>
      <w:r>
        <w:rPr>
          <w:b/>
        </w:rPr>
        <w:fldChar w:fldCharType="begin"/>
      </w:r>
      <w:r>
        <w:rPr>
          <w:b/>
        </w:rPr>
        <w:instrText xml:space="preserve"> SEQ Figure \* ARABIC </w:instrText>
      </w:r>
      <w:r>
        <w:rPr>
          <w:b/>
        </w:rPr>
        <w:fldChar w:fldCharType="separate"/>
      </w:r>
      <w:r w:rsidR="00C067F1">
        <w:rPr>
          <w:b/>
          <w:noProof/>
        </w:rPr>
        <w:t>6</w:t>
      </w:r>
      <w:r>
        <w:rPr>
          <w:b/>
        </w:rPr>
        <w:fldChar w:fldCharType="end"/>
      </w:r>
      <w:bookmarkEnd w:id="6"/>
      <w:r>
        <w:rPr>
          <w:b/>
        </w:rPr>
        <w:t xml:space="preserve">. </w:t>
      </w:r>
      <w:r>
        <w:t>Assumed causal diagram. Blue arrows are the tested path; gray arrows are confounding paths, removed by using anomalies, within-state comparisons, season fixed effects or season-level permutation, and reporting controls.</w:t>
      </w:r>
    </w:p>
    <w:p w14:paraId="4DE6E7F4" w14:textId="77777777" w:rsidR="00907B17" w:rsidRDefault="00000000">
      <w:r>
        <w:t>Forecasts use a rolling-origin backtest. Chronos-2,</w:t>
      </w:r>
      <w:r>
        <w:fldChar w:fldCharType="begin"/>
      </w:r>
      <w:r>
        <w:instrText xml:space="preserve"> ADDIN ZOTERO_ITEM CSL_CITATION {"citationID": "c350fdbd", "properties": {"formattedCitation": "&lt;sup&gt;12&lt;/sup&gt;", "plainCitation": "12", "noteIndex": 0}, "citationItems": [{"id": "UDIWRI4H", "uris": ["http://zotero.org/groups/6645821/items/UDIWRI4H"], "itemData": {"id": "UDIWRI4H", "type": "article", "title": "Chronos-2: From univariate to universal forecasting", "DOI": "10.48550/arXiv.2510.15821", "URL": "https://arxiv.org/abs/2510.15821", "publisher": "arXiv", "number": "arXiv:2510.15821", "issued": {"date-parts": [[2025, 10, 17]]}, "author": [{"family": "Ansari", "given": "Abdul Fatir"}, {"family": "Shchur", "given": "Oleksandr"}, {"family": "Küken", "given": "Jaris"}, {"family": "Auer", "given": "Andreas"}, {"family": "Han", "given": "Boran"}, {"family": "Mercado", "given": "Pedro"}, {"family": "Rangapuram", "given": "Syama Sundar"}, {"family": "Shen", "given": "Huibin"}, {"family": "Stella", "given": "Lorenzo"}, {"family": "Zhang", "given": "Xiyuan"}, {"family": "Goswami", "given": "Mononito"}, {"family": "Kapoor", "given": "Shubham"}, {"family": "Maddix", "given": "Danielle C."}, {"family": "Guerron", "given": "Pablo"}, {"family": "Hu", "given": "Tony"}, {"family": "Yin", "given": "Junming"}, {"family": "Erickson", "given": "Nick"}, {"family": "Desai", "given": "Prateek Mutalik"}, {"family": "Wang", "given": "Hao"}, {"family": "Rangwala", "given": "Huzefa"}, {"family": "Karypis", "given": "George"}, {"family": "Wang", "given": "Yuyang"}, {"family": "Bohlke-Schneider", "given": "Michael"}]}}], "schema": "https://github.com/citation-style-language/schema/raw/master/csl-citation.json"} </w:instrText>
      </w:r>
      <w:r>
        <w:fldChar w:fldCharType="separate"/>
      </w:r>
      <w:r>
        <w:rPr>
          <w:vertAlign w:val="superscript"/>
        </w:rPr>
        <w:t>12</w:t>
      </w:r>
      <w:r>
        <w:fldChar w:fldCharType="end"/>
      </w:r>
      <w:r>
        <w:t xml:space="preserve"> a pretrained model, ran without covariates, with past temperature and with actual future temperature, against persistence and climatology, scored by mean absolute error (MAE), weighted quantile loss</w:t>
      </w:r>
      <w:r>
        <w:fldChar w:fldCharType="begin"/>
      </w:r>
      <w:r>
        <w:instrText xml:space="preserve"> ADDIN ZOTERO_ITEM CSL_CITATION {"citationID": "30a91fe6", "properties": {"formattedCitation": "&lt;sup&gt;13&lt;/sup&gt;", "plainCitation": "13", "noteIndex": 0}, "citationItems": [{"id": "ZQRZ84HI", "uris": ["http://zotero.org/groups/6645821/items/ZQRZ84HI"], "itemData": {"id": "ZQRZ84HI", "type": "article-journal", "title": "Strictly proper scoring rules, prediction, and estimation", "container-title": "Journal of the American Statistical Association", "container-title-short": "J Am Stat Assoc", "volume": "102", "issue": "477", "page": "359-378", "DOI": "10.1198/016214506000001437", "issued": {"date-parts": [[2007, 3]]}, "author": [{"family": "Gneiting", "given": "Tilmann"}, {"family": "Raftery", "given": "Adrian E."}]}}], "schema": "https://github.com/citation-style-language/schema/raw/master/csl-citation.json"} </w:instrText>
      </w:r>
      <w:r>
        <w:fldChar w:fldCharType="separate"/>
      </w:r>
      <w:r>
        <w:rPr>
          <w:vertAlign w:val="superscript"/>
        </w:rPr>
        <w:t>13</w:t>
      </w:r>
      <w:r>
        <w:fldChar w:fldCharType="end"/>
      </w:r>
      <w:r>
        <w:t xml:space="preserve"> and 80% interval coverage.</w:t>
      </w:r>
    </w:p>
    <w:p w14:paraId="2E5D4F90" w14:textId="77777777" w:rsidR="00907B17" w:rsidRDefault="00000000">
      <w:pPr>
        <w:pStyle w:val="Heading1"/>
      </w:pPr>
      <w:r>
        <w:t>5. Results</w:t>
      </w:r>
    </w:p>
    <w:p w14:paraId="4CC20B92" w14:textId="77777777" w:rsidR="00907B17" w:rsidRDefault="00000000">
      <w:pPr>
        <w:pStyle w:val="Heading2"/>
      </w:pPr>
      <w:r>
        <w:t>Seasonality, not temperature</w:t>
      </w:r>
    </w:p>
    <w:p w14:paraId="4B42CC16" w14:textId="702AAEFF" w:rsidR="00907B17" w:rsidRDefault="00000000">
      <w:r>
        <w:t>Every ILI season peaks December–February (</w:t>
      </w:r>
      <w:r>
        <w:fldChar w:fldCharType="begin"/>
      </w:r>
      <w:r>
        <w:instrText xml:space="preserve"> REF _RefFigure_profile \h </w:instrText>
      </w:r>
      <w:r>
        <w:fldChar w:fldCharType="separate"/>
      </w:r>
      <w:r w:rsidR="00C067F1">
        <w:rPr>
          <w:b/>
        </w:rPr>
        <w:t xml:space="preserve">Figure </w:t>
      </w:r>
      <w:r w:rsidR="00C067F1">
        <w:rPr>
          <w:b/>
          <w:noProof/>
        </w:rPr>
        <w:t>7</w:t>
      </w:r>
      <w:r>
        <w:fldChar w:fldCharType="end"/>
      </w:r>
      <w:r>
        <w:t>). Colder weeks coincide with higher ILI (Spearman ρ -0.36 to -0.60), but after removing seasonality the anomaly–growth correlation is -0.08 to 0.00 (</w:t>
      </w:r>
      <w:r>
        <w:fldChar w:fldCharType="begin"/>
      </w:r>
      <w:r>
        <w:instrText xml:space="preserve"> REF _RefFigure_corr \h </w:instrText>
      </w:r>
      <w:r>
        <w:fldChar w:fldCharType="separate"/>
      </w:r>
      <w:r w:rsidR="00C067F1">
        <w:rPr>
          <w:b/>
        </w:rPr>
        <w:t xml:space="preserve">Figure </w:t>
      </w:r>
      <w:r w:rsidR="00C067F1">
        <w:rPr>
          <w:b/>
          <w:noProof/>
        </w:rPr>
        <w:t>8</w:t>
      </w:r>
      <w:r>
        <w:fldChar w:fldCharType="end"/>
      </w:r>
      <w:r>
        <w:t>).</w:t>
      </w:r>
    </w:p>
    <w:p w14:paraId="5C9C3EFC" w14:textId="77777777" w:rsidR="00907B17" w:rsidRDefault="00000000">
      <w:pPr>
        <w:keepNext/>
        <w:jc w:val="center"/>
      </w:pPr>
      <w:r>
        <w:rPr>
          <w:noProof/>
        </w:rPr>
        <w:drawing>
          <wp:inline distT="0" distB="0" distL="0" distR="0" wp14:anchorId="7AB310B4" wp14:editId="4294D282">
            <wp:extent cx="5943600" cy="2526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_profile.png"/>
                    <pic:cNvPicPr/>
                  </pic:nvPicPr>
                  <pic:blipFill>
                    <a:blip r:embed="rId15"/>
                    <a:stretch>
                      <a:fillRect/>
                    </a:stretch>
                  </pic:blipFill>
                  <pic:spPr>
                    <a:xfrm>
                      <a:off x="0" y="0"/>
                      <a:ext cx="5943600" cy="2526846"/>
                    </a:xfrm>
                    <a:prstGeom prst="rect">
                      <a:avLst/>
                    </a:prstGeom>
                  </pic:spPr>
                </pic:pic>
              </a:graphicData>
            </a:graphic>
          </wp:inline>
        </w:drawing>
      </w:r>
    </w:p>
    <w:p w14:paraId="71291EF6" w14:textId="39C6027B" w:rsidR="00907B17" w:rsidRDefault="00000000">
      <w:pPr>
        <w:pStyle w:val="Caption"/>
      </w:pPr>
      <w:bookmarkStart w:id="7" w:name="_RefFigure_profile"/>
      <w:r>
        <w:rPr>
          <w:b/>
        </w:rPr>
        <w:t xml:space="preserve">Figure </w:t>
      </w:r>
      <w:r>
        <w:rPr>
          <w:b/>
        </w:rPr>
        <w:fldChar w:fldCharType="begin"/>
      </w:r>
      <w:r>
        <w:rPr>
          <w:b/>
        </w:rPr>
        <w:instrText xml:space="preserve"> SEQ Figure \* ARABIC </w:instrText>
      </w:r>
      <w:r>
        <w:rPr>
          <w:b/>
        </w:rPr>
        <w:fldChar w:fldCharType="separate"/>
      </w:r>
      <w:r w:rsidR="00C067F1">
        <w:rPr>
          <w:b/>
          <w:noProof/>
        </w:rPr>
        <w:t>7</w:t>
      </w:r>
      <w:r>
        <w:rPr>
          <w:b/>
        </w:rPr>
        <w:fldChar w:fldCharType="end"/>
      </w:r>
      <w:bookmarkEnd w:id="7"/>
      <w:r>
        <w:rPr>
          <w:b/>
        </w:rPr>
        <w:t xml:space="preserve">. </w:t>
      </w:r>
      <w:r>
        <w:t>Median state ILI share by week of season, every season 2010–11 to 2025-26. The surge always arrives in winter; its size does not follow a fixed pattern.</w:t>
      </w:r>
    </w:p>
    <w:p w14:paraId="5195C644" w14:textId="77777777" w:rsidR="00907B17" w:rsidRDefault="00000000">
      <w:pPr>
        <w:keepNext/>
        <w:jc w:val="center"/>
      </w:pPr>
      <w:r>
        <w:rPr>
          <w:noProof/>
        </w:rPr>
        <w:lastRenderedPageBreak/>
        <w:drawing>
          <wp:inline distT="0" distB="0" distL="0" distR="0" wp14:anchorId="625CAE80" wp14:editId="189F4636">
            <wp:extent cx="5943600" cy="2705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raw_vs_anomaly.png"/>
                    <pic:cNvPicPr/>
                  </pic:nvPicPr>
                  <pic:blipFill>
                    <a:blip r:embed="rId16"/>
                    <a:stretch>
                      <a:fillRect/>
                    </a:stretch>
                  </pic:blipFill>
                  <pic:spPr>
                    <a:xfrm>
                      <a:off x="0" y="0"/>
                      <a:ext cx="5943600" cy="2705183"/>
                    </a:xfrm>
                    <a:prstGeom prst="rect">
                      <a:avLst/>
                    </a:prstGeom>
                  </pic:spPr>
                </pic:pic>
              </a:graphicData>
            </a:graphic>
          </wp:inline>
        </w:drawing>
      </w:r>
    </w:p>
    <w:p w14:paraId="79E40520" w14:textId="739E8C8B" w:rsidR="00907B17" w:rsidRDefault="00000000">
      <w:pPr>
        <w:pStyle w:val="Caption"/>
      </w:pPr>
      <w:bookmarkStart w:id="8" w:name="_RefFigure_corr"/>
      <w:r>
        <w:rPr>
          <w:b/>
        </w:rPr>
        <w:t xml:space="preserve">Figure </w:t>
      </w:r>
      <w:r>
        <w:rPr>
          <w:b/>
        </w:rPr>
        <w:fldChar w:fldCharType="begin"/>
      </w:r>
      <w:r>
        <w:rPr>
          <w:b/>
        </w:rPr>
        <w:instrText xml:space="preserve"> SEQ Figure \* ARABIC </w:instrText>
      </w:r>
      <w:r>
        <w:rPr>
          <w:b/>
        </w:rPr>
        <w:fldChar w:fldCharType="separate"/>
      </w:r>
      <w:r w:rsidR="00C067F1">
        <w:rPr>
          <w:b/>
          <w:noProof/>
        </w:rPr>
        <w:t>8</w:t>
      </w:r>
      <w:r>
        <w:rPr>
          <w:b/>
        </w:rPr>
        <w:fldChar w:fldCharType="end"/>
      </w:r>
      <w:bookmarkEnd w:id="8"/>
      <w:r>
        <w:rPr>
          <w:b/>
        </w:rPr>
        <w:t xml:space="preserve">. </w:t>
      </w:r>
      <w:r>
        <w:t>Raw temperature–ILI correlation (light) versus the correlation after removing the seasonal cycle (dark), in-season weeks 2010–2026.</w:t>
      </w:r>
    </w:p>
    <w:p w14:paraId="3BA5A871" w14:textId="77777777" w:rsidR="00907B17" w:rsidRDefault="00000000">
      <w:pPr>
        <w:pStyle w:val="Heading2"/>
      </w:pPr>
      <w:r>
        <w:t>Hypothesis tests</w:t>
      </w:r>
    </w:p>
    <w:p w14:paraId="5D3BCEA4" w14:textId="39D01740" w:rsidR="00907B17" w:rsidRDefault="00000000">
      <w:r>
        <w:t>No temperature or timing hypothesis survives correction (</w:t>
      </w:r>
      <w:r>
        <w:fldChar w:fldCharType="begin"/>
      </w:r>
      <w:r>
        <w:instrText xml:space="preserve"> REF _RefTable_tests \h </w:instrText>
      </w:r>
      <w:r>
        <w:fldChar w:fldCharType="separate"/>
      </w:r>
      <w:r w:rsidR="00C067F1">
        <w:rPr>
          <w:b/>
        </w:rPr>
        <w:t xml:space="preserve">Table </w:t>
      </w:r>
      <w:r w:rsidR="00C067F1">
        <w:rPr>
          <w:b/>
          <w:noProof/>
        </w:rPr>
        <w:t>2</w:t>
      </w:r>
      <w:r>
        <w:fldChar w:fldCharType="end"/>
      </w:r>
      <w:r>
        <w:t>). The ED period's two cold winters were its biggest influenza seasons (</w:t>
      </w:r>
      <w:r>
        <w:fldChar w:fldCharType="begin"/>
      </w:r>
      <w:r>
        <w:instrText xml:space="preserve"> REF _RefFigure_county \h </w:instrText>
      </w:r>
      <w:r>
        <w:fldChar w:fldCharType="separate"/>
      </w:r>
      <w:r w:rsidR="00C067F1">
        <w:rPr>
          <w:b/>
        </w:rPr>
        <w:t xml:space="preserve">Figure </w:t>
      </w:r>
      <w:r w:rsidR="00C067F1">
        <w:rPr>
          <w:b/>
          <w:noProof/>
        </w:rPr>
        <w:t>4</w:t>
      </w:r>
      <w:r>
        <w:fldChar w:fldCharType="end"/>
      </w:r>
      <w:r>
        <w:t>), but four seasons cannot separate weather from strains. RSV peaked about four weeks before influenza in 3 of 4 seasons, but the order reversed in 2025-26.</w:t>
      </w:r>
    </w:p>
    <w:tbl>
      <w:tblPr>
        <w:tblW w:w="0" w:type="auto"/>
        <w:jc w:val="center"/>
        <w:tblLayout w:type="fixed"/>
        <w:tblLook w:val="04A0" w:firstRow="1" w:lastRow="0" w:firstColumn="1" w:lastColumn="0" w:noHBand="0" w:noVBand="1"/>
      </w:tblPr>
      <w:tblGrid>
        <w:gridCol w:w="504"/>
        <w:gridCol w:w="2736"/>
        <w:gridCol w:w="1728"/>
        <w:gridCol w:w="1872"/>
        <w:gridCol w:w="576"/>
        <w:gridCol w:w="792"/>
        <w:gridCol w:w="1152"/>
      </w:tblGrid>
      <w:tr w:rsidR="00907B17" w14:paraId="694D75C0" w14:textId="77777777" w:rsidTr="00BA5F22">
        <w:trPr>
          <w:cantSplit/>
          <w:tblHeader/>
          <w:jc w:val="center"/>
        </w:trPr>
        <w:tc>
          <w:tcPr>
            <w:tcW w:w="504" w:type="dxa"/>
            <w:tcBorders>
              <w:bottom w:val="single" w:sz="4" w:space="0" w:color="94A3B8"/>
            </w:tcBorders>
            <w:shd w:val="clear" w:color="auto" w:fill="E6EEF6"/>
            <w:vAlign w:val="center"/>
          </w:tcPr>
          <w:p w14:paraId="5A735061" w14:textId="77777777" w:rsidR="00907B17" w:rsidRDefault="00907B17" w:rsidP="00BA5F22">
            <w:pPr>
              <w:keepNext/>
              <w:spacing w:before="40" w:after="40"/>
            </w:pPr>
          </w:p>
        </w:tc>
        <w:tc>
          <w:tcPr>
            <w:tcW w:w="2736" w:type="dxa"/>
            <w:tcBorders>
              <w:bottom w:val="single" w:sz="4" w:space="0" w:color="94A3B8"/>
            </w:tcBorders>
            <w:shd w:val="clear" w:color="auto" w:fill="E6EEF6"/>
            <w:vAlign w:val="center"/>
          </w:tcPr>
          <w:p w14:paraId="14DF7B2C" w14:textId="77777777" w:rsidR="00907B17" w:rsidRDefault="00000000" w:rsidP="00BA5F22">
            <w:pPr>
              <w:keepNext/>
              <w:spacing w:before="40" w:after="40"/>
            </w:pPr>
            <w:r>
              <w:rPr>
                <w:b/>
                <w:sz w:val="16"/>
              </w:rPr>
              <w:t>Alternative hypothesis</w:t>
            </w:r>
          </w:p>
        </w:tc>
        <w:tc>
          <w:tcPr>
            <w:tcW w:w="1728" w:type="dxa"/>
            <w:tcBorders>
              <w:bottom w:val="single" w:sz="4" w:space="0" w:color="94A3B8"/>
            </w:tcBorders>
            <w:shd w:val="clear" w:color="auto" w:fill="E6EEF6"/>
            <w:vAlign w:val="center"/>
          </w:tcPr>
          <w:p w14:paraId="5C8509F8" w14:textId="77777777" w:rsidR="00907B17" w:rsidRDefault="00000000" w:rsidP="00BA5F22">
            <w:pPr>
              <w:keepNext/>
              <w:spacing w:before="40" w:after="40"/>
            </w:pPr>
            <w:r>
              <w:rPr>
                <w:b/>
                <w:sz w:val="16"/>
              </w:rPr>
              <w:t>Estimate</w:t>
            </w:r>
          </w:p>
        </w:tc>
        <w:tc>
          <w:tcPr>
            <w:tcW w:w="1872" w:type="dxa"/>
            <w:tcBorders>
              <w:bottom w:val="single" w:sz="4" w:space="0" w:color="94A3B8"/>
            </w:tcBorders>
            <w:shd w:val="clear" w:color="auto" w:fill="E6EEF6"/>
            <w:vAlign w:val="center"/>
          </w:tcPr>
          <w:p w14:paraId="76DC57C4" w14:textId="77777777" w:rsidR="00907B17" w:rsidRDefault="00000000" w:rsidP="00BA5F22">
            <w:pPr>
              <w:keepNext/>
              <w:spacing w:before="40" w:after="40"/>
            </w:pPr>
            <w:r>
              <w:rPr>
                <w:b/>
                <w:sz w:val="16"/>
              </w:rPr>
              <w:t>Test</w:t>
            </w:r>
          </w:p>
        </w:tc>
        <w:tc>
          <w:tcPr>
            <w:tcW w:w="576" w:type="dxa"/>
            <w:tcBorders>
              <w:bottom w:val="single" w:sz="4" w:space="0" w:color="94A3B8"/>
            </w:tcBorders>
            <w:shd w:val="clear" w:color="auto" w:fill="E6EEF6"/>
            <w:vAlign w:val="center"/>
          </w:tcPr>
          <w:p w14:paraId="7E1FF0E3" w14:textId="77777777" w:rsidR="00907B17" w:rsidRDefault="00000000" w:rsidP="00BA5F22">
            <w:pPr>
              <w:keepNext/>
              <w:spacing w:before="40" w:after="40"/>
            </w:pPr>
            <w:r>
              <w:rPr>
                <w:b/>
                <w:sz w:val="16"/>
              </w:rPr>
              <w:t>n</w:t>
            </w:r>
          </w:p>
        </w:tc>
        <w:tc>
          <w:tcPr>
            <w:tcW w:w="792" w:type="dxa"/>
            <w:tcBorders>
              <w:bottom w:val="single" w:sz="4" w:space="0" w:color="94A3B8"/>
            </w:tcBorders>
            <w:shd w:val="clear" w:color="auto" w:fill="E6EEF6"/>
            <w:vAlign w:val="center"/>
          </w:tcPr>
          <w:p w14:paraId="2A6929E1" w14:textId="77777777" w:rsidR="00907B17" w:rsidRDefault="00000000" w:rsidP="00BA5F22">
            <w:pPr>
              <w:keepNext/>
              <w:spacing w:before="40" w:after="40"/>
            </w:pPr>
            <w:r>
              <w:rPr>
                <w:b/>
                <w:sz w:val="16"/>
              </w:rPr>
              <w:t>Holm p</w:t>
            </w:r>
          </w:p>
        </w:tc>
        <w:tc>
          <w:tcPr>
            <w:tcW w:w="1152" w:type="dxa"/>
            <w:tcBorders>
              <w:bottom w:val="single" w:sz="4" w:space="0" w:color="94A3B8"/>
            </w:tcBorders>
            <w:shd w:val="clear" w:color="auto" w:fill="E6EEF6"/>
            <w:vAlign w:val="center"/>
          </w:tcPr>
          <w:p w14:paraId="1F78687E" w14:textId="77777777" w:rsidR="00907B17" w:rsidRDefault="00000000" w:rsidP="00BA5F22">
            <w:pPr>
              <w:keepNext/>
              <w:spacing w:before="40" w:after="40"/>
            </w:pPr>
            <w:r>
              <w:rPr>
                <w:b/>
                <w:sz w:val="16"/>
              </w:rPr>
              <w:t>Decision</w:t>
            </w:r>
          </w:p>
        </w:tc>
      </w:tr>
      <w:tr w:rsidR="00907B17" w14:paraId="26905B75" w14:textId="77777777">
        <w:trPr>
          <w:cantSplit/>
          <w:jc w:val="center"/>
        </w:trPr>
        <w:tc>
          <w:tcPr>
            <w:tcW w:w="504" w:type="dxa"/>
            <w:tcBorders>
              <w:bottom w:val="single" w:sz="4" w:space="0" w:color="E4E3DF"/>
            </w:tcBorders>
          </w:tcPr>
          <w:p w14:paraId="5BAB27A2" w14:textId="77777777" w:rsidR="00907B17" w:rsidRDefault="00000000">
            <w:pPr>
              <w:keepNext/>
              <w:spacing w:before="40" w:after="40"/>
            </w:pPr>
            <w:r>
              <w:rPr>
                <w:sz w:val="16"/>
              </w:rPr>
              <w:t>H1</w:t>
            </w:r>
          </w:p>
        </w:tc>
        <w:tc>
          <w:tcPr>
            <w:tcW w:w="2736" w:type="dxa"/>
            <w:tcBorders>
              <w:bottom w:val="single" w:sz="4" w:space="0" w:color="E4E3DF"/>
            </w:tcBorders>
          </w:tcPr>
          <w:p w14:paraId="501C465F" w14:textId="77777777" w:rsidR="00907B17" w:rsidRDefault="00000000">
            <w:pPr>
              <w:keepNext/>
              <w:spacing w:before="40" w:after="40"/>
            </w:pPr>
            <w:r>
              <w:rPr>
                <w:sz w:val="16"/>
              </w:rPr>
              <w:t>Colder winters have different peak ILI size</w:t>
            </w:r>
          </w:p>
        </w:tc>
        <w:tc>
          <w:tcPr>
            <w:tcW w:w="1728" w:type="dxa"/>
            <w:tcBorders>
              <w:bottom w:val="single" w:sz="4" w:space="0" w:color="E4E3DF"/>
            </w:tcBorders>
          </w:tcPr>
          <w:p w14:paraId="67C48027" w14:textId="77777777" w:rsidR="00907B17" w:rsidRDefault="00000000">
            <w:pPr>
              <w:keepNext/>
              <w:spacing w:before="40" w:after="40"/>
            </w:pPr>
            <w:r>
              <w:rPr>
                <w:sz w:val="16"/>
              </w:rPr>
              <w:t>+0.030 pp per °F</w:t>
            </w:r>
          </w:p>
        </w:tc>
        <w:tc>
          <w:tcPr>
            <w:tcW w:w="1872" w:type="dxa"/>
            <w:tcBorders>
              <w:bottom w:val="single" w:sz="4" w:space="0" w:color="E4E3DF"/>
            </w:tcBorders>
          </w:tcPr>
          <w:p w14:paraId="7875499B" w14:textId="77777777" w:rsidR="00907B17" w:rsidRDefault="00000000">
            <w:pPr>
              <w:keepNext/>
              <w:spacing w:before="40" w:after="40"/>
            </w:pPr>
            <w:r>
              <w:rPr>
                <w:sz w:val="16"/>
              </w:rPr>
              <w:t>season permutation</w:t>
            </w:r>
          </w:p>
        </w:tc>
        <w:tc>
          <w:tcPr>
            <w:tcW w:w="576" w:type="dxa"/>
            <w:tcBorders>
              <w:bottom w:val="single" w:sz="4" w:space="0" w:color="E4E3DF"/>
            </w:tcBorders>
          </w:tcPr>
          <w:p w14:paraId="4695BFA9" w14:textId="77777777" w:rsidR="00907B17" w:rsidRDefault="00000000">
            <w:pPr>
              <w:keepNext/>
              <w:spacing w:before="40" w:after="40"/>
            </w:pPr>
            <w:r>
              <w:rPr>
                <w:sz w:val="16"/>
              </w:rPr>
              <w:t>135</w:t>
            </w:r>
          </w:p>
        </w:tc>
        <w:tc>
          <w:tcPr>
            <w:tcW w:w="792" w:type="dxa"/>
            <w:tcBorders>
              <w:bottom w:val="single" w:sz="4" w:space="0" w:color="E4E3DF"/>
            </w:tcBorders>
          </w:tcPr>
          <w:p w14:paraId="79E69613" w14:textId="77777777" w:rsidR="00907B17" w:rsidRDefault="00000000">
            <w:pPr>
              <w:keepNext/>
              <w:spacing w:before="40" w:after="40"/>
            </w:pPr>
            <w:r>
              <w:rPr>
                <w:sz w:val="16"/>
              </w:rPr>
              <w:t>1.00</w:t>
            </w:r>
          </w:p>
        </w:tc>
        <w:tc>
          <w:tcPr>
            <w:tcW w:w="1152" w:type="dxa"/>
            <w:tcBorders>
              <w:bottom w:val="single" w:sz="4" w:space="0" w:color="E4E3DF"/>
            </w:tcBorders>
          </w:tcPr>
          <w:p w14:paraId="1E185562" w14:textId="77777777" w:rsidR="00907B17" w:rsidRDefault="00000000">
            <w:pPr>
              <w:keepNext/>
              <w:spacing w:before="40" w:after="40"/>
            </w:pPr>
            <w:r>
              <w:rPr>
                <w:sz w:val="16"/>
              </w:rPr>
              <w:t>not rejected</w:t>
            </w:r>
          </w:p>
        </w:tc>
      </w:tr>
      <w:tr w:rsidR="00907B17" w14:paraId="306285ED" w14:textId="77777777">
        <w:trPr>
          <w:cantSplit/>
          <w:jc w:val="center"/>
        </w:trPr>
        <w:tc>
          <w:tcPr>
            <w:tcW w:w="504" w:type="dxa"/>
            <w:tcBorders>
              <w:bottom w:val="single" w:sz="4" w:space="0" w:color="E4E3DF"/>
            </w:tcBorders>
          </w:tcPr>
          <w:p w14:paraId="0B115C97" w14:textId="77777777" w:rsidR="00907B17" w:rsidRDefault="00000000">
            <w:pPr>
              <w:keepNext/>
              <w:spacing w:before="40" w:after="40"/>
            </w:pPr>
            <w:r>
              <w:rPr>
                <w:sz w:val="16"/>
              </w:rPr>
              <w:t>H2</w:t>
            </w:r>
          </w:p>
        </w:tc>
        <w:tc>
          <w:tcPr>
            <w:tcW w:w="2736" w:type="dxa"/>
            <w:tcBorders>
              <w:bottom w:val="single" w:sz="4" w:space="0" w:color="E4E3DF"/>
            </w:tcBorders>
          </w:tcPr>
          <w:p w14:paraId="3419D277" w14:textId="77777777" w:rsidR="00907B17" w:rsidRDefault="00000000">
            <w:pPr>
              <w:keepNext/>
              <w:spacing w:before="40" w:after="40"/>
            </w:pPr>
            <w:r>
              <w:rPr>
                <w:sz w:val="16"/>
              </w:rPr>
              <w:t>Colder winters have different peak ILI timing</w:t>
            </w:r>
          </w:p>
        </w:tc>
        <w:tc>
          <w:tcPr>
            <w:tcW w:w="1728" w:type="dxa"/>
            <w:tcBorders>
              <w:bottom w:val="single" w:sz="4" w:space="0" w:color="E4E3DF"/>
            </w:tcBorders>
          </w:tcPr>
          <w:p w14:paraId="5DABEF41" w14:textId="77777777" w:rsidR="00907B17" w:rsidRDefault="00000000">
            <w:pPr>
              <w:keepNext/>
              <w:spacing w:before="40" w:after="40"/>
            </w:pPr>
            <w:r>
              <w:rPr>
                <w:sz w:val="16"/>
              </w:rPr>
              <w:t>-0.205 weeks per °F</w:t>
            </w:r>
          </w:p>
        </w:tc>
        <w:tc>
          <w:tcPr>
            <w:tcW w:w="1872" w:type="dxa"/>
            <w:tcBorders>
              <w:bottom w:val="single" w:sz="4" w:space="0" w:color="E4E3DF"/>
            </w:tcBorders>
          </w:tcPr>
          <w:p w14:paraId="28066A28" w14:textId="77777777" w:rsidR="00907B17" w:rsidRDefault="00000000">
            <w:pPr>
              <w:keepNext/>
              <w:spacing w:before="40" w:after="40"/>
            </w:pPr>
            <w:r>
              <w:rPr>
                <w:sz w:val="16"/>
              </w:rPr>
              <w:t>season permutation</w:t>
            </w:r>
          </w:p>
        </w:tc>
        <w:tc>
          <w:tcPr>
            <w:tcW w:w="576" w:type="dxa"/>
            <w:tcBorders>
              <w:bottom w:val="single" w:sz="4" w:space="0" w:color="E4E3DF"/>
            </w:tcBorders>
          </w:tcPr>
          <w:p w14:paraId="19233655" w14:textId="77777777" w:rsidR="00907B17" w:rsidRDefault="00000000">
            <w:pPr>
              <w:keepNext/>
              <w:spacing w:before="40" w:after="40"/>
            </w:pPr>
            <w:r>
              <w:rPr>
                <w:sz w:val="16"/>
              </w:rPr>
              <w:t>135</w:t>
            </w:r>
          </w:p>
        </w:tc>
        <w:tc>
          <w:tcPr>
            <w:tcW w:w="792" w:type="dxa"/>
            <w:tcBorders>
              <w:bottom w:val="single" w:sz="4" w:space="0" w:color="E4E3DF"/>
            </w:tcBorders>
          </w:tcPr>
          <w:p w14:paraId="76E81E63" w14:textId="77777777" w:rsidR="00907B17" w:rsidRDefault="00000000">
            <w:pPr>
              <w:keepNext/>
              <w:spacing w:before="40" w:after="40"/>
            </w:pPr>
            <w:r>
              <w:rPr>
                <w:sz w:val="16"/>
              </w:rPr>
              <w:t>1.00</w:t>
            </w:r>
          </w:p>
        </w:tc>
        <w:tc>
          <w:tcPr>
            <w:tcW w:w="1152" w:type="dxa"/>
            <w:tcBorders>
              <w:bottom w:val="single" w:sz="4" w:space="0" w:color="E4E3DF"/>
            </w:tcBorders>
          </w:tcPr>
          <w:p w14:paraId="41E2AF0E" w14:textId="77777777" w:rsidR="00907B17" w:rsidRDefault="00000000">
            <w:pPr>
              <w:keepNext/>
              <w:spacing w:before="40" w:after="40"/>
            </w:pPr>
            <w:r>
              <w:rPr>
                <w:sz w:val="16"/>
              </w:rPr>
              <w:t>not rejected</w:t>
            </w:r>
          </w:p>
        </w:tc>
      </w:tr>
      <w:tr w:rsidR="00907B17" w14:paraId="3F65F67A" w14:textId="77777777">
        <w:trPr>
          <w:cantSplit/>
          <w:jc w:val="center"/>
        </w:trPr>
        <w:tc>
          <w:tcPr>
            <w:tcW w:w="504" w:type="dxa"/>
            <w:tcBorders>
              <w:bottom w:val="single" w:sz="4" w:space="0" w:color="E4E3DF"/>
            </w:tcBorders>
          </w:tcPr>
          <w:p w14:paraId="4EB8A6C5" w14:textId="77777777" w:rsidR="00907B17" w:rsidRDefault="00000000">
            <w:pPr>
              <w:keepNext/>
              <w:spacing w:before="40" w:after="40"/>
            </w:pPr>
            <w:r>
              <w:rPr>
                <w:sz w:val="16"/>
              </w:rPr>
              <w:t>H3</w:t>
            </w:r>
          </w:p>
        </w:tc>
        <w:tc>
          <w:tcPr>
            <w:tcW w:w="2736" w:type="dxa"/>
            <w:tcBorders>
              <w:bottom w:val="single" w:sz="4" w:space="0" w:color="E4E3DF"/>
            </w:tcBorders>
          </w:tcPr>
          <w:p w14:paraId="1CE2ACF5" w14:textId="77777777" w:rsidR="00907B17" w:rsidRDefault="00000000">
            <w:pPr>
              <w:keepNext/>
              <w:spacing w:before="40" w:after="40"/>
            </w:pPr>
            <w:r>
              <w:rPr>
                <w:sz w:val="16"/>
              </w:rPr>
              <w:t>Temperature anomaly changes 2-week ILI growth</w:t>
            </w:r>
          </w:p>
        </w:tc>
        <w:tc>
          <w:tcPr>
            <w:tcW w:w="1728" w:type="dxa"/>
            <w:tcBorders>
              <w:bottom w:val="single" w:sz="4" w:space="0" w:color="E4E3DF"/>
            </w:tcBorders>
          </w:tcPr>
          <w:p w14:paraId="3F12013B" w14:textId="77777777" w:rsidR="00907B17" w:rsidRDefault="00000000">
            <w:pPr>
              <w:keepNext/>
              <w:spacing w:before="40" w:after="40"/>
            </w:pPr>
            <w:r>
              <w:rPr>
                <w:sz w:val="16"/>
              </w:rPr>
              <w:t>-0.0016 log per °F</w:t>
            </w:r>
          </w:p>
        </w:tc>
        <w:tc>
          <w:tcPr>
            <w:tcW w:w="1872" w:type="dxa"/>
            <w:tcBorders>
              <w:bottom w:val="single" w:sz="4" w:space="0" w:color="E4E3DF"/>
            </w:tcBorders>
          </w:tcPr>
          <w:p w14:paraId="30C60030" w14:textId="77777777" w:rsidR="00907B17" w:rsidRDefault="00000000">
            <w:pPr>
              <w:keepNext/>
              <w:spacing w:before="40" w:after="40"/>
            </w:pPr>
            <w:r>
              <w:rPr>
                <w:sz w:val="16"/>
              </w:rPr>
              <w:t>OLS, season-clustered</w:t>
            </w:r>
          </w:p>
        </w:tc>
        <w:tc>
          <w:tcPr>
            <w:tcW w:w="576" w:type="dxa"/>
            <w:tcBorders>
              <w:bottom w:val="single" w:sz="4" w:space="0" w:color="E4E3DF"/>
            </w:tcBorders>
          </w:tcPr>
          <w:p w14:paraId="3701FD6A" w14:textId="77777777" w:rsidR="00907B17" w:rsidRDefault="00000000">
            <w:pPr>
              <w:keepNext/>
              <w:spacing w:before="40" w:after="40"/>
            </w:pPr>
            <w:r>
              <w:rPr>
                <w:sz w:val="16"/>
              </w:rPr>
              <w:t>4387</w:t>
            </w:r>
          </w:p>
        </w:tc>
        <w:tc>
          <w:tcPr>
            <w:tcW w:w="792" w:type="dxa"/>
            <w:tcBorders>
              <w:bottom w:val="single" w:sz="4" w:space="0" w:color="E4E3DF"/>
            </w:tcBorders>
          </w:tcPr>
          <w:p w14:paraId="6263AC63" w14:textId="77777777" w:rsidR="00907B17" w:rsidRDefault="00000000">
            <w:pPr>
              <w:keepNext/>
              <w:spacing w:before="40" w:after="40"/>
            </w:pPr>
            <w:r>
              <w:rPr>
                <w:sz w:val="16"/>
              </w:rPr>
              <w:t>1.00</w:t>
            </w:r>
          </w:p>
        </w:tc>
        <w:tc>
          <w:tcPr>
            <w:tcW w:w="1152" w:type="dxa"/>
            <w:tcBorders>
              <w:bottom w:val="single" w:sz="4" w:space="0" w:color="E4E3DF"/>
            </w:tcBorders>
          </w:tcPr>
          <w:p w14:paraId="24D94CD9" w14:textId="77777777" w:rsidR="00907B17" w:rsidRDefault="00000000">
            <w:pPr>
              <w:keepNext/>
              <w:spacing w:before="40" w:after="40"/>
            </w:pPr>
            <w:r>
              <w:rPr>
                <w:sz w:val="16"/>
              </w:rPr>
              <w:t>not rejected</w:t>
            </w:r>
          </w:p>
        </w:tc>
      </w:tr>
      <w:tr w:rsidR="00907B17" w14:paraId="7E2845EA" w14:textId="77777777">
        <w:trPr>
          <w:cantSplit/>
          <w:jc w:val="center"/>
        </w:trPr>
        <w:tc>
          <w:tcPr>
            <w:tcW w:w="504" w:type="dxa"/>
            <w:tcBorders>
              <w:bottom w:val="single" w:sz="4" w:space="0" w:color="E4E3DF"/>
            </w:tcBorders>
          </w:tcPr>
          <w:p w14:paraId="45AD7166" w14:textId="77777777" w:rsidR="00907B17" w:rsidRDefault="00000000">
            <w:pPr>
              <w:keepNext/>
              <w:spacing w:before="40" w:after="40"/>
            </w:pPr>
            <w:r>
              <w:rPr>
                <w:sz w:val="16"/>
              </w:rPr>
              <w:t>H4</w:t>
            </w:r>
          </w:p>
        </w:tc>
        <w:tc>
          <w:tcPr>
            <w:tcW w:w="2736" w:type="dxa"/>
            <w:tcBorders>
              <w:bottom w:val="single" w:sz="4" w:space="0" w:color="E4E3DF"/>
            </w:tcBorders>
          </w:tcPr>
          <w:p w14:paraId="29E4300C" w14:textId="77777777" w:rsidR="00907B17" w:rsidRDefault="00000000">
            <w:pPr>
              <w:keepNext/>
              <w:spacing w:before="40" w:after="40"/>
            </w:pPr>
            <w:r>
              <w:rPr>
                <w:sz w:val="16"/>
              </w:rPr>
              <w:t>RSV peaks before influenza (ED)</w:t>
            </w:r>
          </w:p>
        </w:tc>
        <w:tc>
          <w:tcPr>
            <w:tcW w:w="1728" w:type="dxa"/>
            <w:tcBorders>
              <w:bottom w:val="single" w:sz="4" w:space="0" w:color="E4E3DF"/>
            </w:tcBorders>
          </w:tcPr>
          <w:p w14:paraId="3213F59B" w14:textId="77777777" w:rsidR="00907B17" w:rsidRDefault="00000000">
            <w:pPr>
              <w:keepNext/>
              <w:spacing w:before="40" w:after="40"/>
            </w:pPr>
            <w:r>
              <w:rPr>
                <w:sz w:val="16"/>
              </w:rPr>
              <w:t>median -4.0 weeks</w:t>
            </w:r>
          </w:p>
        </w:tc>
        <w:tc>
          <w:tcPr>
            <w:tcW w:w="1872" w:type="dxa"/>
            <w:tcBorders>
              <w:bottom w:val="single" w:sz="4" w:space="0" w:color="E4E3DF"/>
            </w:tcBorders>
          </w:tcPr>
          <w:p w14:paraId="42C20C75" w14:textId="77777777" w:rsidR="00907B17" w:rsidRDefault="00000000">
            <w:pPr>
              <w:keepNext/>
              <w:spacing w:before="40" w:after="40"/>
            </w:pPr>
            <w:r>
              <w:rPr>
                <w:sz w:val="16"/>
              </w:rPr>
              <w:t>Wilcoxon signed-rank</w:t>
            </w:r>
          </w:p>
        </w:tc>
        <w:tc>
          <w:tcPr>
            <w:tcW w:w="576" w:type="dxa"/>
            <w:tcBorders>
              <w:bottom w:val="single" w:sz="4" w:space="0" w:color="E4E3DF"/>
            </w:tcBorders>
          </w:tcPr>
          <w:p w14:paraId="2964B37B" w14:textId="77777777" w:rsidR="00907B17" w:rsidRDefault="00000000">
            <w:pPr>
              <w:keepNext/>
              <w:spacing w:before="40" w:after="40"/>
            </w:pPr>
            <w:r>
              <w:rPr>
                <w:sz w:val="16"/>
              </w:rPr>
              <w:t>36</w:t>
            </w:r>
          </w:p>
        </w:tc>
        <w:tc>
          <w:tcPr>
            <w:tcW w:w="792" w:type="dxa"/>
            <w:tcBorders>
              <w:bottom w:val="single" w:sz="4" w:space="0" w:color="E4E3DF"/>
            </w:tcBorders>
          </w:tcPr>
          <w:p w14:paraId="17463A65" w14:textId="77777777" w:rsidR="00907B17" w:rsidRDefault="00000000">
            <w:pPr>
              <w:keepNext/>
              <w:spacing w:before="40" w:after="40"/>
            </w:pPr>
            <w:r>
              <w:rPr>
                <w:sz w:val="16"/>
              </w:rPr>
              <w:t>0.92</w:t>
            </w:r>
          </w:p>
        </w:tc>
        <w:tc>
          <w:tcPr>
            <w:tcW w:w="1152" w:type="dxa"/>
            <w:tcBorders>
              <w:bottom w:val="single" w:sz="4" w:space="0" w:color="E4E3DF"/>
            </w:tcBorders>
          </w:tcPr>
          <w:p w14:paraId="7C3AFDD1" w14:textId="77777777" w:rsidR="00907B17" w:rsidRDefault="00000000">
            <w:pPr>
              <w:keepNext/>
              <w:spacing w:before="40" w:after="40"/>
            </w:pPr>
            <w:r>
              <w:rPr>
                <w:sz w:val="16"/>
              </w:rPr>
              <w:t>not rejected</w:t>
            </w:r>
          </w:p>
        </w:tc>
      </w:tr>
      <w:tr w:rsidR="00907B17" w14:paraId="3F1A7C25" w14:textId="77777777">
        <w:trPr>
          <w:cantSplit/>
          <w:jc w:val="center"/>
        </w:trPr>
        <w:tc>
          <w:tcPr>
            <w:tcW w:w="504" w:type="dxa"/>
            <w:tcBorders>
              <w:bottom w:val="single" w:sz="4" w:space="0" w:color="E4E3DF"/>
            </w:tcBorders>
          </w:tcPr>
          <w:p w14:paraId="6A0F201C" w14:textId="77777777" w:rsidR="00907B17" w:rsidRDefault="00000000">
            <w:pPr>
              <w:keepNext/>
              <w:spacing w:before="40" w:after="40"/>
            </w:pPr>
            <w:r>
              <w:rPr>
                <w:sz w:val="16"/>
              </w:rPr>
              <w:t>H5</w:t>
            </w:r>
          </w:p>
        </w:tc>
        <w:tc>
          <w:tcPr>
            <w:tcW w:w="2736" w:type="dxa"/>
            <w:tcBorders>
              <w:bottom w:val="single" w:sz="4" w:space="0" w:color="E4E3DF"/>
            </w:tcBorders>
          </w:tcPr>
          <w:p w14:paraId="614FC6FC" w14:textId="77777777" w:rsidR="00907B17" w:rsidRDefault="00000000">
            <w:pPr>
              <w:keepNext/>
              <w:spacing w:before="40" w:after="40"/>
            </w:pPr>
            <w:r>
              <w:rPr>
                <w:sz w:val="16"/>
              </w:rPr>
              <w:t>Temperature improves Chronos-2 (ILI)</w:t>
            </w:r>
          </w:p>
        </w:tc>
        <w:tc>
          <w:tcPr>
            <w:tcW w:w="1728" w:type="dxa"/>
            <w:tcBorders>
              <w:bottom w:val="single" w:sz="4" w:space="0" w:color="E4E3DF"/>
            </w:tcBorders>
          </w:tcPr>
          <w:p w14:paraId="4C919234" w14:textId="77777777" w:rsidR="00907B17" w:rsidRDefault="00000000">
            <w:pPr>
              <w:keepNext/>
              <w:spacing w:before="40" w:after="40"/>
            </w:pPr>
            <w:r>
              <w:rPr>
                <w:sz w:val="16"/>
              </w:rPr>
              <w:t>+0.0081 pp</w:t>
            </w:r>
          </w:p>
        </w:tc>
        <w:tc>
          <w:tcPr>
            <w:tcW w:w="1872" w:type="dxa"/>
            <w:tcBorders>
              <w:bottom w:val="single" w:sz="4" w:space="0" w:color="E4E3DF"/>
            </w:tcBorders>
          </w:tcPr>
          <w:p w14:paraId="07A2BADF" w14:textId="77777777" w:rsidR="00907B17" w:rsidRDefault="00000000">
            <w:pPr>
              <w:keepNext/>
              <w:spacing w:before="40" w:after="40"/>
            </w:pPr>
            <w:r>
              <w:rPr>
                <w:sz w:val="16"/>
              </w:rPr>
              <w:t>block sign-flip</w:t>
            </w:r>
          </w:p>
        </w:tc>
        <w:tc>
          <w:tcPr>
            <w:tcW w:w="576" w:type="dxa"/>
            <w:tcBorders>
              <w:bottom w:val="single" w:sz="4" w:space="0" w:color="E4E3DF"/>
            </w:tcBorders>
          </w:tcPr>
          <w:p w14:paraId="08E7B8A9" w14:textId="77777777" w:rsidR="00907B17" w:rsidRDefault="00000000">
            <w:pPr>
              <w:keepNext/>
              <w:spacing w:before="40" w:after="40"/>
            </w:pPr>
            <w:r>
              <w:rPr>
                <w:sz w:val="16"/>
              </w:rPr>
              <w:t>27</w:t>
            </w:r>
          </w:p>
        </w:tc>
        <w:tc>
          <w:tcPr>
            <w:tcW w:w="792" w:type="dxa"/>
            <w:tcBorders>
              <w:bottom w:val="single" w:sz="4" w:space="0" w:color="E4E3DF"/>
            </w:tcBorders>
          </w:tcPr>
          <w:p w14:paraId="3CA3CEFC" w14:textId="77777777" w:rsidR="00907B17" w:rsidRDefault="00000000">
            <w:pPr>
              <w:keepNext/>
              <w:spacing w:before="40" w:after="40"/>
            </w:pPr>
            <w:r>
              <w:rPr>
                <w:sz w:val="16"/>
              </w:rPr>
              <w:t>1.00</w:t>
            </w:r>
          </w:p>
        </w:tc>
        <w:tc>
          <w:tcPr>
            <w:tcW w:w="1152" w:type="dxa"/>
            <w:tcBorders>
              <w:bottom w:val="single" w:sz="4" w:space="0" w:color="E4E3DF"/>
            </w:tcBorders>
          </w:tcPr>
          <w:p w14:paraId="73487E19" w14:textId="77777777" w:rsidR="00907B17" w:rsidRDefault="00000000">
            <w:pPr>
              <w:keepNext/>
              <w:spacing w:before="40" w:after="40"/>
            </w:pPr>
            <w:r>
              <w:rPr>
                <w:sz w:val="16"/>
              </w:rPr>
              <w:t>not rejected</w:t>
            </w:r>
          </w:p>
        </w:tc>
      </w:tr>
      <w:tr w:rsidR="00907B17" w14:paraId="5A5958FF" w14:textId="77777777">
        <w:trPr>
          <w:cantSplit/>
          <w:jc w:val="center"/>
        </w:trPr>
        <w:tc>
          <w:tcPr>
            <w:tcW w:w="504" w:type="dxa"/>
            <w:tcBorders>
              <w:bottom w:val="single" w:sz="4" w:space="0" w:color="E4E3DF"/>
            </w:tcBorders>
          </w:tcPr>
          <w:p w14:paraId="7619630B" w14:textId="77777777" w:rsidR="00907B17" w:rsidRDefault="00000000">
            <w:pPr>
              <w:keepNext/>
              <w:spacing w:before="40" w:after="40"/>
            </w:pPr>
            <w:r>
              <w:rPr>
                <w:sz w:val="16"/>
              </w:rPr>
              <w:t>H6</w:t>
            </w:r>
          </w:p>
        </w:tc>
        <w:tc>
          <w:tcPr>
            <w:tcW w:w="2736" w:type="dxa"/>
            <w:tcBorders>
              <w:bottom w:val="single" w:sz="4" w:space="0" w:color="E4E3DF"/>
            </w:tcBorders>
          </w:tcPr>
          <w:p w14:paraId="46F98166" w14:textId="77777777" w:rsidR="00907B17" w:rsidRDefault="00000000">
            <w:pPr>
              <w:keepNext/>
              <w:spacing w:before="40" w:after="40"/>
            </w:pPr>
            <w:r>
              <w:rPr>
                <w:sz w:val="16"/>
              </w:rPr>
              <w:t>Temperature improves Chronos-2 (ED)</w:t>
            </w:r>
          </w:p>
        </w:tc>
        <w:tc>
          <w:tcPr>
            <w:tcW w:w="1728" w:type="dxa"/>
            <w:tcBorders>
              <w:bottom w:val="single" w:sz="4" w:space="0" w:color="E4E3DF"/>
            </w:tcBorders>
          </w:tcPr>
          <w:p w14:paraId="6CE60F2D" w14:textId="77777777" w:rsidR="00907B17" w:rsidRDefault="00000000">
            <w:pPr>
              <w:keepNext/>
              <w:spacing w:before="40" w:after="40"/>
            </w:pPr>
            <w:r>
              <w:rPr>
                <w:sz w:val="16"/>
              </w:rPr>
              <w:t>+0.0085 pp</w:t>
            </w:r>
          </w:p>
        </w:tc>
        <w:tc>
          <w:tcPr>
            <w:tcW w:w="1872" w:type="dxa"/>
            <w:tcBorders>
              <w:bottom w:val="single" w:sz="4" w:space="0" w:color="E4E3DF"/>
            </w:tcBorders>
          </w:tcPr>
          <w:p w14:paraId="50E12B7B" w14:textId="77777777" w:rsidR="00907B17" w:rsidRDefault="00000000">
            <w:pPr>
              <w:keepNext/>
              <w:spacing w:before="40" w:after="40"/>
            </w:pPr>
            <w:r>
              <w:rPr>
                <w:sz w:val="16"/>
              </w:rPr>
              <w:t>block sign-flip</w:t>
            </w:r>
          </w:p>
        </w:tc>
        <w:tc>
          <w:tcPr>
            <w:tcW w:w="576" w:type="dxa"/>
            <w:tcBorders>
              <w:bottom w:val="single" w:sz="4" w:space="0" w:color="E4E3DF"/>
            </w:tcBorders>
          </w:tcPr>
          <w:p w14:paraId="694DEA5E" w14:textId="77777777" w:rsidR="00907B17" w:rsidRDefault="00000000">
            <w:pPr>
              <w:keepNext/>
              <w:spacing w:before="40" w:after="40"/>
            </w:pPr>
            <w:r>
              <w:rPr>
                <w:sz w:val="16"/>
              </w:rPr>
              <w:t>54</w:t>
            </w:r>
          </w:p>
        </w:tc>
        <w:tc>
          <w:tcPr>
            <w:tcW w:w="792" w:type="dxa"/>
            <w:tcBorders>
              <w:bottom w:val="single" w:sz="4" w:space="0" w:color="E4E3DF"/>
            </w:tcBorders>
          </w:tcPr>
          <w:p w14:paraId="6D250C6F" w14:textId="77777777" w:rsidR="00907B17" w:rsidRDefault="00000000">
            <w:pPr>
              <w:keepNext/>
              <w:spacing w:before="40" w:after="40"/>
            </w:pPr>
            <w:r>
              <w:rPr>
                <w:sz w:val="16"/>
              </w:rPr>
              <w:t>1.00</w:t>
            </w:r>
          </w:p>
        </w:tc>
        <w:tc>
          <w:tcPr>
            <w:tcW w:w="1152" w:type="dxa"/>
            <w:tcBorders>
              <w:bottom w:val="single" w:sz="4" w:space="0" w:color="E4E3DF"/>
            </w:tcBorders>
          </w:tcPr>
          <w:p w14:paraId="415AFAEE" w14:textId="77777777" w:rsidR="00907B17" w:rsidRDefault="00000000">
            <w:pPr>
              <w:keepNext/>
              <w:spacing w:before="40" w:after="40"/>
            </w:pPr>
            <w:r>
              <w:rPr>
                <w:sz w:val="16"/>
              </w:rPr>
              <w:t>not rejected</w:t>
            </w:r>
          </w:p>
        </w:tc>
      </w:tr>
      <w:tr w:rsidR="00907B17" w14:paraId="61E05F12" w14:textId="77777777">
        <w:trPr>
          <w:cantSplit/>
          <w:jc w:val="center"/>
        </w:trPr>
        <w:tc>
          <w:tcPr>
            <w:tcW w:w="504" w:type="dxa"/>
            <w:tcBorders>
              <w:bottom w:val="single" w:sz="4" w:space="0" w:color="E4E3DF"/>
            </w:tcBorders>
          </w:tcPr>
          <w:p w14:paraId="30B814FD" w14:textId="77777777" w:rsidR="00907B17" w:rsidRDefault="00000000">
            <w:pPr>
              <w:keepNext/>
              <w:spacing w:before="40" w:after="40"/>
            </w:pPr>
            <w:r>
              <w:rPr>
                <w:sz w:val="16"/>
              </w:rPr>
              <w:t>H7</w:t>
            </w:r>
          </w:p>
        </w:tc>
        <w:tc>
          <w:tcPr>
            <w:tcW w:w="2736" w:type="dxa"/>
            <w:tcBorders>
              <w:bottom w:val="single" w:sz="4" w:space="0" w:color="E4E3DF"/>
            </w:tcBorders>
          </w:tcPr>
          <w:p w14:paraId="210A0C66" w14:textId="77777777" w:rsidR="00907B17" w:rsidRDefault="00000000">
            <w:pPr>
              <w:keepNext/>
              <w:spacing w:before="40" w:after="40"/>
            </w:pPr>
            <w:r>
              <w:rPr>
                <w:sz w:val="16"/>
              </w:rPr>
              <w:t>Chronos-2 beats persistence (power check)</w:t>
            </w:r>
          </w:p>
        </w:tc>
        <w:tc>
          <w:tcPr>
            <w:tcW w:w="1728" w:type="dxa"/>
            <w:tcBorders>
              <w:bottom w:val="single" w:sz="4" w:space="0" w:color="E4E3DF"/>
            </w:tcBorders>
          </w:tcPr>
          <w:p w14:paraId="198A5A68" w14:textId="77777777" w:rsidR="00907B17" w:rsidRDefault="00000000">
            <w:pPr>
              <w:keepNext/>
              <w:spacing w:before="40" w:after="40"/>
            </w:pPr>
            <w:r>
              <w:rPr>
                <w:sz w:val="16"/>
              </w:rPr>
              <w:t>-0.1859 pp</w:t>
            </w:r>
          </w:p>
        </w:tc>
        <w:tc>
          <w:tcPr>
            <w:tcW w:w="1872" w:type="dxa"/>
            <w:tcBorders>
              <w:bottom w:val="single" w:sz="4" w:space="0" w:color="E4E3DF"/>
            </w:tcBorders>
          </w:tcPr>
          <w:p w14:paraId="6BBB07D8" w14:textId="77777777" w:rsidR="00907B17" w:rsidRDefault="00000000">
            <w:pPr>
              <w:keepNext/>
              <w:spacing w:before="40" w:after="40"/>
            </w:pPr>
            <w:r>
              <w:rPr>
                <w:sz w:val="16"/>
              </w:rPr>
              <w:t>block sign-flip</w:t>
            </w:r>
          </w:p>
        </w:tc>
        <w:tc>
          <w:tcPr>
            <w:tcW w:w="576" w:type="dxa"/>
            <w:tcBorders>
              <w:bottom w:val="single" w:sz="4" w:space="0" w:color="E4E3DF"/>
            </w:tcBorders>
          </w:tcPr>
          <w:p w14:paraId="0128CEED" w14:textId="77777777" w:rsidR="00907B17" w:rsidRDefault="00000000">
            <w:pPr>
              <w:keepNext/>
              <w:spacing w:before="40" w:after="40"/>
            </w:pPr>
            <w:r>
              <w:rPr>
                <w:sz w:val="16"/>
              </w:rPr>
              <w:t>27</w:t>
            </w:r>
          </w:p>
        </w:tc>
        <w:tc>
          <w:tcPr>
            <w:tcW w:w="792" w:type="dxa"/>
            <w:tcBorders>
              <w:bottom w:val="single" w:sz="4" w:space="0" w:color="E4E3DF"/>
            </w:tcBorders>
          </w:tcPr>
          <w:p w14:paraId="15970B54" w14:textId="77777777" w:rsidR="00907B17" w:rsidRDefault="00000000">
            <w:pPr>
              <w:keepNext/>
              <w:spacing w:before="40" w:after="40"/>
            </w:pPr>
            <w:r>
              <w:rPr>
                <w:sz w:val="16"/>
              </w:rPr>
              <w:t>&lt; 0.001</w:t>
            </w:r>
          </w:p>
        </w:tc>
        <w:tc>
          <w:tcPr>
            <w:tcW w:w="1152" w:type="dxa"/>
            <w:tcBorders>
              <w:bottom w:val="single" w:sz="4" w:space="0" w:color="E4E3DF"/>
            </w:tcBorders>
          </w:tcPr>
          <w:p w14:paraId="5E9A55F4" w14:textId="77777777" w:rsidR="00907B17" w:rsidRDefault="00000000">
            <w:pPr>
              <w:keepNext/>
              <w:spacing w:before="40" w:after="40"/>
            </w:pPr>
            <w:r>
              <w:rPr>
                <w:sz w:val="16"/>
              </w:rPr>
              <w:t>reject</w:t>
            </w:r>
          </w:p>
        </w:tc>
      </w:tr>
    </w:tbl>
    <w:p w14:paraId="77AC2D92" w14:textId="2FE37BEE" w:rsidR="00907B17" w:rsidRDefault="00000000">
      <w:pPr>
        <w:pStyle w:val="Caption"/>
        <w:spacing w:before="80"/>
      </w:pPr>
      <w:bookmarkStart w:id="9" w:name="_RefTable_tests"/>
      <w:r>
        <w:rPr>
          <w:b/>
        </w:rPr>
        <w:t xml:space="preserve">Table </w:t>
      </w:r>
      <w:r>
        <w:rPr>
          <w:b/>
        </w:rPr>
        <w:fldChar w:fldCharType="begin"/>
      </w:r>
      <w:r>
        <w:rPr>
          <w:b/>
        </w:rPr>
        <w:instrText xml:space="preserve"> SEQ Table \* ARABIC </w:instrText>
      </w:r>
      <w:r>
        <w:rPr>
          <w:b/>
        </w:rPr>
        <w:fldChar w:fldCharType="separate"/>
      </w:r>
      <w:r w:rsidR="00C067F1">
        <w:rPr>
          <w:b/>
          <w:noProof/>
        </w:rPr>
        <w:t>2</w:t>
      </w:r>
      <w:r>
        <w:rPr>
          <w:b/>
        </w:rPr>
        <w:fldChar w:fldCharType="end"/>
      </w:r>
      <w:bookmarkEnd w:id="9"/>
      <w:r>
        <w:rPr>
          <w:b/>
        </w:rPr>
        <w:t xml:space="preserve">. </w:t>
      </w:r>
      <w:r>
        <w:t>Hypothesis tests (α = 0.05, Holm-corrected across H1–H7). Estimates: H1 pp per °F; H2 weeks per °F; H3 log growth per °F; H4 median weeks; H5–H7 MAE difference (pp).</w:t>
      </w:r>
    </w:p>
    <w:p w14:paraId="235D39CB" w14:textId="53B9DB92" w:rsidR="00907B17" w:rsidRDefault="00000000">
      <w:r>
        <w:t xml:space="preserve">Reporting drift is a real back-door path: the time trend correlates with both the anomaly (r = 0.28) and peak ILI (r = 0.46). Controlling for providers, trend and the definition change keeps every slope near zero (p &gt; 0.3; </w:t>
      </w:r>
      <w:r>
        <w:fldChar w:fldCharType="begin"/>
      </w:r>
      <w:r>
        <w:instrText xml:space="preserve"> REF _RefFigure_reporting \h </w:instrText>
      </w:r>
      <w:r>
        <w:fldChar w:fldCharType="separate"/>
      </w:r>
      <w:r w:rsidR="00C067F1">
        <w:rPr>
          <w:b/>
        </w:rPr>
        <w:t xml:space="preserve">Figure </w:t>
      </w:r>
      <w:r w:rsidR="00C067F1">
        <w:rPr>
          <w:b/>
          <w:noProof/>
        </w:rPr>
        <w:t>9</w:t>
      </w:r>
      <w:r>
        <w:fldChar w:fldCharType="end"/>
      </w:r>
      <w:r>
        <w:t>). Adding the trend nudges the peak-size slope toward "colder means bigger", so drift could hide a small effect, but none is detectable.</w:t>
      </w:r>
    </w:p>
    <w:p w14:paraId="4A7EEF0C" w14:textId="77777777" w:rsidR="00907B17" w:rsidRDefault="00000000">
      <w:pPr>
        <w:keepNext/>
        <w:jc w:val="center"/>
      </w:pPr>
      <w:r>
        <w:rPr>
          <w:noProof/>
        </w:rPr>
        <w:lastRenderedPageBreak/>
        <w:drawing>
          <wp:inline distT="0" distB="0" distL="0" distR="0" wp14:anchorId="315533B3" wp14:editId="2CAD28B4">
            <wp:extent cx="5943600" cy="1924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robustness.png"/>
                    <pic:cNvPicPr/>
                  </pic:nvPicPr>
                  <pic:blipFill>
                    <a:blip r:embed="rId17"/>
                    <a:stretch>
                      <a:fillRect/>
                    </a:stretch>
                  </pic:blipFill>
                  <pic:spPr>
                    <a:xfrm>
                      <a:off x="0" y="0"/>
                      <a:ext cx="5943600" cy="1924565"/>
                    </a:xfrm>
                    <a:prstGeom prst="rect">
                      <a:avLst/>
                    </a:prstGeom>
                  </pic:spPr>
                </pic:pic>
              </a:graphicData>
            </a:graphic>
          </wp:inline>
        </w:drawing>
      </w:r>
    </w:p>
    <w:p w14:paraId="02A57216" w14:textId="25B30858" w:rsidR="00907B17" w:rsidRDefault="00000000">
      <w:pPr>
        <w:pStyle w:val="Caption"/>
      </w:pPr>
      <w:bookmarkStart w:id="10" w:name="_RefFigure_reporting"/>
      <w:r>
        <w:rPr>
          <w:b/>
        </w:rPr>
        <w:t xml:space="preserve">Figure </w:t>
      </w:r>
      <w:r>
        <w:rPr>
          <w:b/>
        </w:rPr>
        <w:fldChar w:fldCharType="begin"/>
      </w:r>
      <w:r>
        <w:rPr>
          <w:b/>
        </w:rPr>
        <w:instrText xml:space="preserve"> SEQ Figure \* ARABIC </w:instrText>
      </w:r>
      <w:r>
        <w:rPr>
          <w:b/>
        </w:rPr>
        <w:fldChar w:fldCharType="separate"/>
      </w:r>
      <w:r w:rsidR="00C067F1">
        <w:rPr>
          <w:b/>
          <w:noProof/>
        </w:rPr>
        <w:t>9</w:t>
      </w:r>
      <w:r>
        <w:rPr>
          <w:b/>
        </w:rPr>
        <w:fldChar w:fldCharType="end"/>
      </w:r>
      <w:bookmarkEnd w:id="10"/>
      <w:r>
        <w:rPr>
          <w:b/>
        </w:rPr>
        <w:t xml:space="preserve">. </w:t>
      </w:r>
      <w:r>
        <w:t>Temperature slopes for ILI peak size, timing and baseline-normalized peak, as tested and with reporting controls (state fixed effects; 95% intervals clustered by season). The last row uses only seasons under the current ILI definition.</w:t>
      </w:r>
    </w:p>
    <w:p w14:paraId="2016577D" w14:textId="77777777" w:rsidR="00907B17" w:rsidRDefault="00000000">
      <w:pPr>
        <w:pStyle w:val="Heading2"/>
      </w:pPr>
      <w:r>
        <w:t>Forecasting</w:t>
      </w:r>
    </w:p>
    <w:p w14:paraId="1427114F" w14:textId="5C4884BF" w:rsidR="00907B17" w:rsidRDefault="00000000">
      <w:r>
        <w:t>Chronos-2 beat both baselines at every horizon (</w:t>
      </w:r>
      <w:r>
        <w:fldChar w:fldCharType="begin"/>
      </w:r>
      <w:r>
        <w:instrText xml:space="preserve"> REF _RefFigure_mae \h </w:instrText>
      </w:r>
      <w:r>
        <w:fldChar w:fldCharType="separate"/>
      </w:r>
      <w:r w:rsidR="00C067F1">
        <w:rPr>
          <w:b/>
        </w:rPr>
        <w:t xml:space="preserve">Figure </w:t>
      </w:r>
      <w:r w:rsidR="00C067F1">
        <w:rPr>
          <w:b/>
          <w:noProof/>
        </w:rPr>
        <w:t>10</w:t>
      </w:r>
      <w:r>
        <w:fldChar w:fldCharType="end"/>
      </w:r>
      <w:r>
        <w:t xml:space="preserve">, </w:t>
      </w:r>
      <w:r>
        <w:fldChar w:fldCharType="begin"/>
      </w:r>
      <w:r>
        <w:instrText xml:space="preserve"> REF _RefTable_metrics \h </w:instrText>
      </w:r>
      <w:r>
        <w:fldChar w:fldCharType="separate"/>
      </w:r>
      <w:r w:rsidR="00C067F1">
        <w:rPr>
          <w:b/>
        </w:rPr>
        <w:t xml:space="preserve">Table </w:t>
      </w:r>
      <w:r w:rsidR="00C067F1">
        <w:rPr>
          <w:b/>
          <w:noProof/>
        </w:rPr>
        <w:t>3</w:t>
      </w:r>
      <w:r>
        <w:fldChar w:fldCharType="end"/>
      </w:r>
      <w:r>
        <w:t>), cutting four-week error by 26% (ILI) and 31% (ED). Temperature, even its actual future values, did not help (H5, H6), though the same test detected Chronos-2's gain (H7). ED intervals were too narrow (70% coverage).</w:t>
      </w:r>
    </w:p>
    <w:p w14:paraId="39CFC556" w14:textId="77777777" w:rsidR="00907B17" w:rsidRDefault="00000000">
      <w:pPr>
        <w:keepNext/>
        <w:jc w:val="center"/>
      </w:pPr>
      <w:r>
        <w:rPr>
          <w:noProof/>
        </w:rPr>
        <w:drawing>
          <wp:inline distT="0" distB="0" distL="0" distR="0" wp14:anchorId="09FF5098" wp14:editId="22C38A79">
            <wp:extent cx="5943600" cy="2383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mae_by_horizon.png"/>
                    <pic:cNvPicPr/>
                  </pic:nvPicPr>
                  <pic:blipFill>
                    <a:blip r:embed="rId18"/>
                    <a:stretch>
                      <a:fillRect/>
                    </a:stretch>
                  </pic:blipFill>
                  <pic:spPr>
                    <a:xfrm>
                      <a:off x="0" y="0"/>
                      <a:ext cx="5943600" cy="2383047"/>
                    </a:xfrm>
                    <a:prstGeom prst="rect">
                      <a:avLst/>
                    </a:prstGeom>
                  </pic:spPr>
                </pic:pic>
              </a:graphicData>
            </a:graphic>
          </wp:inline>
        </w:drawing>
      </w:r>
    </w:p>
    <w:p w14:paraId="72D25293" w14:textId="6EC3EF40" w:rsidR="00907B17" w:rsidRDefault="00000000">
      <w:pPr>
        <w:pStyle w:val="Caption"/>
      </w:pPr>
      <w:bookmarkStart w:id="11" w:name="_RefFigure_mae"/>
      <w:r>
        <w:rPr>
          <w:b/>
        </w:rPr>
        <w:t xml:space="preserve">Figure </w:t>
      </w:r>
      <w:r>
        <w:rPr>
          <w:b/>
        </w:rPr>
        <w:fldChar w:fldCharType="begin"/>
      </w:r>
      <w:r>
        <w:rPr>
          <w:b/>
        </w:rPr>
        <w:instrText xml:space="preserve"> SEQ Figure \* ARABIC </w:instrText>
      </w:r>
      <w:r>
        <w:rPr>
          <w:b/>
        </w:rPr>
        <w:fldChar w:fldCharType="separate"/>
      </w:r>
      <w:r w:rsidR="00C067F1">
        <w:rPr>
          <w:b/>
          <w:noProof/>
        </w:rPr>
        <w:t>10</w:t>
      </w:r>
      <w:r>
        <w:rPr>
          <w:b/>
        </w:rPr>
        <w:fldChar w:fldCharType="end"/>
      </w:r>
      <w:bookmarkEnd w:id="11"/>
      <w:r>
        <w:rPr>
          <w:b/>
        </w:rPr>
        <w:t xml:space="preserve">. </w:t>
      </w:r>
      <w:r>
        <w:t>Rolling-origin forecast error by horizon. ILI: 9 states, 2022-23 to 2024-25. ED: 9 states × 3 pathogens, 2024-25 and 2025-26.</w:t>
      </w:r>
    </w:p>
    <w:tbl>
      <w:tblPr>
        <w:tblW w:w="0" w:type="auto"/>
        <w:jc w:val="center"/>
        <w:tblLayout w:type="fixed"/>
        <w:tblLook w:val="04A0" w:firstRow="1" w:lastRow="0" w:firstColumn="1" w:lastColumn="0" w:noHBand="0" w:noVBand="1"/>
      </w:tblPr>
      <w:tblGrid>
        <w:gridCol w:w="2880"/>
        <w:gridCol w:w="864"/>
        <w:gridCol w:w="864"/>
        <w:gridCol w:w="1080"/>
        <w:gridCol w:w="864"/>
        <w:gridCol w:w="864"/>
        <w:gridCol w:w="1080"/>
      </w:tblGrid>
      <w:tr w:rsidR="00907B17" w14:paraId="7F8EC3B3" w14:textId="77777777" w:rsidTr="00BA5F22">
        <w:trPr>
          <w:cantSplit/>
          <w:tblHeader/>
          <w:jc w:val="center"/>
        </w:trPr>
        <w:tc>
          <w:tcPr>
            <w:tcW w:w="2880" w:type="dxa"/>
            <w:tcBorders>
              <w:bottom w:val="single" w:sz="4" w:space="0" w:color="94A3B8"/>
            </w:tcBorders>
            <w:shd w:val="clear" w:color="auto" w:fill="E6EEF6"/>
            <w:vAlign w:val="center"/>
          </w:tcPr>
          <w:p w14:paraId="09B6C58B" w14:textId="77777777" w:rsidR="00907B17" w:rsidRDefault="00000000" w:rsidP="00BA5F22">
            <w:pPr>
              <w:keepNext/>
              <w:spacing w:before="40" w:after="40"/>
            </w:pPr>
            <w:r>
              <w:rPr>
                <w:b/>
                <w:sz w:val="16"/>
              </w:rPr>
              <w:t>Model</w:t>
            </w:r>
          </w:p>
        </w:tc>
        <w:tc>
          <w:tcPr>
            <w:tcW w:w="864" w:type="dxa"/>
            <w:tcBorders>
              <w:bottom w:val="single" w:sz="4" w:space="0" w:color="94A3B8"/>
            </w:tcBorders>
            <w:shd w:val="clear" w:color="auto" w:fill="E6EEF6"/>
            <w:vAlign w:val="center"/>
          </w:tcPr>
          <w:p w14:paraId="43C52DCD" w14:textId="77777777" w:rsidR="00907B17" w:rsidRDefault="00000000" w:rsidP="00BA5F22">
            <w:pPr>
              <w:keepNext/>
              <w:spacing w:before="40" w:after="40"/>
            </w:pPr>
            <w:r>
              <w:rPr>
                <w:b/>
                <w:sz w:val="16"/>
              </w:rPr>
              <w:t>ILI MAE</w:t>
            </w:r>
          </w:p>
        </w:tc>
        <w:tc>
          <w:tcPr>
            <w:tcW w:w="864" w:type="dxa"/>
            <w:tcBorders>
              <w:bottom w:val="single" w:sz="4" w:space="0" w:color="94A3B8"/>
            </w:tcBorders>
            <w:shd w:val="clear" w:color="auto" w:fill="E6EEF6"/>
            <w:vAlign w:val="center"/>
          </w:tcPr>
          <w:p w14:paraId="7E7AF62C" w14:textId="77777777" w:rsidR="00907B17" w:rsidRDefault="00000000" w:rsidP="00BA5F22">
            <w:pPr>
              <w:keepNext/>
              <w:spacing w:before="40" w:after="40"/>
            </w:pPr>
            <w:r>
              <w:rPr>
                <w:b/>
                <w:sz w:val="16"/>
              </w:rPr>
              <w:t>ILI WQL</w:t>
            </w:r>
          </w:p>
        </w:tc>
        <w:tc>
          <w:tcPr>
            <w:tcW w:w="1080" w:type="dxa"/>
            <w:tcBorders>
              <w:bottom w:val="single" w:sz="4" w:space="0" w:color="94A3B8"/>
            </w:tcBorders>
            <w:shd w:val="clear" w:color="auto" w:fill="E6EEF6"/>
            <w:vAlign w:val="center"/>
          </w:tcPr>
          <w:p w14:paraId="4E42FAFB" w14:textId="77777777" w:rsidR="00907B17" w:rsidRDefault="00000000" w:rsidP="00BA5F22">
            <w:pPr>
              <w:keepNext/>
              <w:spacing w:before="40" w:after="40"/>
            </w:pPr>
            <w:r>
              <w:rPr>
                <w:b/>
                <w:sz w:val="16"/>
              </w:rPr>
              <w:t>ILI 80% cover.</w:t>
            </w:r>
          </w:p>
        </w:tc>
        <w:tc>
          <w:tcPr>
            <w:tcW w:w="864" w:type="dxa"/>
            <w:tcBorders>
              <w:bottom w:val="single" w:sz="4" w:space="0" w:color="94A3B8"/>
            </w:tcBorders>
            <w:shd w:val="clear" w:color="auto" w:fill="E6EEF6"/>
            <w:vAlign w:val="center"/>
          </w:tcPr>
          <w:p w14:paraId="7AA358E7" w14:textId="77777777" w:rsidR="00907B17" w:rsidRDefault="00000000" w:rsidP="00BA5F22">
            <w:pPr>
              <w:keepNext/>
              <w:spacing w:before="40" w:after="40"/>
            </w:pPr>
            <w:r>
              <w:rPr>
                <w:b/>
                <w:sz w:val="16"/>
              </w:rPr>
              <w:t>ED MAE</w:t>
            </w:r>
          </w:p>
        </w:tc>
        <w:tc>
          <w:tcPr>
            <w:tcW w:w="864" w:type="dxa"/>
            <w:tcBorders>
              <w:bottom w:val="single" w:sz="4" w:space="0" w:color="94A3B8"/>
            </w:tcBorders>
            <w:shd w:val="clear" w:color="auto" w:fill="E6EEF6"/>
            <w:vAlign w:val="center"/>
          </w:tcPr>
          <w:p w14:paraId="6796A16F" w14:textId="77777777" w:rsidR="00907B17" w:rsidRDefault="00000000" w:rsidP="00BA5F22">
            <w:pPr>
              <w:keepNext/>
              <w:spacing w:before="40" w:after="40"/>
            </w:pPr>
            <w:r>
              <w:rPr>
                <w:b/>
                <w:sz w:val="16"/>
              </w:rPr>
              <w:t>ED WQL</w:t>
            </w:r>
          </w:p>
        </w:tc>
        <w:tc>
          <w:tcPr>
            <w:tcW w:w="1080" w:type="dxa"/>
            <w:tcBorders>
              <w:bottom w:val="single" w:sz="4" w:space="0" w:color="94A3B8"/>
            </w:tcBorders>
            <w:shd w:val="clear" w:color="auto" w:fill="E6EEF6"/>
            <w:vAlign w:val="center"/>
          </w:tcPr>
          <w:p w14:paraId="18BC0168" w14:textId="77777777" w:rsidR="00907B17" w:rsidRDefault="00000000" w:rsidP="00BA5F22">
            <w:pPr>
              <w:keepNext/>
              <w:spacing w:before="40" w:after="40"/>
            </w:pPr>
            <w:r>
              <w:rPr>
                <w:b/>
                <w:sz w:val="16"/>
              </w:rPr>
              <w:t>ED 80% cover.</w:t>
            </w:r>
          </w:p>
        </w:tc>
      </w:tr>
      <w:tr w:rsidR="00907B17" w14:paraId="32F8DAE9" w14:textId="77777777">
        <w:trPr>
          <w:cantSplit/>
          <w:jc w:val="center"/>
        </w:trPr>
        <w:tc>
          <w:tcPr>
            <w:tcW w:w="2880" w:type="dxa"/>
            <w:tcBorders>
              <w:bottom w:val="single" w:sz="4" w:space="0" w:color="E4E3DF"/>
            </w:tcBorders>
          </w:tcPr>
          <w:p w14:paraId="22F6B0D3" w14:textId="77777777" w:rsidR="00907B17" w:rsidRDefault="00000000">
            <w:pPr>
              <w:keepNext/>
              <w:spacing w:before="40" w:after="40"/>
            </w:pPr>
            <w:r>
              <w:rPr>
                <w:sz w:val="16"/>
              </w:rPr>
              <w:t>Persistence</w:t>
            </w:r>
          </w:p>
        </w:tc>
        <w:tc>
          <w:tcPr>
            <w:tcW w:w="864" w:type="dxa"/>
            <w:tcBorders>
              <w:bottom w:val="single" w:sz="4" w:space="0" w:color="E4E3DF"/>
            </w:tcBorders>
          </w:tcPr>
          <w:p w14:paraId="6CEA5FCC" w14:textId="77777777" w:rsidR="00907B17" w:rsidRDefault="00000000">
            <w:pPr>
              <w:keepNext/>
              <w:spacing w:before="40" w:after="40"/>
            </w:pPr>
            <w:r>
              <w:rPr>
                <w:sz w:val="16"/>
              </w:rPr>
              <w:t>0.91</w:t>
            </w:r>
          </w:p>
        </w:tc>
        <w:tc>
          <w:tcPr>
            <w:tcW w:w="864" w:type="dxa"/>
            <w:tcBorders>
              <w:bottom w:val="single" w:sz="4" w:space="0" w:color="E4E3DF"/>
            </w:tcBorders>
          </w:tcPr>
          <w:p w14:paraId="766A0A72" w14:textId="77777777" w:rsidR="00907B17" w:rsidRDefault="00000000">
            <w:pPr>
              <w:keepNext/>
              <w:spacing w:before="40" w:after="40"/>
            </w:pPr>
            <w:r>
              <w:rPr>
                <w:sz w:val="16"/>
              </w:rPr>
              <w:t>–</w:t>
            </w:r>
          </w:p>
        </w:tc>
        <w:tc>
          <w:tcPr>
            <w:tcW w:w="1080" w:type="dxa"/>
            <w:tcBorders>
              <w:bottom w:val="single" w:sz="4" w:space="0" w:color="E4E3DF"/>
            </w:tcBorders>
          </w:tcPr>
          <w:p w14:paraId="5D1FA27C" w14:textId="77777777" w:rsidR="00907B17" w:rsidRDefault="00000000">
            <w:pPr>
              <w:keepNext/>
              <w:spacing w:before="40" w:after="40"/>
            </w:pPr>
            <w:r>
              <w:rPr>
                <w:sz w:val="16"/>
              </w:rPr>
              <w:t>–</w:t>
            </w:r>
          </w:p>
        </w:tc>
        <w:tc>
          <w:tcPr>
            <w:tcW w:w="864" w:type="dxa"/>
            <w:tcBorders>
              <w:bottom w:val="single" w:sz="4" w:space="0" w:color="E4E3DF"/>
            </w:tcBorders>
          </w:tcPr>
          <w:p w14:paraId="21A95E9E" w14:textId="77777777" w:rsidR="00907B17" w:rsidRDefault="00000000">
            <w:pPr>
              <w:keepNext/>
              <w:spacing w:before="40" w:after="40"/>
            </w:pPr>
            <w:r>
              <w:rPr>
                <w:sz w:val="16"/>
              </w:rPr>
              <w:t>0.53</w:t>
            </w:r>
          </w:p>
        </w:tc>
        <w:tc>
          <w:tcPr>
            <w:tcW w:w="864" w:type="dxa"/>
            <w:tcBorders>
              <w:bottom w:val="single" w:sz="4" w:space="0" w:color="E4E3DF"/>
            </w:tcBorders>
          </w:tcPr>
          <w:p w14:paraId="799F98A1" w14:textId="77777777" w:rsidR="00907B17" w:rsidRDefault="00000000">
            <w:pPr>
              <w:keepNext/>
              <w:spacing w:before="40" w:after="40"/>
            </w:pPr>
            <w:r>
              <w:rPr>
                <w:sz w:val="16"/>
              </w:rPr>
              <w:t>–</w:t>
            </w:r>
          </w:p>
        </w:tc>
        <w:tc>
          <w:tcPr>
            <w:tcW w:w="1080" w:type="dxa"/>
            <w:tcBorders>
              <w:bottom w:val="single" w:sz="4" w:space="0" w:color="E4E3DF"/>
            </w:tcBorders>
          </w:tcPr>
          <w:p w14:paraId="7AAF5265" w14:textId="77777777" w:rsidR="00907B17" w:rsidRDefault="00000000">
            <w:pPr>
              <w:keepNext/>
              <w:spacing w:before="40" w:after="40"/>
            </w:pPr>
            <w:r>
              <w:rPr>
                <w:sz w:val="16"/>
              </w:rPr>
              <w:t>–</w:t>
            </w:r>
          </w:p>
        </w:tc>
      </w:tr>
      <w:tr w:rsidR="00907B17" w14:paraId="15AF0D43" w14:textId="77777777">
        <w:trPr>
          <w:cantSplit/>
          <w:jc w:val="center"/>
        </w:trPr>
        <w:tc>
          <w:tcPr>
            <w:tcW w:w="2880" w:type="dxa"/>
            <w:tcBorders>
              <w:bottom w:val="single" w:sz="4" w:space="0" w:color="E4E3DF"/>
            </w:tcBorders>
          </w:tcPr>
          <w:p w14:paraId="0FF2FDFB" w14:textId="77777777" w:rsidR="00907B17" w:rsidRDefault="00000000">
            <w:pPr>
              <w:keepNext/>
              <w:spacing w:before="40" w:after="40"/>
            </w:pPr>
            <w:r>
              <w:rPr>
                <w:sz w:val="16"/>
              </w:rPr>
              <w:t>Climatology</w:t>
            </w:r>
          </w:p>
        </w:tc>
        <w:tc>
          <w:tcPr>
            <w:tcW w:w="864" w:type="dxa"/>
            <w:tcBorders>
              <w:bottom w:val="single" w:sz="4" w:space="0" w:color="E4E3DF"/>
            </w:tcBorders>
          </w:tcPr>
          <w:p w14:paraId="780637C8" w14:textId="77777777" w:rsidR="00907B17" w:rsidRDefault="00000000">
            <w:pPr>
              <w:keepNext/>
              <w:spacing w:before="40" w:after="40"/>
            </w:pPr>
            <w:r>
              <w:rPr>
                <w:sz w:val="16"/>
              </w:rPr>
              <w:t>1.55</w:t>
            </w:r>
          </w:p>
        </w:tc>
        <w:tc>
          <w:tcPr>
            <w:tcW w:w="864" w:type="dxa"/>
            <w:tcBorders>
              <w:bottom w:val="single" w:sz="4" w:space="0" w:color="E4E3DF"/>
            </w:tcBorders>
          </w:tcPr>
          <w:p w14:paraId="2196FD4D" w14:textId="77777777" w:rsidR="00907B17" w:rsidRDefault="00000000">
            <w:pPr>
              <w:keepNext/>
              <w:spacing w:before="40" w:after="40"/>
            </w:pPr>
            <w:r>
              <w:rPr>
                <w:sz w:val="16"/>
              </w:rPr>
              <w:t>–</w:t>
            </w:r>
          </w:p>
        </w:tc>
        <w:tc>
          <w:tcPr>
            <w:tcW w:w="1080" w:type="dxa"/>
            <w:tcBorders>
              <w:bottom w:val="single" w:sz="4" w:space="0" w:color="E4E3DF"/>
            </w:tcBorders>
          </w:tcPr>
          <w:p w14:paraId="38804060" w14:textId="77777777" w:rsidR="00907B17" w:rsidRDefault="00000000">
            <w:pPr>
              <w:keepNext/>
              <w:spacing w:before="40" w:after="40"/>
            </w:pPr>
            <w:r>
              <w:rPr>
                <w:sz w:val="16"/>
              </w:rPr>
              <w:t>–</w:t>
            </w:r>
          </w:p>
        </w:tc>
        <w:tc>
          <w:tcPr>
            <w:tcW w:w="864" w:type="dxa"/>
            <w:tcBorders>
              <w:bottom w:val="single" w:sz="4" w:space="0" w:color="E4E3DF"/>
            </w:tcBorders>
          </w:tcPr>
          <w:p w14:paraId="2B326EB4" w14:textId="77777777" w:rsidR="00907B17" w:rsidRDefault="00000000">
            <w:pPr>
              <w:keepNext/>
              <w:spacing w:before="40" w:after="40"/>
            </w:pPr>
            <w:r>
              <w:rPr>
                <w:sz w:val="16"/>
              </w:rPr>
              <w:t>1.00</w:t>
            </w:r>
          </w:p>
        </w:tc>
        <w:tc>
          <w:tcPr>
            <w:tcW w:w="864" w:type="dxa"/>
            <w:tcBorders>
              <w:bottom w:val="single" w:sz="4" w:space="0" w:color="E4E3DF"/>
            </w:tcBorders>
          </w:tcPr>
          <w:p w14:paraId="48CDC256" w14:textId="77777777" w:rsidR="00907B17" w:rsidRDefault="00000000">
            <w:pPr>
              <w:keepNext/>
              <w:spacing w:before="40" w:after="40"/>
            </w:pPr>
            <w:r>
              <w:rPr>
                <w:sz w:val="16"/>
              </w:rPr>
              <w:t>–</w:t>
            </w:r>
          </w:p>
        </w:tc>
        <w:tc>
          <w:tcPr>
            <w:tcW w:w="1080" w:type="dxa"/>
            <w:tcBorders>
              <w:bottom w:val="single" w:sz="4" w:space="0" w:color="E4E3DF"/>
            </w:tcBorders>
          </w:tcPr>
          <w:p w14:paraId="18A53A02" w14:textId="77777777" w:rsidR="00907B17" w:rsidRDefault="00000000">
            <w:pPr>
              <w:keepNext/>
              <w:spacing w:before="40" w:after="40"/>
            </w:pPr>
            <w:r>
              <w:rPr>
                <w:sz w:val="16"/>
              </w:rPr>
              <w:t>–</w:t>
            </w:r>
          </w:p>
        </w:tc>
      </w:tr>
      <w:tr w:rsidR="00907B17" w14:paraId="69081B60" w14:textId="77777777">
        <w:trPr>
          <w:cantSplit/>
          <w:jc w:val="center"/>
        </w:trPr>
        <w:tc>
          <w:tcPr>
            <w:tcW w:w="2880" w:type="dxa"/>
            <w:tcBorders>
              <w:bottom w:val="single" w:sz="4" w:space="0" w:color="E4E3DF"/>
            </w:tcBorders>
          </w:tcPr>
          <w:p w14:paraId="779C6F18" w14:textId="77777777" w:rsidR="00907B17" w:rsidRDefault="00000000">
            <w:pPr>
              <w:keepNext/>
              <w:spacing w:before="40" w:after="40"/>
            </w:pPr>
            <w:r>
              <w:rPr>
                <w:sz w:val="16"/>
              </w:rPr>
              <w:t>Chronos-2</w:t>
            </w:r>
          </w:p>
        </w:tc>
        <w:tc>
          <w:tcPr>
            <w:tcW w:w="864" w:type="dxa"/>
            <w:tcBorders>
              <w:bottom w:val="single" w:sz="4" w:space="0" w:color="E4E3DF"/>
            </w:tcBorders>
          </w:tcPr>
          <w:p w14:paraId="475EEEEB" w14:textId="77777777" w:rsidR="00907B17" w:rsidRDefault="00000000">
            <w:pPr>
              <w:keepNext/>
              <w:spacing w:before="40" w:after="40"/>
            </w:pPr>
            <w:r>
              <w:rPr>
                <w:sz w:val="16"/>
              </w:rPr>
              <w:t>0.72</w:t>
            </w:r>
          </w:p>
        </w:tc>
        <w:tc>
          <w:tcPr>
            <w:tcW w:w="864" w:type="dxa"/>
            <w:tcBorders>
              <w:bottom w:val="single" w:sz="4" w:space="0" w:color="E4E3DF"/>
            </w:tcBorders>
          </w:tcPr>
          <w:p w14:paraId="2000894F" w14:textId="77777777" w:rsidR="00907B17" w:rsidRDefault="00000000">
            <w:pPr>
              <w:keepNext/>
              <w:spacing w:before="40" w:after="40"/>
            </w:pPr>
            <w:r>
              <w:rPr>
                <w:sz w:val="16"/>
              </w:rPr>
              <w:t>0.179</w:t>
            </w:r>
          </w:p>
        </w:tc>
        <w:tc>
          <w:tcPr>
            <w:tcW w:w="1080" w:type="dxa"/>
            <w:tcBorders>
              <w:bottom w:val="single" w:sz="4" w:space="0" w:color="E4E3DF"/>
            </w:tcBorders>
          </w:tcPr>
          <w:p w14:paraId="4FA070AB" w14:textId="77777777" w:rsidR="00907B17" w:rsidRDefault="00000000">
            <w:pPr>
              <w:keepNext/>
              <w:spacing w:before="40" w:after="40"/>
            </w:pPr>
            <w:r>
              <w:rPr>
                <w:sz w:val="16"/>
              </w:rPr>
              <w:t>80%</w:t>
            </w:r>
          </w:p>
        </w:tc>
        <w:tc>
          <w:tcPr>
            <w:tcW w:w="864" w:type="dxa"/>
            <w:tcBorders>
              <w:bottom w:val="single" w:sz="4" w:space="0" w:color="E4E3DF"/>
            </w:tcBorders>
          </w:tcPr>
          <w:p w14:paraId="590F2936" w14:textId="77777777" w:rsidR="00907B17" w:rsidRDefault="00000000">
            <w:pPr>
              <w:keepNext/>
              <w:spacing w:before="40" w:after="40"/>
            </w:pPr>
            <w:r>
              <w:rPr>
                <w:sz w:val="16"/>
              </w:rPr>
              <w:t>0.35</w:t>
            </w:r>
          </w:p>
        </w:tc>
        <w:tc>
          <w:tcPr>
            <w:tcW w:w="864" w:type="dxa"/>
            <w:tcBorders>
              <w:bottom w:val="single" w:sz="4" w:space="0" w:color="E4E3DF"/>
            </w:tcBorders>
          </w:tcPr>
          <w:p w14:paraId="35ACD555" w14:textId="77777777" w:rsidR="00907B17" w:rsidRDefault="00000000">
            <w:pPr>
              <w:keepNext/>
              <w:spacing w:before="40" w:after="40"/>
            </w:pPr>
            <w:r>
              <w:rPr>
                <w:sz w:val="16"/>
              </w:rPr>
              <w:t>0.246</w:t>
            </w:r>
          </w:p>
        </w:tc>
        <w:tc>
          <w:tcPr>
            <w:tcW w:w="1080" w:type="dxa"/>
            <w:tcBorders>
              <w:bottom w:val="single" w:sz="4" w:space="0" w:color="E4E3DF"/>
            </w:tcBorders>
          </w:tcPr>
          <w:p w14:paraId="4280FA1E" w14:textId="77777777" w:rsidR="00907B17" w:rsidRDefault="00000000">
            <w:pPr>
              <w:keepNext/>
              <w:spacing w:before="40" w:after="40"/>
            </w:pPr>
            <w:r>
              <w:rPr>
                <w:sz w:val="16"/>
              </w:rPr>
              <w:t>70%</w:t>
            </w:r>
          </w:p>
        </w:tc>
      </w:tr>
      <w:tr w:rsidR="00907B17" w14:paraId="1C8E18BC" w14:textId="77777777">
        <w:trPr>
          <w:cantSplit/>
          <w:jc w:val="center"/>
        </w:trPr>
        <w:tc>
          <w:tcPr>
            <w:tcW w:w="2880" w:type="dxa"/>
            <w:tcBorders>
              <w:bottom w:val="single" w:sz="4" w:space="0" w:color="E4E3DF"/>
            </w:tcBorders>
          </w:tcPr>
          <w:p w14:paraId="770F20D7" w14:textId="77777777" w:rsidR="00907B17" w:rsidRDefault="00000000">
            <w:pPr>
              <w:keepNext/>
              <w:spacing w:before="40" w:after="40"/>
            </w:pPr>
            <w:r>
              <w:rPr>
                <w:sz w:val="16"/>
              </w:rPr>
              <w:t>Chronos-2 + past temperature</w:t>
            </w:r>
          </w:p>
        </w:tc>
        <w:tc>
          <w:tcPr>
            <w:tcW w:w="864" w:type="dxa"/>
            <w:tcBorders>
              <w:bottom w:val="single" w:sz="4" w:space="0" w:color="E4E3DF"/>
            </w:tcBorders>
          </w:tcPr>
          <w:p w14:paraId="1A6BD8AF" w14:textId="77777777" w:rsidR="00907B17" w:rsidRDefault="00000000">
            <w:pPr>
              <w:keepNext/>
              <w:spacing w:before="40" w:after="40"/>
            </w:pPr>
            <w:r>
              <w:rPr>
                <w:sz w:val="16"/>
              </w:rPr>
              <w:t>0.72</w:t>
            </w:r>
          </w:p>
        </w:tc>
        <w:tc>
          <w:tcPr>
            <w:tcW w:w="864" w:type="dxa"/>
            <w:tcBorders>
              <w:bottom w:val="single" w:sz="4" w:space="0" w:color="E4E3DF"/>
            </w:tcBorders>
          </w:tcPr>
          <w:p w14:paraId="36647FBA" w14:textId="77777777" w:rsidR="00907B17" w:rsidRDefault="00000000">
            <w:pPr>
              <w:keepNext/>
              <w:spacing w:before="40" w:after="40"/>
            </w:pPr>
            <w:r>
              <w:rPr>
                <w:sz w:val="16"/>
              </w:rPr>
              <w:t>0.178</w:t>
            </w:r>
          </w:p>
        </w:tc>
        <w:tc>
          <w:tcPr>
            <w:tcW w:w="1080" w:type="dxa"/>
            <w:tcBorders>
              <w:bottom w:val="single" w:sz="4" w:space="0" w:color="E4E3DF"/>
            </w:tcBorders>
          </w:tcPr>
          <w:p w14:paraId="4884C75B" w14:textId="77777777" w:rsidR="00907B17" w:rsidRDefault="00000000">
            <w:pPr>
              <w:keepNext/>
              <w:spacing w:before="40" w:after="40"/>
            </w:pPr>
            <w:r>
              <w:rPr>
                <w:sz w:val="16"/>
              </w:rPr>
              <w:t>83%</w:t>
            </w:r>
          </w:p>
        </w:tc>
        <w:tc>
          <w:tcPr>
            <w:tcW w:w="864" w:type="dxa"/>
            <w:tcBorders>
              <w:bottom w:val="single" w:sz="4" w:space="0" w:color="E4E3DF"/>
            </w:tcBorders>
          </w:tcPr>
          <w:p w14:paraId="28E0BE29" w14:textId="77777777" w:rsidR="00907B17" w:rsidRDefault="00000000">
            <w:pPr>
              <w:keepNext/>
              <w:spacing w:before="40" w:after="40"/>
            </w:pPr>
            <w:r>
              <w:rPr>
                <w:sz w:val="16"/>
              </w:rPr>
              <w:t>0.37</w:t>
            </w:r>
          </w:p>
        </w:tc>
        <w:tc>
          <w:tcPr>
            <w:tcW w:w="864" w:type="dxa"/>
            <w:tcBorders>
              <w:bottom w:val="single" w:sz="4" w:space="0" w:color="E4E3DF"/>
            </w:tcBorders>
          </w:tcPr>
          <w:p w14:paraId="50EBE50A" w14:textId="77777777" w:rsidR="00907B17" w:rsidRDefault="00000000">
            <w:pPr>
              <w:keepNext/>
              <w:spacing w:before="40" w:after="40"/>
            </w:pPr>
            <w:r>
              <w:rPr>
                <w:sz w:val="16"/>
              </w:rPr>
              <w:t>0.253</w:t>
            </w:r>
          </w:p>
        </w:tc>
        <w:tc>
          <w:tcPr>
            <w:tcW w:w="1080" w:type="dxa"/>
            <w:tcBorders>
              <w:bottom w:val="single" w:sz="4" w:space="0" w:color="E4E3DF"/>
            </w:tcBorders>
          </w:tcPr>
          <w:p w14:paraId="04BE88AD" w14:textId="77777777" w:rsidR="00907B17" w:rsidRDefault="00000000">
            <w:pPr>
              <w:keepNext/>
              <w:spacing w:before="40" w:after="40"/>
            </w:pPr>
            <w:r>
              <w:rPr>
                <w:sz w:val="16"/>
              </w:rPr>
              <w:t>73%</w:t>
            </w:r>
          </w:p>
        </w:tc>
      </w:tr>
      <w:tr w:rsidR="00907B17" w14:paraId="03B79E5A" w14:textId="77777777">
        <w:trPr>
          <w:cantSplit/>
          <w:jc w:val="center"/>
        </w:trPr>
        <w:tc>
          <w:tcPr>
            <w:tcW w:w="2880" w:type="dxa"/>
            <w:tcBorders>
              <w:bottom w:val="single" w:sz="4" w:space="0" w:color="E4E3DF"/>
            </w:tcBorders>
          </w:tcPr>
          <w:p w14:paraId="1257AD81" w14:textId="77777777" w:rsidR="00907B17" w:rsidRDefault="00000000">
            <w:pPr>
              <w:keepNext/>
              <w:spacing w:before="40" w:after="40"/>
            </w:pPr>
            <w:r>
              <w:rPr>
                <w:sz w:val="16"/>
              </w:rPr>
              <w:t>Chronos-2 + actual future temperature</w:t>
            </w:r>
          </w:p>
        </w:tc>
        <w:tc>
          <w:tcPr>
            <w:tcW w:w="864" w:type="dxa"/>
            <w:tcBorders>
              <w:bottom w:val="single" w:sz="4" w:space="0" w:color="E4E3DF"/>
            </w:tcBorders>
          </w:tcPr>
          <w:p w14:paraId="48A7F319" w14:textId="77777777" w:rsidR="00907B17" w:rsidRDefault="00000000">
            <w:pPr>
              <w:keepNext/>
              <w:spacing w:before="40" w:after="40"/>
            </w:pPr>
            <w:r>
              <w:rPr>
                <w:sz w:val="16"/>
              </w:rPr>
              <w:t>0.73</w:t>
            </w:r>
          </w:p>
        </w:tc>
        <w:tc>
          <w:tcPr>
            <w:tcW w:w="864" w:type="dxa"/>
            <w:tcBorders>
              <w:bottom w:val="single" w:sz="4" w:space="0" w:color="E4E3DF"/>
            </w:tcBorders>
          </w:tcPr>
          <w:p w14:paraId="6E25D9A0" w14:textId="77777777" w:rsidR="00907B17" w:rsidRDefault="00000000">
            <w:pPr>
              <w:keepNext/>
              <w:spacing w:before="40" w:after="40"/>
            </w:pPr>
            <w:r>
              <w:rPr>
                <w:sz w:val="16"/>
              </w:rPr>
              <w:t>0.180</w:t>
            </w:r>
          </w:p>
        </w:tc>
        <w:tc>
          <w:tcPr>
            <w:tcW w:w="1080" w:type="dxa"/>
            <w:tcBorders>
              <w:bottom w:val="single" w:sz="4" w:space="0" w:color="E4E3DF"/>
            </w:tcBorders>
          </w:tcPr>
          <w:p w14:paraId="3D1ABD45" w14:textId="77777777" w:rsidR="00907B17" w:rsidRDefault="00000000">
            <w:pPr>
              <w:keepNext/>
              <w:spacing w:before="40" w:after="40"/>
            </w:pPr>
            <w:r>
              <w:rPr>
                <w:sz w:val="16"/>
              </w:rPr>
              <w:t>81%</w:t>
            </w:r>
          </w:p>
        </w:tc>
        <w:tc>
          <w:tcPr>
            <w:tcW w:w="864" w:type="dxa"/>
            <w:tcBorders>
              <w:bottom w:val="single" w:sz="4" w:space="0" w:color="E4E3DF"/>
            </w:tcBorders>
          </w:tcPr>
          <w:p w14:paraId="45DBDA5B" w14:textId="77777777" w:rsidR="00907B17" w:rsidRDefault="00000000">
            <w:pPr>
              <w:keepNext/>
              <w:spacing w:before="40" w:after="40"/>
            </w:pPr>
            <w:r>
              <w:rPr>
                <w:sz w:val="16"/>
              </w:rPr>
              <w:t>0.36</w:t>
            </w:r>
          </w:p>
        </w:tc>
        <w:tc>
          <w:tcPr>
            <w:tcW w:w="864" w:type="dxa"/>
            <w:tcBorders>
              <w:bottom w:val="single" w:sz="4" w:space="0" w:color="E4E3DF"/>
            </w:tcBorders>
          </w:tcPr>
          <w:p w14:paraId="1E54AA2E" w14:textId="77777777" w:rsidR="00907B17" w:rsidRDefault="00000000">
            <w:pPr>
              <w:keepNext/>
              <w:spacing w:before="40" w:after="40"/>
            </w:pPr>
            <w:r>
              <w:rPr>
                <w:sz w:val="16"/>
              </w:rPr>
              <w:t>0.247</w:t>
            </w:r>
          </w:p>
        </w:tc>
        <w:tc>
          <w:tcPr>
            <w:tcW w:w="1080" w:type="dxa"/>
            <w:tcBorders>
              <w:bottom w:val="single" w:sz="4" w:space="0" w:color="E4E3DF"/>
            </w:tcBorders>
          </w:tcPr>
          <w:p w14:paraId="31116760" w14:textId="77777777" w:rsidR="00907B17" w:rsidRDefault="00000000">
            <w:pPr>
              <w:keepNext/>
              <w:spacing w:before="40" w:after="40"/>
            </w:pPr>
            <w:r>
              <w:rPr>
                <w:sz w:val="16"/>
              </w:rPr>
              <w:t>72%</w:t>
            </w:r>
          </w:p>
        </w:tc>
      </w:tr>
    </w:tbl>
    <w:p w14:paraId="36429952" w14:textId="469BB5E9" w:rsidR="00907B17" w:rsidRDefault="00000000">
      <w:pPr>
        <w:pStyle w:val="Caption"/>
        <w:spacing w:before="80"/>
      </w:pPr>
      <w:bookmarkStart w:id="12" w:name="_RefTable_metrics"/>
      <w:r>
        <w:rPr>
          <w:b/>
        </w:rPr>
        <w:t xml:space="preserve">Table </w:t>
      </w:r>
      <w:r>
        <w:rPr>
          <w:b/>
        </w:rPr>
        <w:fldChar w:fldCharType="begin"/>
      </w:r>
      <w:r>
        <w:rPr>
          <w:b/>
        </w:rPr>
        <w:instrText xml:space="preserve"> SEQ Table \* ARABIC </w:instrText>
      </w:r>
      <w:r>
        <w:rPr>
          <w:b/>
        </w:rPr>
        <w:fldChar w:fldCharType="separate"/>
      </w:r>
      <w:r w:rsidR="00C067F1">
        <w:rPr>
          <w:b/>
          <w:noProof/>
        </w:rPr>
        <w:t>3</w:t>
      </w:r>
      <w:r>
        <w:rPr>
          <w:b/>
        </w:rPr>
        <w:fldChar w:fldCharType="end"/>
      </w:r>
      <w:bookmarkEnd w:id="12"/>
      <w:r>
        <w:rPr>
          <w:b/>
        </w:rPr>
        <w:t xml:space="preserve">. </w:t>
      </w:r>
      <w:r>
        <w:t>Forecast accuracy over horizons 1–4 weeks (lower MAE and WQL are better; ideal coverage is 80%). Baselines give point forecasts only.</w:t>
      </w:r>
    </w:p>
    <w:p w14:paraId="3400A23A" w14:textId="77777777" w:rsidR="00907B17" w:rsidRDefault="00000000">
      <w:pPr>
        <w:pStyle w:val="Heading1"/>
      </w:pPr>
      <w:r>
        <w:lastRenderedPageBreak/>
        <w:t>6. Interpretation and recommendations</w:t>
      </w:r>
    </w:p>
    <w:p w14:paraId="175C50D5" w14:textId="40352ACD" w:rsidR="00907B17" w:rsidRDefault="00000000">
      <w:r>
        <w:t>Temperature is context, not a trigger. Every county's winter warmed 1.8–5.2 °F between 1986–95 and 2016–25 (</w:t>
      </w:r>
      <w:r>
        <w:fldChar w:fldCharType="begin"/>
      </w:r>
      <w:r>
        <w:instrText xml:space="preserve"> REF _RefFigure_arrows \h </w:instrText>
      </w:r>
      <w:r>
        <w:fldChar w:fldCharType="separate"/>
      </w:r>
      <w:r w:rsidR="00C067F1">
        <w:rPr>
          <w:b/>
        </w:rPr>
        <w:t xml:space="preserve">Figure </w:t>
      </w:r>
      <w:r w:rsidR="00C067F1">
        <w:rPr>
          <w:b/>
          <w:noProof/>
        </w:rPr>
        <w:t>11</w:t>
      </w:r>
      <w:r>
        <w:fldChar w:fldCharType="end"/>
      </w:r>
      <w:r>
        <w:t>), yet temperature added no forecasting value. Planners should feed surveillance into a model such as Chronos-2, treat RSV's early rise as a prompt rather than a guarantee, and widen ED forecast intervals.</w:t>
      </w:r>
    </w:p>
    <w:p w14:paraId="4B95B2FA" w14:textId="77777777" w:rsidR="00907B17" w:rsidRDefault="00000000">
      <w:pPr>
        <w:keepNext/>
        <w:jc w:val="center"/>
      </w:pPr>
      <w:r>
        <w:rPr>
          <w:noProof/>
        </w:rPr>
        <w:drawing>
          <wp:inline distT="0" distB="0" distL="0" distR="0" wp14:anchorId="42A400B9" wp14:editId="28BC9EF6">
            <wp:extent cx="4206240" cy="43617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arrows_winter_warming.png"/>
                    <pic:cNvPicPr/>
                  </pic:nvPicPr>
                  <pic:blipFill>
                    <a:blip r:embed="rId19"/>
                    <a:stretch>
                      <a:fillRect/>
                    </a:stretch>
                  </pic:blipFill>
                  <pic:spPr>
                    <a:xfrm>
                      <a:off x="0" y="0"/>
                      <a:ext cx="4206240" cy="4361787"/>
                    </a:xfrm>
                    <a:prstGeom prst="rect">
                      <a:avLst/>
                    </a:prstGeom>
                  </pic:spPr>
                </pic:pic>
              </a:graphicData>
            </a:graphic>
          </wp:inline>
        </w:drawing>
      </w:r>
    </w:p>
    <w:p w14:paraId="48FFF21E" w14:textId="0352DAA2" w:rsidR="00907B17" w:rsidRDefault="00000000">
      <w:pPr>
        <w:pStyle w:val="Caption"/>
      </w:pPr>
      <w:bookmarkStart w:id="13" w:name="_RefFigure_arrows"/>
      <w:r>
        <w:rPr>
          <w:b/>
        </w:rPr>
        <w:t xml:space="preserve">Figure </w:t>
      </w:r>
      <w:r>
        <w:rPr>
          <w:b/>
        </w:rPr>
        <w:fldChar w:fldCharType="begin"/>
      </w:r>
      <w:r>
        <w:rPr>
          <w:b/>
        </w:rPr>
        <w:instrText xml:space="preserve"> SEQ Figure \* ARABIC </w:instrText>
      </w:r>
      <w:r>
        <w:rPr>
          <w:b/>
        </w:rPr>
        <w:fldChar w:fldCharType="separate"/>
      </w:r>
      <w:r w:rsidR="00C067F1">
        <w:rPr>
          <w:b/>
          <w:noProof/>
        </w:rPr>
        <w:t>11</w:t>
      </w:r>
      <w:r>
        <w:rPr>
          <w:b/>
        </w:rPr>
        <w:fldChar w:fldCharType="end"/>
      </w:r>
      <w:bookmarkEnd w:id="13"/>
      <w:r>
        <w:rPr>
          <w:b/>
        </w:rPr>
        <w:t xml:space="preserve">. </w:t>
      </w:r>
      <w:r>
        <w:t>Change in county December–February mean temperature, 1986–95 to 2016–25. Arrow design adapted from The New York Times.</w:t>
      </w:r>
      <w:r>
        <w:fldChar w:fldCharType="begin"/>
      </w:r>
      <w:r>
        <w:instrText xml:space="preserve"> ADDIN ZOTERO_ITEM CSL_CITATION {"citationID": "f2f70147", "properties": {"formattedCitation": "&lt;sup&gt;14&lt;/sup&gt;", "plainCitation": "14", "noteIndex": 0}, "citationItems": [{"id": "MDES3WSP", "uris": ["http://zotero.org/groups/6645821/items/MDES3WSP"], "itemData": {"id": "MDES3WSP", "type": "webpage", "title": "The South and the Midwest are much hotter now [graphic]", "container-title": "The New York Times", "URL": "https://www.nytimes.com/interactive/2026/09/05/opinion/editorials/extreme-heat-summer.html", "issued": {"date-parts": [[2026, 9, 5]]}, "accessed": {"date-parts": [[2026, 10, 6]]}, "note": "Title is the graphic's title; the article headline could not be verified (paywalled). Cited for map design only.", "author": [{"literal": "The Editorial Board"}]}}], "schema": "https://github.com/citation-style-language/schema/raw/master/csl-citation.json"} </w:instrText>
      </w:r>
      <w:r>
        <w:fldChar w:fldCharType="separate"/>
      </w:r>
      <w:r>
        <w:rPr>
          <w:vertAlign w:val="superscript"/>
        </w:rPr>
        <w:t>14</w:t>
      </w:r>
      <w:r>
        <w:fldChar w:fldCharType="end"/>
      </w:r>
    </w:p>
    <w:p w14:paraId="1DF845D0" w14:textId="77777777" w:rsidR="00907B17" w:rsidRDefault="00000000">
      <w:pPr>
        <w:pStyle w:val="Heading1"/>
      </w:pPr>
      <w:r>
        <w:t>7. Limitations</w:t>
      </w:r>
    </w:p>
    <w:p w14:paraId="589AF907" w14:textId="77777777" w:rsidR="00907B17" w:rsidRDefault="00000000">
      <w:r>
        <w:t>Temperature is monthly and county-averaged. Outcomes are visit shares from a changing system; care-seeking shifts and NSSP onboarding are not controlled. ED data span four seasons, Chronos-2 may have seen CDC data in pretraining, and results are ecological. Humidity</w:t>
      </w:r>
      <w:r>
        <w:fldChar w:fldCharType="begin"/>
      </w:r>
      <w:r>
        <w:instrText xml:space="preserve"> ADDIN ZOTERO_ITEM CSL_CITATION {"citationID": "369aaa81", "properties": {"formattedCitation": "&lt;sup&gt;1,2&lt;/sup&gt;", "plainCitation": "1,2", "noteIndex": 0}, "citationItems": [{"id": "DBPS6LRL", "uris": ["http://zotero.org/groups/6645821/items/DBPS6LRL"], "itemData": {"id": "DBPS6LRL", "type": "article-journal", "title": "Influenza virus transmission is dependent on relative humidity and temperature", "container-title": "PLoS Pathogens", "container-title-short": "PLoS Pathog", "volume": "3", "issue": "10", "page": "e151", "DOI": "10.1371/journal.ppat.0030151", "URL": "https://doi.org/10.1371/journal.ppat.0030151", "issued": {"date-parts": [[2007, 10, 19]]}, "author": [{"family": "Lowen", "given": "Anice C."}, {"family": "Mubareka", "given": "Samira"}, {"family": "Steel", "given": "John"}, {"family": "Palese", "given": "Peter"}]}}, {"id": "WQN6RNAZ", "uris": ["http://zotero.org/groups/6645821/items/WQN6RNAZ"], "itemData": {"id": "WQN6RNAZ", "type": "article-journal", "title": "Absolute humidity modulates influenza survival, transmission, and seasonality", "container-title": "Proceedings of the National Academy of Sciences", "container-title-short": "Proc Natl Acad Sci U S A", "volume": "106", "issue": "9", "page": "3243-3248", "DOI": "10.1073/pnas.0806852106", "URL": "https://doi.org/10.1073/pnas.0806852106", "issued": {"date-parts": [[2009, 3, 3]]}, "author": [{"family": "Shaman", "given": "Jeffrey"}, {"family": "Kohn", "given": "Melvin"}]}}], "schema": "https://github.com/citation-style-language/schema/raw/master/csl-citation.json"} </w:instrText>
      </w:r>
      <w:r>
        <w:fldChar w:fldCharType="separate"/>
      </w:r>
      <w:r>
        <w:rPr>
          <w:vertAlign w:val="superscript"/>
        </w:rPr>
        <w:t>1,2</w:t>
      </w:r>
      <w:r>
        <w:fldChar w:fldCharType="end"/>
      </w:r>
      <w:r>
        <w:t xml:space="preserve"> is the next variable to test.</w:t>
      </w:r>
    </w:p>
    <w:p w14:paraId="74F5B5BE" w14:textId="77777777" w:rsidR="00BA5F22" w:rsidRDefault="00BA5F22">
      <w:pPr>
        <w:spacing w:after="200"/>
        <w:rPr>
          <w:rFonts w:asciiTheme="majorHAnsi" w:eastAsiaTheme="majorEastAsia" w:hAnsiTheme="majorHAnsi" w:cstheme="majorBidi"/>
          <w:b/>
          <w:bCs/>
          <w:color w:val="173E65"/>
          <w:sz w:val="26"/>
          <w:szCs w:val="28"/>
        </w:rPr>
      </w:pPr>
      <w:r>
        <w:br w:type="page"/>
      </w:r>
    </w:p>
    <w:p w14:paraId="4C5071C9" w14:textId="3D6F6154" w:rsidR="00907B17" w:rsidRDefault="00000000">
      <w:pPr>
        <w:pStyle w:val="Heading1"/>
      </w:pPr>
      <w:r>
        <w:lastRenderedPageBreak/>
        <w:t>References</w:t>
      </w:r>
    </w:p>
    <w:p w14:paraId="452A099B" w14:textId="77777777" w:rsidR="00907B17" w:rsidRDefault="00000000">
      <w:pPr>
        <w:spacing w:after="60"/>
        <w:ind w:left="432" w:hanging="432"/>
      </w:pPr>
      <w:r>
        <w:rPr>
          <w:sz w:val="18"/>
        </w:rPr>
        <w:fldChar w:fldCharType="begin"/>
      </w:r>
      <w:r>
        <w:rPr>
          <w:sz w:val="18"/>
        </w:rPr>
        <w:instrText xml:space="preserve"> ADDIN ZOTERO_BIBL {"uncited":[],"omitted":[],"custom":[]} CSL_BIBLIOGRAPHY </w:instrText>
      </w:r>
      <w:r>
        <w:rPr>
          <w:sz w:val="18"/>
        </w:rPr>
        <w:fldChar w:fldCharType="separate"/>
      </w:r>
      <w:r>
        <w:rPr>
          <w:sz w:val="18"/>
        </w:rPr>
        <w:t>1.</w:t>
      </w:r>
      <w:r>
        <w:rPr>
          <w:sz w:val="18"/>
        </w:rPr>
        <w:tab/>
        <w:t xml:space="preserve">Lowen AC, Mubareka S, Steel J, Palese P. Influenza virus transmission is dependent on relative humidity and temperature. </w:t>
      </w:r>
      <w:r>
        <w:rPr>
          <w:i/>
          <w:sz w:val="18"/>
        </w:rPr>
        <w:t>PLoS Pathog</w:t>
      </w:r>
      <w:r>
        <w:rPr>
          <w:sz w:val="18"/>
        </w:rPr>
        <w:t>. 2007;3(10):e151. doi:10.1371/journal.ppat.0030151</w:t>
      </w:r>
    </w:p>
    <w:p w14:paraId="78BF5420" w14:textId="77777777" w:rsidR="00907B17" w:rsidRDefault="00000000">
      <w:pPr>
        <w:spacing w:after="60"/>
        <w:ind w:left="432" w:hanging="432"/>
      </w:pPr>
      <w:r>
        <w:rPr>
          <w:sz w:val="18"/>
        </w:rPr>
        <w:t>2.</w:t>
      </w:r>
      <w:r>
        <w:rPr>
          <w:sz w:val="18"/>
        </w:rPr>
        <w:tab/>
        <w:t xml:space="preserve">Shaman J, Kohn M. Absolute humidity modulates influenza survival, transmission, and seasonality. </w:t>
      </w:r>
      <w:r>
        <w:rPr>
          <w:i/>
          <w:sz w:val="18"/>
        </w:rPr>
        <w:t>Proc Natl Acad Sci U S A</w:t>
      </w:r>
      <w:r>
        <w:rPr>
          <w:sz w:val="18"/>
        </w:rPr>
        <w:t>. 2009;106(9):3243-3248. doi:10.1073/pnas.0806852106</w:t>
      </w:r>
    </w:p>
    <w:p w14:paraId="5F0B4124" w14:textId="77777777" w:rsidR="00907B17" w:rsidRDefault="00000000">
      <w:pPr>
        <w:spacing w:after="60"/>
        <w:ind w:left="432" w:hanging="432"/>
      </w:pPr>
      <w:r>
        <w:rPr>
          <w:sz w:val="18"/>
        </w:rPr>
        <w:t>3.</w:t>
      </w:r>
      <w:r>
        <w:rPr>
          <w:sz w:val="18"/>
        </w:rPr>
        <w:tab/>
        <w:t>Vose RS, Applequist S, Squires M, et al. NOAA Monthly U.S. Climate Divisional Database (NClimDiv). Published online 2014. doi:10.7289/V5M32STR</w:t>
      </w:r>
    </w:p>
    <w:p w14:paraId="4DCEE31C" w14:textId="77777777" w:rsidR="00907B17" w:rsidRDefault="00000000">
      <w:pPr>
        <w:spacing w:after="60"/>
        <w:ind w:left="432" w:hanging="432"/>
      </w:pPr>
      <w:r>
        <w:rPr>
          <w:sz w:val="18"/>
        </w:rPr>
        <w:t>4.</w:t>
      </w:r>
      <w:r>
        <w:rPr>
          <w:sz w:val="18"/>
        </w:rPr>
        <w:tab/>
        <w:t>Delphi Research Group, Carnegie Mellon University. NSSP emergency department visit signals (source: CDC National Syndromic Surveillance Program). Published online 2026. Accessed October 5, 2026. https://cmu-delphi.github.io/delphi-epidata/api/covidcast-signals/nssp.html</w:t>
      </w:r>
    </w:p>
    <w:p w14:paraId="14EB8BA1" w14:textId="77777777" w:rsidR="00907B17" w:rsidRDefault="00000000">
      <w:pPr>
        <w:spacing w:after="60"/>
        <w:ind w:left="432" w:hanging="432"/>
      </w:pPr>
      <w:r>
        <w:rPr>
          <w:sz w:val="18"/>
        </w:rPr>
        <w:t>5.</w:t>
      </w:r>
      <w:r>
        <w:rPr>
          <w:sz w:val="18"/>
        </w:rPr>
        <w:tab/>
        <w:t>Delphi Research Group, Carnegie Mellon University. FluView: ILINet influenza-like illness surveillance (source: CDC ILINet). Published online 2026. Accessed October 5, 2026. https://cmu-delphi.github.io/delphi-epidata/api/fluview.html</w:t>
      </w:r>
    </w:p>
    <w:p w14:paraId="2B586CE4" w14:textId="77777777" w:rsidR="00907B17" w:rsidRDefault="00000000">
      <w:pPr>
        <w:spacing w:after="60"/>
        <w:ind w:left="432" w:hanging="432"/>
      </w:pPr>
      <w:r>
        <w:rPr>
          <w:sz w:val="18"/>
        </w:rPr>
        <w:t>6.</w:t>
      </w:r>
      <w:r>
        <w:rPr>
          <w:sz w:val="18"/>
        </w:rPr>
        <w:tab/>
        <w:t>U.S. Census Bureau. 2020 Cartographic Boundary Files: counties and states, 1:20,000,000. Published online 2021. Accessed October 6, 2026. https://www.census.gov/geographies/mapping-files/time-series/geo/cartographic-boundary.html</w:t>
      </w:r>
    </w:p>
    <w:p w14:paraId="7A5632A7" w14:textId="77777777" w:rsidR="00907B17" w:rsidRDefault="00000000">
      <w:pPr>
        <w:spacing w:after="60"/>
        <w:ind w:left="432" w:hanging="432"/>
      </w:pPr>
      <w:r>
        <w:rPr>
          <w:sz w:val="18"/>
        </w:rPr>
        <w:t>7.</w:t>
      </w:r>
      <w:r>
        <w:rPr>
          <w:sz w:val="18"/>
        </w:rPr>
        <w:tab/>
        <w:t xml:space="preserve">Good PI. </w:t>
      </w:r>
      <w:r>
        <w:rPr>
          <w:i/>
          <w:sz w:val="18"/>
        </w:rPr>
        <w:t>Permutation, Parametric and Bootstrap Tests of Hypotheses</w:t>
      </w:r>
      <w:r>
        <w:rPr>
          <w:sz w:val="18"/>
        </w:rPr>
        <w:t>. 3rd ed. Springer; 2005. doi:10.1007/b138696</w:t>
      </w:r>
    </w:p>
    <w:p w14:paraId="57E229FA" w14:textId="77777777" w:rsidR="00907B17" w:rsidRDefault="00000000">
      <w:pPr>
        <w:spacing w:after="60"/>
        <w:ind w:left="432" w:hanging="432"/>
      </w:pPr>
      <w:r>
        <w:rPr>
          <w:sz w:val="18"/>
        </w:rPr>
        <w:t>8.</w:t>
      </w:r>
      <w:r>
        <w:rPr>
          <w:sz w:val="18"/>
        </w:rPr>
        <w:tab/>
        <w:t xml:space="preserve">Cameron AC, Miller DL. A practitioner's guide to cluster-robust inference. </w:t>
      </w:r>
      <w:r>
        <w:rPr>
          <w:i/>
          <w:sz w:val="18"/>
        </w:rPr>
        <w:t>J Hum Resour</w:t>
      </w:r>
      <w:r>
        <w:rPr>
          <w:sz w:val="18"/>
        </w:rPr>
        <w:t>. 2015;50(2):317-372. doi:10.3368/jhr.50.2.317</w:t>
      </w:r>
    </w:p>
    <w:p w14:paraId="1A7138A9" w14:textId="77777777" w:rsidR="00907B17" w:rsidRDefault="00000000">
      <w:pPr>
        <w:spacing w:after="60"/>
        <w:ind w:left="432" w:hanging="432"/>
      </w:pPr>
      <w:r>
        <w:rPr>
          <w:sz w:val="18"/>
        </w:rPr>
        <w:t>9.</w:t>
      </w:r>
      <w:r>
        <w:rPr>
          <w:sz w:val="18"/>
        </w:rPr>
        <w:tab/>
        <w:t xml:space="preserve">Wilcoxon F. Individual comparisons by ranking methods. </w:t>
      </w:r>
      <w:r>
        <w:rPr>
          <w:i/>
          <w:sz w:val="18"/>
        </w:rPr>
        <w:t>Biometrics Bulletin</w:t>
      </w:r>
      <w:r>
        <w:rPr>
          <w:sz w:val="18"/>
        </w:rPr>
        <w:t>. 1945;1(6):80-83. doi:10.2307/3001968</w:t>
      </w:r>
    </w:p>
    <w:p w14:paraId="049760E6" w14:textId="77777777" w:rsidR="00907B17" w:rsidRDefault="00000000">
      <w:pPr>
        <w:spacing w:after="60"/>
        <w:ind w:left="432" w:hanging="432"/>
      </w:pPr>
      <w:r>
        <w:rPr>
          <w:sz w:val="18"/>
        </w:rPr>
        <w:t>10.</w:t>
      </w:r>
      <w:r>
        <w:rPr>
          <w:sz w:val="18"/>
        </w:rPr>
        <w:tab/>
        <w:t xml:space="preserve">Holm S. A simple sequentially rejective multiple test procedure. </w:t>
      </w:r>
      <w:r>
        <w:rPr>
          <w:i/>
          <w:sz w:val="18"/>
        </w:rPr>
        <w:t>Scand J Stat</w:t>
      </w:r>
      <w:r>
        <w:rPr>
          <w:sz w:val="18"/>
        </w:rPr>
        <w:t>. 1979;6(2):65-70. https://www.jstor.org/stable/4615733</w:t>
      </w:r>
    </w:p>
    <w:p w14:paraId="3E6CFF31" w14:textId="77777777" w:rsidR="00907B17" w:rsidRDefault="00000000">
      <w:pPr>
        <w:spacing w:after="60"/>
        <w:ind w:left="432" w:hanging="432"/>
      </w:pPr>
      <w:r>
        <w:rPr>
          <w:sz w:val="18"/>
        </w:rPr>
        <w:t>11.</w:t>
      </w:r>
      <w:r>
        <w:rPr>
          <w:sz w:val="18"/>
        </w:rPr>
        <w:tab/>
        <w:t>Centers for Disease Control and Prevention. U.S. Influenza Surveillance: Purpose and Methods. FluView. Accessed October 8, 2026. https://www.cdc.gov/fluview/overview/index.html</w:t>
      </w:r>
    </w:p>
    <w:p w14:paraId="7686D802" w14:textId="77777777" w:rsidR="00907B17" w:rsidRDefault="00000000">
      <w:pPr>
        <w:spacing w:after="60"/>
        <w:ind w:left="432" w:hanging="432"/>
      </w:pPr>
      <w:r>
        <w:rPr>
          <w:sz w:val="18"/>
        </w:rPr>
        <w:t>12.</w:t>
      </w:r>
      <w:r>
        <w:rPr>
          <w:sz w:val="18"/>
        </w:rPr>
        <w:tab/>
        <w:t xml:space="preserve">Ansari AF, Shchur O, Küken J, et al. Chronos-2: From univariate to universal forecasting. </w:t>
      </w:r>
      <w:r>
        <w:rPr>
          <w:i/>
          <w:sz w:val="18"/>
        </w:rPr>
        <w:t>arXiv</w:t>
      </w:r>
      <w:r>
        <w:rPr>
          <w:sz w:val="18"/>
        </w:rPr>
        <w:t>. Preprint posted online October 17, 2025:arXiv:2510.15821. doi:10.48550/arXiv.2510.15821</w:t>
      </w:r>
    </w:p>
    <w:p w14:paraId="2E19C36F" w14:textId="77777777" w:rsidR="00907B17" w:rsidRDefault="00000000">
      <w:pPr>
        <w:spacing w:after="60"/>
        <w:ind w:left="432" w:hanging="432"/>
      </w:pPr>
      <w:r>
        <w:rPr>
          <w:sz w:val="18"/>
        </w:rPr>
        <w:t>13.</w:t>
      </w:r>
      <w:r>
        <w:rPr>
          <w:sz w:val="18"/>
        </w:rPr>
        <w:tab/>
        <w:t xml:space="preserve">Gneiting T, Raftery AE. Strictly proper scoring rules, prediction, and estimation. </w:t>
      </w:r>
      <w:r>
        <w:rPr>
          <w:i/>
          <w:sz w:val="18"/>
        </w:rPr>
        <w:t>J Am Stat Assoc</w:t>
      </w:r>
      <w:r>
        <w:rPr>
          <w:sz w:val="18"/>
        </w:rPr>
        <w:t>. 2007;102(477):359-378. doi:10.1198/016214506000001437</w:t>
      </w:r>
    </w:p>
    <w:p w14:paraId="2D6B32CC" w14:textId="77777777" w:rsidR="00907B17" w:rsidRDefault="00000000">
      <w:pPr>
        <w:spacing w:after="60"/>
        <w:ind w:left="432" w:hanging="432"/>
      </w:pPr>
      <w:r>
        <w:rPr>
          <w:sz w:val="18"/>
        </w:rPr>
        <w:t>14.</w:t>
      </w:r>
      <w:r>
        <w:rPr>
          <w:sz w:val="18"/>
        </w:rPr>
        <w:tab/>
        <w:t>The Editorial Board. The South and the Midwest are much hotter now [graphic]. The New York Times. September 5, 2026. Accessed October 6, 2026. https://www.nytimes.com/interactive/2026/09/05/opinion/editorials/extreme-heat-summer.html</w:t>
      </w:r>
      <w:r>
        <w:fldChar w:fldCharType="end"/>
      </w:r>
    </w:p>
    <w:sectPr w:rsidR="00907B17" w:rsidSect="00034616">
      <w:footerReference w:type="default" r:id="rId20"/>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6DE8A" w14:textId="77777777" w:rsidR="006B6678" w:rsidRDefault="006B6678">
      <w:pPr>
        <w:spacing w:after="0" w:line="240" w:lineRule="auto"/>
      </w:pPr>
      <w:r>
        <w:separator/>
      </w:r>
    </w:p>
  </w:endnote>
  <w:endnote w:type="continuationSeparator" w:id="0">
    <w:p w14:paraId="746E601D" w14:textId="77777777" w:rsidR="006B6678" w:rsidRDefault="006B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BE6C3" w14:textId="77777777" w:rsidR="00907B17" w:rsidRDefault="00000000">
    <w:pPr>
      <w:pStyle w:val="Footer"/>
      <w:jc w:val="right"/>
    </w:pPr>
    <w:r>
      <w:rPr>
        <w:color w:val="52514E"/>
        <w:sz w:val="16"/>
      </w:rPr>
      <w:t xml:space="preserve">Winter temperature and respiratory surges in the Northeast · </w:t>
    </w:r>
    <w:r>
      <w:fldChar w:fldCharType="begin"/>
    </w:r>
    <w:r>
      <w:instrText xml:space="preserve"> PAGE </w:instrText>
    </w:r>
    <w:r>
      <w:fldChar w:fldCharType="separate"/>
    </w:r>
    <w:r>
      <w:rPr>
        <w:color w:val="52514E"/>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F267A3" w14:textId="77777777" w:rsidR="006B6678" w:rsidRDefault="006B6678">
      <w:pPr>
        <w:spacing w:after="0" w:line="240" w:lineRule="auto"/>
      </w:pPr>
      <w:r>
        <w:separator/>
      </w:r>
    </w:p>
  </w:footnote>
  <w:footnote w:type="continuationSeparator" w:id="0">
    <w:p w14:paraId="2653EDD9" w14:textId="77777777" w:rsidR="006B6678" w:rsidRDefault="006B6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931907">
    <w:abstractNumId w:val="8"/>
  </w:num>
  <w:num w:numId="2" w16cid:durableId="786703380">
    <w:abstractNumId w:val="6"/>
  </w:num>
  <w:num w:numId="3" w16cid:durableId="814251366">
    <w:abstractNumId w:val="5"/>
  </w:num>
  <w:num w:numId="4" w16cid:durableId="518812623">
    <w:abstractNumId w:val="4"/>
  </w:num>
  <w:num w:numId="5" w16cid:durableId="62221783">
    <w:abstractNumId w:val="7"/>
  </w:num>
  <w:num w:numId="6" w16cid:durableId="2001886331">
    <w:abstractNumId w:val="3"/>
  </w:num>
  <w:num w:numId="7" w16cid:durableId="487793695">
    <w:abstractNumId w:val="2"/>
  </w:num>
  <w:num w:numId="8" w16cid:durableId="756366634">
    <w:abstractNumId w:val="1"/>
  </w:num>
  <w:num w:numId="9" w16cid:durableId="21398388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E2F"/>
    <w:rsid w:val="006B6678"/>
    <w:rsid w:val="00907B17"/>
    <w:rsid w:val="00AA1D8D"/>
    <w:rsid w:val="00B47730"/>
    <w:rsid w:val="00BA5F22"/>
    <w:rsid w:val="00C067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F847C"/>
  <w14:defaultImageDpi w14:val="300"/>
  <w15:docId w15:val="{DDF5E011-0115-3B48-B786-03222A13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3"/>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73E65"/>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73E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2514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5F22"/>
    <w:rPr>
      <w:color w:val="0000FF" w:themeColor="hyperlink"/>
      <w:u w:val="single"/>
    </w:rPr>
  </w:style>
  <w:style w:type="character" w:styleId="UnresolvedMention">
    <w:name w:val="Unresolved Mention"/>
    <w:basedOn w:val="DefaultParagraphFont"/>
    <w:uiPriority w:val="99"/>
    <w:semiHidden/>
    <w:unhideWhenUsed/>
    <w:rsid w:val="00BA5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poonyak/Winter_Temp_NSSP"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winter temperature help predict respiratory surges in the Northeast?</dc:title>
  <dc:subject>A statistical modeling report on influenza, RSV and COVID, 2010–2026</dc:subject>
  <dc:creator>Vitchakorn Poonyakanok</dc:creator>
  <cp:keywords/>
  <dc:description>generated by python-docx</dc:description>
  <cp:lastModifiedBy>Vitchakorn Poonyakanok</cp:lastModifiedBy>
  <cp:revision>3</cp:revision>
  <cp:lastPrinted>2026-10-09T21:37:00Z</cp:lastPrinted>
  <dcterms:created xsi:type="dcterms:W3CDTF">2026-10-09T21:37:00Z</dcterms:created>
  <dcterms:modified xsi:type="dcterms:W3CDTF">2026-10-09T21:37:00Z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id="WTNSSP01"/&gt;&lt;style id="http://www.zotero.org/styles/american-medical-association" locale="en-US" hasBibliography="1" bibliographyStyleHasBeenSet="1"/&gt;&lt;prefs&gt;&lt;pref name="fieldType" valu</vt:lpwstr>
  </property>
  <property fmtid="{D5CDD505-2E9C-101B-9397-08002B2CF9AE}" pid="3" name="ZOTERO_PREF_2">
    <vt:lpwstr>e="Field"/&gt;&lt;pref name="automaticJournalAbbreviations" value="true"/&gt;&lt;/prefs&gt;&lt;/data&gt;</vt:lpwstr>
  </property>
</Properties>
</file>