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2wzshj6ng6ev" w:id="0"/>
      <w:bookmarkEnd w:id="0"/>
      <w:r w:rsidDel="00000000" w:rsidR="00000000" w:rsidRPr="00000000">
        <w:rPr>
          <w:rtl w:val="0"/>
        </w:rPr>
        <w:t xml:space="preserve">Внедрение Зарплатной Блокчейн в России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dugiyshag2z3" w:id="1"/>
      <w:bookmarkEnd w:id="1"/>
      <w:r w:rsidDel="00000000" w:rsidR="00000000" w:rsidRPr="00000000">
        <w:rPr>
          <w:rtl w:val="0"/>
        </w:rPr>
        <w:t xml:space="preserve">Охват проекта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Данная презентация представляет адаптацию проекта Зарплатная Блокчейн (на данный момент в разработке) к применению в России и в частности как российского инвестиционно-финансового хаба.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Зарплатная Блокчейн - это посткапиталистическая экономика, реализуемая как блокчейн.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Этот новый вид блокчейнов обеспечивает как традиционные инвестиционно-финансовые операции, так и новые виды, такие как инвестиции в зарплату, инвестиции в НКО, инвестиции в фундаментальную науку. Применение к России увеличивает как инвестиционную привлекательность России, так и внутреэкономическую эффективность.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Точнее, система похожих взаимодействующих блокчейнов (шардов и/или sidechains). Это позволяет России иметь свою "главную национальную" блокчейн или несколько таковых.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Подробная информация о Зарплатной Блокчейн на blockchain.vporton.name и сайтах зарплат будущего, на которые он ссылается.</w:t>
      </w:r>
    </w:p>
    <w:p w:rsidR="00000000" w:rsidDel="00000000" w:rsidP="00000000" w:rsidRDefault="00000000" w:rsidRPr="00000000" w14:paraId="00000008">
      <w:pPr>
        <w:pStyle w:val="Heading1"/>
        <w:rPr/>
      </w:pPr>
      <w:bookmarkStart w:colFirst="0" w:colLast="0" w:name="_rxw635bo70hn" w:id="2"/>
      <w:bookmarkEnd w:id="2"/>
      <w:r w:rsidDel="00000000" w:rsidR="00000000" w:rsidRPr="00000000">
        <w:rPr>
          <w:rtl w:val="0"/>
        </w:rPr>
        <w:t xml:space="preserve">Применение блокчейн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Современный инвестиционно-финансовый хаб может быть основанным только на технологии блокчейн, потому что только блокчейн обеспечивает высокую надежность и защиту от воров и от потери или повреждения данных. Кроме того, современные блокчейны скриптабельны и имеют большое количество уже разработанных компонентов.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Любая крупная блокчейн с умными контрактами является продвинутым инвестиционно-финансовым хабом.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Ввод в эксплуатацию блокчейна обеспечивает привлечение огромного количества человеческих ресурсов: бизнеса, волонтеров, НКО и т.д. Таким образом, после ввода в строй соответствующего блокчейна система "продолжает разрабатывать себя сама", что является единственным способом создания хаба мирового уровня.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Российский инвестиционно-финансовый хаб может быть эффективным только, если он интегрирован в международную финансовую систему, а именно блокчейн.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Блокчейн легко интегрируется с ЕСИА, рублем, банками (в частности блокчейн может быть средством межбанковских платежей), инвестиционными фондами и т.д.</w:t>
      </w:r>
    </w:p>
    <w:p w:rsidR="00000000" w:rsidDel="00000000" w:rsidP="00000000" w:rsidRDefault="00000000" w:rsidRPr="00000000" w14:paraId="0000000E">
      <w:pPr>
        <w:pStyle w:val="Heading1"/>
        <w:rPr/>
      </w:pPr>
      <w:bookmarkStart w:colFirst="0" w:colLast="0" w:name="_i4fmjbsyryme" w:id="3"/>
      <w:bookmarkEnd w:id="3"/>
      <w:r w:rsidDel="00000000" w:rsidR="00000000" w:rsidRPr="00000000">
        <w:rPr>
          <w:rtl w:val="0"/>
        </w:rPr>
        <w:t xml:space="preserve">Применение нового вида блокчейн, юридическое регулирование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Важным применением современных блокчейн является автоматическое обеспечение выполнения контрактов (взятых обязательств).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Это зачастую делает ненужным юридическое регулирование. Так что вопрос о методах юридического регулирования зачастую решается устранением нужды в юридическом регулировании.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Блокчейны, как известно, могут быть эффективным средством отмывания денег. Бороться с этой проблемой путем отказа от использования определенной блокчейн-технологии (такой как эта) бесполезно полностью, потому что у отмывателей всегда есть доступ к другим блокчейнам. Следовательно единтственно разумным выводом является, что возможность использования Зарплатной Блокчейн для отмывания денег не в коей мере не является аргументом для отказа ее разрабатывать или внедрять.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С другой стороны, использование блокчейна для юридического регулирования зачастую затруднено: контракты блокчейнов неизменяемы, что не соответствует юридической традиции внесения поправок в законы. В проекте Зарплатной Блокчейн предлагается механизм внесения поправок в контракты. Это делает данную блокчейн адекватным механизмом контроля выполнения законов. Но в отличие от традиционного юридического регулирования, старый вариант закона продолжает действовать: пользователь сам выбирает, какой версией закона ему пользоваться. Разумным выводом является, что для обеспечения законности в соответствии с выбранным государством законом государству следует монетарно стимулировать пользователей соответствующей версии.</w:t>
      </w:r>
    </w:p>
    <w:p w:rsidR="00000000" w:rsidDel="00000000" w:rsidP="00000000" w:rsidRDefault="00000000" w:rsidRPr="00000000" w14:paraId="00000013">
      <w:pPr>
        <w:pStyle w:val="Heading1"/>
        <w:rPr/>
      </w:pPr>
      <w:bookmarkStart w:colFirst="0" w:colLast="0" w:name="_xhtjaufgd42p" w:id="4"/>
      <w:bookmarkEnd w:id="4"/>
      <w:r w:rsidDel="00000000" w:rsidR="00000000" w:rsidRPr="00000000">
        <w:rPr>
          <w:rtl w:val="0"/>
        </w:rPr>
        <w:t xml:space="preserve">Иностранное влияние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Запретить иностранцам пользоваться блокчейном не очень возможно (в принципе, это может быть сделано с помощью использования пароля ЕСИА для доступа к блокчейн, но этот запрет легко обойти), а главное такой изоляционизм лишит Россию огромного количества инвестиций.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Однако, моя система валидации как будто специально придумана так, чтобы сделать возможным давать права валидаторов только российским лицам. Таким образом, подлинно национальная блокчейн стала возможной! Национальная блокчейн может быть в значительной степени управляемой государством (но даже небольшое перерегулирование приведет к утрате доверия рынка). Трудно сказать, преимущество это или недостаток.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Итак, Россия обрела возможность иметь национальную блокчейн, причем высокого технологического уровня и усовершенствованной экономической модели, а значит огромные конкурентные преимущества перед теми, кто отстанут в этом направлении.</w:t>
      </w:r>
    </w:p>
    <w:p w:rsidR="00000000" w:rsidDel="00000000" w:rsidP="00000000" w:rsidRDefault="00000000" w:rsidRPr="00000000" w14:paraId="00000017">
      <w:pPr>
        <w:pStyle w:val="Heading1"/>
        <w:rPr/>
      </w:pPr>
      <w:bookmarkStart w:colFirst="0" w:colLast="0" w:name="_jagoz9qcdt96" w:id="5"/>
      <w:bookmarkEnd w:id="5"/>
      <w:r w:rsidDel="00000000" w:rsidR="00000000" w:rsidRPr="00000000">
        <w:rPr>
          <w:rtl w:val="0"/>
        </w:rPr>
        <w:t xml:space="preserve">Необходимость изменения в законодательстве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Требуются изменения в законодательстве (видимо, в направлении уточнения законов, так как существующий закон о цифровых активах, примененный к моему виду токенов, очень неоднозначен).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Технология "зарплатный блокчейн", в частности "зарплаты будущего", включает мультивалютную систему. Необходимо признать, что современная экономика требует большого количества внутренних валют, а не одной - рубля.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Финансовое законодательство можно упростить исходя из предположения, что все будущие финансовые активы - токены блокчейнов.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Принуждение банков к использованию данной блокчейн для межбанковских платежей.</w:t>
      </w:r>
    </w:p>
    <w:p w:rsidR="00000000" w:rsidDel="00000000" w:rsidP="00000000" w:rsidRDefault="00000000" w:rsidRPr="00000000" w14:paraId="0000001C">
      <w:pPr>
        <w:pStyle w:val="Heading1"/>
        <w:rPr/>
      </w:pPr>
      <w:bookmarkStart w:colFirst="0" w:colLast="0" w:name="_u66qgvipgg2h" w:id="6"/>
      <w:bookmarkEnd w:id="6"/>
      <w:r w:rsidDel="00000000" w:rsidR="00000000" w:rsidRPr="00000000">
        <w:rPr>
          <w:rtl w:val="0"/>
        </w:rPr>
        <w:t xml:space="preserve">Некоторые виды инвестиций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Акции представленные как profit sharing tokens по схеме токенов из Zon Directory.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"Зарплатные" токены по схеме "зарплаты будущего".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IPO по схеме токенов зарплатной блокчейн.</w:t>
      </w:r>
    </w:p>
    <w:p w:rsidR="00000000" w:rsidDel="00000000" w:rsidP="00000000" w:rsidRDefault="00000000" w:rsidRPr="00000000" w14:paraId="00000020">
      <w:pPr>
        <w:pStyle w:val="Heading1"/>
        <w:rPr/>
      </w:pPr>
      <w:bookmarkStart w:colFirst="0" w:colLast="0" w:name="_pakq5ghg1e5p" w:id="7"/>
      <w:bookmarkEnd w:id="7"/>
      <w:r w:rsidDel="00000000" w:rsidR="00000000" w:rsidRPr="00000000">
        <w:rPr>
          <w:rtl w:val="0"/>
        </w:rPr>
        <w:t xml:space="preserve">Маркетинг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Новая свободная и социальная экономика, не капитализм и не социализм - Россия теперь лидер финансового рынка. Россия - лидер в технологиях финансирования науки, климата, софта.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Новые виды инвестиций.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Догнать и перегнать биткоин.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