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D90179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D90179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D90179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D90179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D90179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D90179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D90179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D90179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D90179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D90179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D90179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D90179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D90179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D90179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D90179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D90179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D90179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 книга моя.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D90179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D90179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90179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D90179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D90179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to-inf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D90179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D90179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D90179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D90179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D90179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D90179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D90179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D90179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D90179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D90179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D90179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D90179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gerund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D90179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D90179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D90179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D90179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D90179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D90179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D90179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that-clause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D90179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D90179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D90179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D90179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D90179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D90179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D90179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D90179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D90179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D90179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D90179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D90179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lastRenderedPageBreak/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D90179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D90179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D90179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17394"/>
    <w:rsid w:val="00322B6A"/>
    <w:rsid w:val="00325EC2"/>
    <w:rsid w:val="0033528E"/>
    <w:rsid w:val="00336EB7"/>
    <w:rsid w:val="0034417B"/>
    <w:rsid w:val="0034608C"/>
    <w:rsid w:val="003920E4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7E99"/>
    <w:rsid w:val="004C01CC"/>
    <w:rsid w:val="004C1FBE"/>
    <w:rsid w:val="004D191E"/>
    <w:rsid w:val="004F100F"/>
    <w:rsid w:val="00511965"/>
    <w:rsid w:val="005125FB"/>
    <w:rsid w:val="005261AD"/>
    <w:rsid w:val="00527524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0179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1</Pages>
  <Words>10633</Words>
  <Characters>60613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163</cp:revision>
  <dcterms:created xsi:type="dcterms:W3CDTF">2020-12-10T12:30:00Z</dcterms:created>
  <dcterms:modified xsi:type="dcterms:W3CDTF">2023-05-01T14:28:00Z</dcterms:modified>
</cp:coreProperties>
</file>