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6B461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be writing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at 2 o’clock tomorrow.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 момент 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26614E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26614E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26614E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26614E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Существительные, которые употребляются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26614E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26614E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26614E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26614E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26614E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26614E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26614E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lastRenderedPageBreak/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26614E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26614E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26614E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lastRenderedPageBreak/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 xml:space="preserve">Обычно с неопределенными и неисчисляемыми существительными и именами собственными </w:t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lastRenderedPageBreak/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. В вопросительной (второй) части используется то же личное местоимение и глагол стоит в том же времени, что и в </w:t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>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26614E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26614E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26614E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A4A75"/>
    <w:rsid w:val="004B1A00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24</Pages>
  <Words>8374</Words>
  <Characters>47732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145</cp:revision>
  <dcterms:created xsi:type="dcterms:W3CDTF">2020-12-10T12:30:00Z</dcterms:created>
  <dcterms:modified xsi:type="dcterms:W3CDTF">2023-03-29T12:18:00Z</dcterms:modified>
</cp:coreProperties>
</file>