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86952" w14:textId="77777777" w:rsidR="002D7F1F" w:rsidRDefault="003A7B1B">
      <w:pPr>
        <w:pStyle w:val="Heading1"/>
        <w:rPr>
          <w:rFonts w:ascii="Times New Roman" w:hAnsi="Times New Roman"/>
          <w:sz w:val="24"/>
          <w:szCs w:val="24"/>
        </w:rPr>
      </w:pPr>
      <w:r>
        <w:rPr>
          <w:rFonts w:ascii="Times New Roman" w:hAnsi="Times New Roman" w:cs="Times New Roman"/>
          <w:sz w:val="24"/>
          <w:szCs w:val="24"/>
        </w:rPr>
        <w:t>Do evolved, ecological, or social constraints affect hoary marmot reproduction? An analysis of a presumed biennial breeder</w:t>
      </w:r>
    </w:p>
    <w:p w14:paraId="66DD58BC" w14:textId="77777777" w:rsidR="002D7F1F" w:rsidRDefault="003A7B1B"/>
    <w:p w14:paraId="54A21E5B" w14:textId="77777777" w:rsidR="002D7F1F" w:rsidRDefault="003A7B1B"/>
    <w:p w14:paraId="6A735EC6" w14:textId="77777777" w:rsidR="002D7F1F" w:rsidRDefault="003A7B1B"/>
    <w:p w14:paraId="6707CA56" w14:textId="77777777" w:rsidR="002D7F1F" w:rsidRDefault="003A7B1B">
      <w:pPr>
        <w:spacing w:line="480" w:lineRule="auto"/>
        <w:rPr>
          <w:b/>
        </w:rPr>
      </w:pPr>
      <w:r>
        <w:rPr>
          <w:b/>
        </w:rPr>
        <w:t>V.P.</w:t>
      </w:r>
      <w:r>
        <w:rPr>
          <w:b/>
          <w:lang w:val="en-GB"/>
        </w:rPr>
        <w:t xml:space="preserve"> Patil</w:t>
      </w:r>
      <w:r>
        <w:rPr>
          <w:b/>
          <w:vertAlign w:val="superscript"/>
          <w:lang w:val="en-GB"/>
        </w:rPr>
        <w:t>1</w:t>
      </w:r>
      <w:proofErr w:type="gramStart"/>
      <w:r>
        <w:rPr>
          <w:b/>
          <w:vertAlign w:val="superscript"/>
          <w:lang w:val="en-GB"/>
        </w:rPr>
        <w:t>,2</w:t>
      </w:r>
      <w:proofErr w:type="gramEnd"/>
      <w:r>
        <w:rPr>
          <w:b/>
          <w:vertAlign w:val="superscript"/>
          <w:lang w:val="en-GB"/>
        </w:rPr>
        <w:t>*</w:t>
      </w:r>
      <w:r>
        <w:rPr>
          <w:b/>
        </w:rPr>
        <w:t>, T.J. Karels</w:t>
      </w:r>
      <w:r>
        <w:rPr>
          <w:b/>
          <w:vertAlign w:val="superscript"/>
        </w:rPr>
        <w:t>2,3</w:t>
      </w:r>
      <w:r>
        <w:rPr>
          <w:b/>
        </w:rPr>
        <w:t>, and D.S. Hik</w:t>
      </w:r>
      <w:r>
        <w:rPr>
          <w:b/>
          <w:vertAlign w:val="superscript"/>
        </w:rPr>
        <w:t>2</w:t>
      </w:r>
    </w:p>
    <w:p w14:paraId="30EA4179" w14:textId="77777777" w:rsidR="002D7F1F" w:rsidRDefault="003A7B1B">
      <w:pPr>
        <w:spacing w:line="480" w:lineRule="auto"/>
        <w:rPr>
          <w:b/>
        </w:rPr>
      </w:pPr>
    </w:p>
    <w:p w14:paraId="25DE9EF1" w14:textId="77777777" w:rsidR="002D7F1F" w:rsidRDefault="003A7B1B">
      <w:pPr>
        <w:spacing w:line="480" w:lineRule="auto"/>
        <w:rPr>
          <w:vertAlign w:val="superscript"/>
        </w:rPr>
      </w:pPr>
      <w:r>
        <w:rPr>
          <w:vertAlign w:val="superscript"/>
        </w:rPr>
        <w:t>1</w:t>
      </w:r>
      <w:r>
        <w:t>Department of Biology and Wildlife, University of Alaska Fairbanks, Fairbanks, Ala</w:t>
      </w:r>
      <w:r>
        <w:t>ska 99775, USA</w:t>
      </w:r>
    </w:p>
    <w:p w14:paraId="6884512D" w14:textId="77777777" w:rsidR="002D7F1F" w:rsidRDefault="003A7B1B">
      <w:pPr>
        <w:spacing w:line="480" w:lineRule="auto"/>
        <w:rPr>
          <w:vertAlign w:val="superscript"/>
        </w:rPr>
      </w:pPr>
      <w:r>
        <w:rPr>
          <w:vertAlign w:val="superscript"/>
        </w:rPr>
        <w:t>2</w:t>
      </w:r>
      <w:r>
        <w:t>Department of Biological Sciences, University of Alberta, Edmonton, AB, T6G 2E9, Canada</w:t>
      </w:r>
    </w:p>
    <w:p w14:paraId="372B0C15" w14:textId="77777777" w:rsidR="002D7F1F" w:rsidRDefault="003A7B1B">
      <w:pPr>
        <w:spacing w:line="480" w:lineRule="auto"/>
      </w:pPr>
      <w:r>
        <w:rPr>
          <w:vertAlign w:val="superscript"/>
        </w:rPr>
        <w:t>3</w:t>
      </w:r>
      <w:r>
        <w:t xml:space="preserve">Present Address: </w:t>
      </w:r>
      <w:r>
        <w:rPr>
          <w:lang w:bidi="en-US"/>
        </w:rPr>
        <w:t xml:space="preserve">Department of Biology, California State University, Northridge, 18111 </w:t>
      </w:r>
      <w:proofErr w:type="spellStart"/>
      <w:r>
        <w:rPr>
          <w:lang w:bidi="en-US"/>
        </w:rPr>
        <w:t>Nordhoff</w:t>
      </w:r>
      <w:proofErr w:type="spellEnd"/>
      <w:r>
        <w:rPr>
          <w:lang w:bidi="en-US"/>
        </w:rPr>
        <w:t xml:space="preserve"> St., Northridge, CA 91330-8303, USA</w:t>
      </w:r>
    </w:p>
    <w:p w14:paraId="097B4837" w14:textId="77777777" w:rsidR="002D7F1F" w:rsidRDefault="003A7B1B">
      <w:pPr>
        <w:spacing w:line="480" w:lineRule="auto"/>
      </w:pPr>
    </w:p>
    <w:p w14:paraId="598E1D80" w14:textId="77777777" w:rsidR="002D7F1F" w:rsidRDefault="003A7B1B">
      <w:pPr>
        <w:spacing w:line="480" w:lineRule="auto"/>
      </w:pPr>
    </w:p>
    <w:p w14:paraId="3C0EA831" w14:textId="77777777" w:rsidR="002D7F1F" w:rsidRDefault="003A7B1B">
      <w:pPr>
        <w:spacing w:line="480" w:lineRule="auto"/>
        <w:rPr>
          <w:b/>
        </w:rPr>
      </w:pPr>
      <w:r>
        <w:t xml:space="preserve">* Correspondence </w:t>
      </w:r>
      <w:r>
        <w:t>author: E-mail: vppatil@alaska.edu</w:t>
      </w:r>
    </w:p>
    <w:p w14:paraId="195740D6" w14:textId="77777777" w:rsidR="002D7F1F" w:rsidRDefault="003A7B1B">
      <w:pPr>
        <w:spacing w:line="480" w:lineRule="auto"/>
        <w:rPr>
          <w:b/>
        </w:rPr>
      </w:pPr>
    </w:p>
    <w:p w14:paraId="435F0DD6" w14:textId="77777777" w:rsidR="002D7F1F" w:rsidRDefault="003A7B1B">
      <w:pPr>
        <w:spacing w:line="480" w:lineRule="auto"/>
        <w:rPr>
          <w:b/>
        </w:rPr>
      </w:pPr>
    </w:p>
    <w:p w14:paraId="30A29825" w14:textId="77777777" w:rsidR="002D7F1F" w:rsidRDefault="003A7B1B">
      <w:pPr>
        <w:spacing w:line="480" w:lineRule="auto"/>
        <w:rPr>
          <w:b/>
        </w:rPr>
      </w:pPr>
    </w:p>
    <w:p w14:paraId="68B38F44" w14:textId="77777777" w:rsidR="002D7F1F" w:rsidRDefault="003A7B1B">
      <w:pPr>
        <w:spacing w:line="480" w:lineRule="auto"/>
        <w:rPr>
          <w:b/>
        </w:rPr>
      </w:pPr>
    </w:p>
    <w:p w14:paraId="4B8C1D03" w14:textId="77777777" w:rsidR="002D7F1F" w:rsidRDefault="003A7B1B">
      <w:pPr>
        <w:spacing w:line="480" w:lineRule="auto"/>
        <w:rPr>
          <w:b/>
        </w:rPr>
      </w:pPr>
    </w:p>
    <w:p w14:paraId="5941D8DA" w14:textId="77777777" w:rsidR="002D7F1F" w:rsidRDefault="003A7B1B">
      <w:pPr>
        <w:spacing w:line="480" w:lineRule="auto"/>
        <w:rPr>
          <w:b/>
        </w:rPr>
      </w:pPr>
    </w:p>
    <w:p w14:paraId="4E28F817" w14:textId="77777777" w:rsidR="002D7F1F" w:rsidRDefault="003A7B1B">
      <w:pPr>
        <w:spacing w:line="480" w:lineRule="auto"/>
        <w:rPr>
          <w:b/>
        </w:rPr>
      </w:pPr>
    </w:p>
    <w:p w14:paraId="14C25C7B" w14:textId="77777777" w:rsidR="002D7F1F" w:rsidRDefault="003A7B1B">
      <w:pPr>
        <w:rPr>
          <w:b/>
        </w:rPr>
      </w:pPr>
    </w:p>
    <w:p w14:paraId="7F629127" w14:textId="77777777" w:rsidR="002D7F1F" w:rsidRDefault="003A7B1B">
      <w:pPr>
        <w:pageBreakBefore/>
        <w:spacing w:line="480" w:lineRule="auto"/>
      </w:pPr>
      <w:r>
        <w:rPr>
          <w:b/>
        </w:rPr>
        <w:lastRenderedPageBreak/>
        <w:t>Abstract</w:t>
      </w:r>
    </w:p>
    <w:p w14:paraId="03678766" w14:textId="56ACF5FE" w:rsidR="002D7F1F" w:rsidRDefault="003A7B1B">
      <w:pPr>
        <w:rPr>
          <w:b/>
        </w:rPr>
      </w:pPr>
      <w:r>
        <w:tab/>
        <w:t>Biennial breeding is a rare life-history strategy observed in several long-lived bird and mammal species found in harsh, unproductive environments. This behavior is thought to occur in 10 of 14 species i</w:t>
      </w:r>
      <w:r>
        <w:t xml:space="preserve">n the genus </w:t>
      </w:r>
      <w:proofErr w:type="spellStart"/>
      <w:r w:rsidRPr="000E2314">
        <w:rPr>
          <w:i/>
        </w:rPr>
        <w:t>Marmota</w:t>
      </w:r>
      <w:proofErr w:type="spellEnd"/>
      <w:r>
        <w:t xml:space="preserve">, making marmots useful model organisms for studying its ecological and evolutionary implications. Biennial breeding in marmots is frequently described as an obligate behavior which evolved as a mechanism to mitigate the energetic costs </w:t>
      </w:r>
      <w:r>
        <w:t>of reproduction (</w:t>
      </w:r>
      <w:r>
        <w:t>Evolved Constraint hypothesis). However, recent anecdotal evidence suggests that it is a facultative behavior controlled by annual variation in climate and food availability (</w:t>
      </w:r>
      <w:r>
        <w:t>Environmental Constraint hypothesis). Finally, in social</w:t>
      </w:r>
      <w:r>
        <w:t xml:space="preserve"> animals like marmots, biennial breeding could result from reproductive competition between females within social groups (</w:t>
      </w:r>
      <w:r>
        <w:t xml:space="preserve">Social Constraint hypothesis). We evaluated these three hypotheses using mark-recapture data from an 8-year study of hoary marmot </w:t>
      </w:r>
      <w:r>
        <w:t>(</w:t>
      </w:r>
      <w:proofErr w:type="spellStart"/>
      <w:r>
        <w:rPr>
          <w:i/>
        </w:rPr>
        <w:t>Marmota</w:t>
      </w:r>
      <w:proofErr w:type="spellEnd"/>
      <w:r>
        <w:rPr>
          <w:i/>
        </w:rPr>
        <w:t xml:space="preserve"> </w:t>
      </w:r>
      <w:proofErr w:type="spellStart"/>
      <w:r>
        <w:rPr>
          <w:i/>
        </w:rPr>
        <w:t>caligata</w:t>
      </w:r>
      <w:proofErr w:type="spellEnd"/>
      <w:r>
        <w:t>) population dynamics in the Yukon. Annual variation in breeding probability was modeled using multi-state mark-recapture models, while other reproductive life-history traits were modeled with generalized linear mixed models. Hoary marmots</w:t>
      </w:r>
      <w:r>
        <w:t xml:space="preserve"> were neither obligate nor facultative biennial breeders, and breeding effort was insensitive to evolved, environmental, or social factors. However, newly mature females were significantly less likely to breed than older individuals. Annual breeding did no</w:t>
      </w:r>
      <w:r>
        <w:t xml:space="preserve">t result in increased mortality. Average fecundity and female survival were correlated with winter climate, as indexed by the Pacific Decadal Oscillation. Hoary marmots are less conservative breeders than previously believed, and the evidence for biennial </w:t>
      </w:r>
      <w:r>
        <w:t xml:space="preserve">breeding throughout </w:t>
      </w:r>
      <w:proofErr w:type="spellStart"/>
      <w:r w:rsidRPr="000E2314">
        <w:rPr>
          <w:i/>
        </w:rPr>
        <w:t>Marmota</w:t>
      </w:r>
      <w:proofErr w:type="spellEnd"/>
      <w:r>
        <w:t>, and in other alpine animals, should be re-examined. Prediction of future population dynamics requires an accurate understanding of life history strategies, and of how life history traits allow animals to cope with changes in we</w:t>
      </w:r>
      <w:r>
        <w:t>ather and other demographic influences.</w:t>
      </w:r>
    </w:p>
    <w:p w14:paraId="35C1FBB1" w14:textId="77777777" w:rsidR="002D7F1F" w:rsidRDefault="003A7B1B">
      <w:pPr>
        <w:rPr>
          <w:b/>
        </w:rPr>
      </w:pPr>
    </w:p>
    <w:p w14:paraId="6DE19282" w14:textId="77777777" w:rsidR="002D7F1F" w:rsidRDefault="003A7B1B">
      <w:pPr>
        <w:pageBreakBefore/>
        <w:spacing w:line="480" w:lineRule="auto"/>
      </w:pPr>
      <w:r>
        <w:rPr>
          <w:b/>
        </w:rPr>
        <w:lastRenderedPageBreak/>
        <w:t>Introduction</w:t>
      </w:r>
    </w:p>
    <w:p w14:paraId="01BE83EF" w14:textId="6AF638C0" w:rsidR="002D7F1F" w:rsidRDefault="003A7B1B">
      <w:pPr>
        <w:spacing w:line="480" w:lineRule="auto"/>
      </w:pPr>
      <w:r>
        <w:tab/>
        <w:t xml:space="preserve">Animals living in harsh, unpredictable environments may require unusual life history strategies to maximize their fitness. Biennial </w:t>
      </w:r>
      <w:r w:rsidR="004C265B">
        <w:t>breeding</w:t>
      </w:r>
      <w:r>
        <w:t xml:space="preserve"> or reproductive skipping, is one such strategy, and is prac</w:t>
      </w:r>
      <w:r>
        <w:t>ticed by only a few groups of long-lived birds and mammals that live in polar and alpine habitats (</w:t>
      </w:r>
      <w:proofErr w:type="spellStart"/>
      <w:r>
        <w:t>Heezik</w:t>
      </w:r>
      <w:proofErr w:type="spellEnd"/>
      <w:r>
        <w:t xml:space="preserve"> et al. 1994, </w:t>
      </w:r>
      <w:proofErr w:type="spellStart"/>
      <w:r>
        <w:t>Chastel</w:t>
      </w:r>
      <w:proofErr w:type="spellEnd"/>
      <w:r>
        <w:t xml:space="preserve"> 1995, Blumstein and </w:t>
      </w:r>
      <w:proofErr w:type="spellStart"/>
      <w:r>
        <w:t>Armitage</w:t>
      </w:r>
      <w:proofErr w:type="spellEnd"/>
      <w:r>
        <w:t xml:space="preserve"> 1999, Dane 2002). This behavior is generally explained as a way of maximizing lifetime reproductive </w:t>
      </w:r>
      <w:r>
        <w:t>output when frequent reproduction is energetically costly and dangerous</w:t>
      </w:r>
      <w:r>
        <w:t xml:space="preserve"> (</w:t>
      </w:r>
      <w:proofErr w:type="spellStart"/>
      <w:r>
        <w:t>Wasser</w:t>
      </w:r>
      <w:proofErr w:type="spellEnd"/>
      <w:r>
        <w:t xml:space="preserve"> and </w:t>
      </w:r>
      <w:proofErr w:type="spellStart"/>
      <w:r>
        <w:t>Barash</w:t>
      </w:r>
      <w:proofErr w:type="spellEnd"/>
      <w:r>
        <w:t xml:space="preserve"> 1983, </w:t>
      </w:r>
      <w:proofErr w:type="spellStart"/>
      <w:r>
        <w:t>Chastel</w:t>
      </w:r>
      <w:proofErr w:type="spellEnd"/>
      <w:r>
        <w:t xml:space="preserve"> 1995, </w:t>
      </w:r>
      <w:proofErr w:type="spellStart"/>
      <w:r>
        <w:t>Jouventin</w:t>
      </w:r>
      <w:proofErr w:type="spellEnd"/>
      <w:r>
        <w:t xml:space="preserve"> and Dobson 2002, Griffin et al. 2007). However, harsh environments can also be highly stochastic (</w:t>
      </w:r>
      <w:proofErr w:type="spellStart"/>
      <w:r>
        <w:t>Wingfield</w:t>
      </w:r>
      <w:proofErr w:type="spellEnd"/>
      <w:r>
        <w:t xml:space="preserve"> and </w:t>
      </w:r>
      <w:proofErr w:type="spellStart"/>
      <w:r>
        <w:t>Kitaysky</w:t>
      </w:r>
      <w:proofErr w:type="spellEnd"/>
      <w:r>
        <w:t xml:space="preserve"> 2002, Schwart</w:t>
      </w:r>
      <w:r>
        <w:t xml:space="preserve">z and </w:t>
      </w:r>
      <w:proofErr w:type="spellStart"/>
      <w:r>
        <w:t>Armitage</w:t>
      </w:r>
      <w:proofErr w:type="spellEnd"/>
      <w:r>
        <w:t xml:space="preserve"> 2004, Martin and </w:t>
      </w:r>
      <w:proofErr w:type="spellStart"/>
      <w:r>
        <w:t>Wiebe</w:t>
      </w:r>
      <w:proofErr w:type="spellEnd"/>
      <w:r>
        <w:t xml:space="preserve"> 2004). In such situations, a conservative life history strategy involving biennial breeding may be maladaptive, because animals that skip one reproductive opportunity may not live long enough to reproduce in the future</w:t>
      </w:r>
      <w:r>
        <w:t xml:space="preserve"> (Benton et al. 1995).</w:t>
      </w:r>
    </w:p>
    <w:p w14:paraId="04D8214C" w14:textId="77777777" w:rsidR="002D7F1F" w:rsidRDefault="003A7B1B">
      <w:pPr>
        <w:spacing w:line="480" w:lineRule="auto"/>
      </w:pPr>
      <w:r>
        <w:tab/>
        <w:t xml:space="preserve">The best documentation for biennial breeding </w:t>
      </w:r>
      <w:proofErr w:type="spellStart"/>
      <w:r>
        <w:t>behaviour</w:t>
      </w:r>
      <w:proofErr w:type="spellEnd"/>
      <w:r>
        <w:t xml:space="preserve"> comes from long-lived seabird species with small clutch sizes (</w:t>
      </w:r>
      <w:proofErr w:type="spellStart"/>
      <w:r>
        <w:t>Heezik</w:t>
      </w:r>
      <w:proofErr w:type="spellEnd"/>
      <w:r>
        <w:t xml:space="preserve"> et al. 1994, </w:t>
      </w:r>
      <w:proofErr w:type="spellStart"/>
      <w:r>
        <w:t>Chastel</w:t>
      </w:r>
      <w:proofErr w:type="spellEnd"/>
      <w:r>
        <w:t xml:space="preserve"> 1995, </w:t>
      </w:r>
      <w:proofErr w:type="spellStart"/>
      <w:r>
        <w:t>Jouventin</w:t>
      </w:r>
      <w:proofErr w:type="spellEnd"/>
      <w:r>
        <w:t xml:space="preserve"> and Dobson 2002). For example, most albatross species can live for 40 </w:t>
      </w:r>
      <w:r>
        <w:t>years or more and lay only one egg at a time (</w:t>
      </w:r>
      <w:proofErr w:type="spellStart"/>
      <w:r>
        <w:t>Jouventin</w:t>
      </w:r>
      <w:proofErr w:type="spellEnd"/>
      <w:r>
        <w:t xml:space="preserve"> and Dobson 2002). Reproductive skipping may be beneficial for these species because their life histories prioritize parental investment in a limited number of young. </w:t>
      </w:r>
    </w:p>
    <w:p w14:paraId="7282204C" w14:textId="2365E165" w:rsidR="002D7F1F" w:rsidRDefault="003A7B1B">
      <w:pPr>
        <w:spacing w:line="480" w:lineRule="auto"/>
        <w:ind w:firstLine="720"/>
      </w:pPr>
      <w:r>
        <w:t xml:space="preserve">Among mammals, </w:t>
      </w:r>
      <w:r>
        <w:t>biennial breeding</w:t>
      </w:r>
      <w:r>
        <w:t xml:space="preserve"> is </w:t>
      </w:r>
      <w:r>
        <w:t xml:space="preserve">common in the genus </w:t>
      </w:r>
      <w:proofErr w:type="spellStart"/>
      <w:r>
        <w:rPr>
          <w:i/>
        </w:rPr>
        <w:t>Marmota</w:t>
      </w:r>
      <w:proofErr w:type="spellEnd"/>
      <w:r>
        <w:t>. Of the fourteen extant marmot species, ten have been reported to skip one or more years when breeding (Blumst</w:t>
      </w:r>
      <w:r>
        <w:t xml:space="preserve">ein and </w:t>
      </w:r>
      <w:proofErr w:type="spellStart"/>
      <w:r>
        <w:t>Armitage</w:t>
      </w:r>
      <w:proofErr w:type="spellEnd"/>
      <w:r>
        <w:t xml:space="preserve"> 1999). </w:t>
      </w:r>
      <w:r>
        <w:rPr>
          <w:bCs/>
          <w:lang w:bidi="en-US"/>
        </w:rPr>
        <w:t xml:space="preserve">As with biennial - breeding birds, most marmot species live in arctic or alpine environments with harsh but variable weather. Marmots are also relatively long lived and </w:t>
      </w:r>
      <w:proofErr w:type="spellStart"/>
      <w:r>
        <w:rPr>
          <w:bCs/>
          <w:lang w:bidi="en-US"/>
        </w:rPr>
        <w:t>philopatric</w:t>
      </w:r>
      <w:proofErr w:type="spellEnd"/>
      <w:r>
        <w:rPr>
          <w:bCs/>
          <w:lang w:bidi="en-US"/>
        </w:rPr>
        <w:t>, making them a convenient choice for long-term popu</w:t>
      </w:r>
      <w:r>
        <w:rPr>
          <w:bCs/>
          <w:lang w:bidi="en-US"/>
        </w:rPr>
        <w:t xml:space="preserve">lation-level studies of breeding </w:t>
      </w:r>
      <w:proofErr w:type="spellStart"/>
      <w:r>
        <w:rPr>
          <w:bCs/>
          <w:lang w:bidi="en-US"/>
        </w:rPr>
        <w:t>behaviour</w:t>
      </w:r>
      <w:proofErr w:type="spellEnd"/>
      <w:r>
        <w:rPr>
          <w:bCs/>
          <w:lang w:bidi="en-US"/>
        </w:rPr>
        <w:t xml:space="preserve">. </w:t>
      </w:r>
      <w:r>
        <w:t xml:space="preserve">Three alternative but not mutually exclusive hypotheses could explain biennial breeding in marmots: the </w:t>
      </w:r>
      <w:r>
        <w:lastRenderedPageBreak/>
        <w:t>Evolved Constraint hypothesis, the Ecological Constraint hypothesis, and the Social Constraint hypothesis.</w:t>
      </w:r>
    </w:p>
    <w:p w14:paraId="051E0396" w14:textId="77777777" w:rsidR="002D7F1F" w:rsidRDefault="003A7B1B">
      <w:pPr>
        <w:spacing w:line="480" w:lineRule="auto"/>
      </w:pPr>
      <w:r>
        <w:tab/>
      </w:r>
      <w:r>
        <w:t>The Evolved Constraint hypothesis, which is similar to the explanation proposed for albatrosses, predicts that biennial breeding in marmots is a highly canalized evolved strategy for minimizing the costs of reproduction in a harsh environment. This hypothe</w:t>
      </w:r>
      <w:r>
        <w:t>sis is difficult to test directly. However, it leads to the prediction that annual breeding should be extremely rare or absent, and that females who breed twice in a row should incur a heavy fitness cost (</w:t>
      </w:r>
      <w:proofErr w:type="spellStart"/>
      <w:r>
        <w:t>Weimerskirch</w:t>
      </w:r>
      <w:proofErr w:type="spellEnd"/>
      <w:r>
        <w:t xml:space="preserve"> et al. 1987), either through reduced s</w:t>
      </w:r>
      <w:r>
        <w:t>urvival or fecundity. Breeding female hoary and Olympic marmots spend more time foraging, stay active later in the fall, and weigh less at immergence than non-breeders, which suggests that there is a physiological cost of breeding for marmots (</w:t>
      </w:r>
      <w:proofErr w:type="spellStart"/>
      <w:r>
        <w:t>Barash</w:t>
      </w:r>
      <w:proofErr w:type="spellEnd"/>
      <w:r>
        <w:t xml:space="preserve"> 1980)</w:t>
      </w:r>
      <w:r>
        <w:t xml:space="preserve">. However, the impact of this energetic loss on survival has not been determined. </w:t>
      </w:r>
    </w:p>
    <w:p w14:paraId="6B7C469D" w14:textId="6A68D468" w:rsidR="002D7F1F" w:rsidRDefault="003A7B1B">
      <w:pPr>
        <w:spacing w:line="480" w:lineRule="auto"/>
      </w:pPr>
      <w:r>
        <w:tab/>
        <w:t xml:space="preserve">Both Olympic and hoary marmots are considered biennial breeders, but annual breeding has been anecdotally observed in both species (Kyle et al. 2007, Griffin et al. 2007). </w:t>
      </w:r>
      <w:r>
        <w:t>This leads to the Ecological Constraint hypothesis, which predicts that biennial breeding in marmots may only occur when the environment is too unproductive or the animal’s condition is too poor to support more frequent reproduction. Based on this hypothes</w:t>
      </w:r>
      <w:r>
        <w:t xml:space="preserve">is, annual breeding may be a common occurrence, but previous breeding state should be correlated with the probability of breeding in the current year (due to the physiological costs described in </w:t>
      </w:r>
      <w:proofErr w:type="spellStart"/>
      <w:r>
        <w:t>Barash</w:t>
      </w:r>
      <w:proofErr w:type="spellEnd"/>
      <w:r>
        <w:t xml:space="preserve"> 1980). The Ecological Constraint </w:t>
      </w:r>
      <w:r w:rsidR="004C265B">
        <w:t>h</w:t>
      </w:r>
      <w:r>
        <w:t>ypothesis</w:t>
      </w:r>
      <w:r>
        <w:t xml:space="preserve"> also </w:t>
      </w:r>
      <w:r>
        <w:t>predict</w:t>
      </w:r>
      <w:r>
        <w:t>s</w:t>
      </w:r>
      <w:r>
        <w:t xml:space="preserve"> that the probability of breeding should be a function of environmental conditions, such as winter climate. However, the effects of climate and breeding history could be additive or interactive. </w:t>
      </w:r>
    </w:p>
    <w:p w14:paraId="19ADECEC" w14:textId="3C161985" w:rsidR="002D7F1F" w:rsidRDefault="003A7B1B">
      <w:pPr>
        <w:spacing w:line="480" w:lineRule="auto"/>
      </w:pPr>
      <w:r>
        <w:tab/>
        <w:t>Because marmots are social animals, bien</w:t>
      </w:r>
      <w:r>
        <w:t>nial breeding may also be caused by competition between females (</w:t>
      </w:r>
      <w:r>
        <w:t xml:space="preserve">Social Constraint </w:t>
      </w:r>
      <w:r>
        <w:t>h</w:t>
      </w:r>
      <w:r>
        <w:t>ypothesis). Dominant females suppress reproduction by subordinates in both alpine and yellow-bellied marmot social groups (</w:t>
      </w:r>
      <w:proofErr w:type="spellStart"/>
      <w:r>
        <w:t>Armitage</w:t>
      </w:r>
      <w:proofErr w:type="spellEnd"/>
      <w:r>
        <w:t xml:space="preserve"> and Schwartz 2000, </w:t>
      </w:r>
      <w:proofErr w:type="spellStart"/>
      <w:r>
        <w:t>Hackländer</w:t>
      </w:r>
      <w:proofErr w:type="spellEnd"/>
      <w:r>
        <w:t xml:space="preserve"> et al</w:t>
      </w:r>
      <w:r>
        <w:t xml:space="preserve">. 2003). In alpine marmots, this behavior leads to higher survival among the dominant </w:t>
      </w:r>
      <w:r>
        <w:lastRenderedPageBreak/>
        <w:t>female’s offspring, which benefit from the presence of non-breeding subordinate adults during hibernation (Arnold 1990). Most biennial breeding marmot sp</w:t>
      </w:r>
      <w:r>
        <w:t>ecies are though</w:t>
      </w:r>
      <w:r>
        <w:t>t to practice reproductive suppression, but suppression has been difficult to document in wild populations (</w:t>
      </w:r>
      <w:proofErr w:type="spellStart"/>
      <w:r>
        <w:t>Wasser</w:t>
      </w:r>
      <w:proofErr w:type="spellEnd"/>
      <w:r>
        <w:t xml:space="preserve"> and </w:t>
      </w:r>
      <w:proofErr w:type="spellStart"/>
      <w:r>
        <w:t>Barash</w:t>
      </w:r>
      <w:proofErr w:type="spellEnd"/>
      <w:r>
        <w:t xml:space="preserve"> 1983, Griffin et al. 2007). If this hypothesis is true, the average probability of breeding should decrease as the number of matur</w:t>
      </w:r>
      <w:r>
        <w:t xml:space="preserve">e females per group increases (Blumstein and </w:t>
      </w:r>
      <w:proofErr w:type="spellStart"/>
      <w:r>
        <w:t>Armitage</w:t>
      </w:r>
      <w:proofErr w:type="spellEnd"/>
      <w:r>
        <w:t xml:space="preserve"> 1998). Reproductive suppression may also result in decreased breeding probability for younger females, especially in larger groups (</w:t>
      </w:r>
      <w:proofErr w:type="spellStart"/>
      <w:r>
        <w:t>Armitage</w:t>
      </w:r>
      <w:proofErr w:type="spellEnd"/>
      <w:r>
        <w:t xml:space="preserve"> and Schwartz 2000).</w:t>
      </w:r>
    </w:p>
    <w:p w14:paraId="4066E530" w14:textId="77777777" w:rsidR="002D7F1F" w:rsidRDefault="003A7B1B">
      <w:pPr>
        <w:spacing w:line="480" w:lineRule="auto"/>
      </w:pPr>
      <w:r>
        <w:tab/>
        <w:t>We studied the breeding patterns of hoar</w:t>
      </w:r>
      <w:r>
        <w:t>y marmots in the Yukon, Canada using multi-state mark-recapture models. Our main objectives were to determine the probability of annual and biennial breeding, and to evaluate the relative support for the three hypotheses described above. We also quantified</w:t>
      </w:r>
      <w:r>
        <w:t xml:space="preserve"> the survival cost associated with reproduction, and compared this cost with the influence of winter climate on survival. Finally, we examined sources of variation in average social group fecundity and litter size to determine whether the processes that go</w:t>
      </w:r>
      <w:r>
        <w:t>verned breeding probability also influenced other reproductive life history traits.</w:t>
      </w:r>
    </w:p>
    <w:p w14:paraId="467338E8" w14:textId="77777777" w:rsidR="002D7F1F" w:rsidRDefault="003A7B1B">
      <w:pPr>
        <w:spacing w:line="480" w:lineRule="auto"/>
      </w:pPr>
    </w:p>
    <w:p w14:paraId="4D5AE749" w14:textId="77777777" w:rsidR="002D7F1F" w:rsidRDefault="003A7B1B">
      <w:pPr>
        <w:rPr>
          <w:b/>
        </w:rPr>
      </w:pPr>
    </w:p>
    <w:p w14:paraId="3367AE8B" w14:textId="77777777" w:rsidR="002D7F1F" w:rsidRDefault="003A7B1B">
      <w:pPr>
        <w:pageBreakBefore/>
        <w:spacing w:line="480" w:lineRule="auto"/>
      </w:pPr>
      <w:r>
        <w:rPr>
          <w:b/>
        </w:rPr>
        <w:lastRenderedPageBreak/>
        <w:t>Methods</w:t>
      </w:r>
    </w:p>
    <w:p w14:paraId="2B9FC7DD" w14:textId="77777777" w:rsidR="002D7F1F" w:rsidRDefault="003A7B1B">
      <w:pPr>
        <w:spacing w:line="480" w:lineRule="auto"/>
      </w:pPr>
      <w:r>
        <w:t>Study species</w:t>
      </w:r>
    </w:p>
    <w:p w14:paraId="2BC33A0F" w14:textId="33ED922C" w:rsidR="002D7F1F" w:rsidRDefault="003A7B1B">
      <w:pPr>
        <w:spacing w:line="480" w:lineRule="auto"/>
        <w:ind w:firstLine="720"/>
        <w:rPr>
          <w:i/>
        </w:rPr>
      </w:pPr>
      <w:r>
        <w:t>Hoary marmots are highly social arctic and alpine herbivores that live near patches of exposed talus scattered throughout the mountains of western C</w:t>
      </w:r>
      <w:r>
        <w:t>anada (</w:t>
      </w:r>
      <w:proofErr w:type="spellStart"/>
      <w:r>
        <w:t>Barash</w:t>
      </w:r>
      <w:proofErr w:type="spellEnd"/>
      <w:r>
        <w:t xml:space="preserve"> et al. 1980). Unlike other alpine marmot species, hoary marmot family groups may exhibit both monogamous and </w:t>
      </w:r>
      <w:proofErr w:type="spellStart"/>
      <w:r>
        <w:t>polyg</w:t>
      </w:r>
      <w:r w:rsidR="004C265B">
        <w:t>y</w:t>
      </w:r>
      <w:r>
        <w:t>nous</w:t>
      </w:r>
      <w:proofErr w:type="spellEnd"/>
      <w:r>
        <w:t xml:space="preserve"> mating strategies (Kyle et al. 2007). Although dominant females may suppress reproduction by subordinates or practice infa</w:t>
      </w:r>
      <w:r>
        <w:t>nticide, multiple litters per family group, from multiple females, are common.  Typically, family groups contain only one dominant male, who fathers all offspring. In our study site, extra-pair paternity was infrequent, and the timing of juvenile emergence</w:t>
      </w:r>
      <w:r>
        <w:t xml:space="preserve"> suggests that most reproduction occurs prior to emergence from hibernacula in the spring (Kyle et al. 2007).</w:t>
      </w:r>
    </w:p>
    <w:p w14:paraId="7B9723F1" w14:textId="77777777" w:rsidR="002D7F1F" w:rsidRDefault="003A7B1B">
      <w:pPr>
        <w:spacing w:line="480" w:lineRule="auto"/>
        <w:rPr>
          <w:i/>
        </w:rPr>
      </w:pPr>
    </w:p>
    <w:p w14:paraId="704AD43A" w14:textId="77777777" w:rsidR="002D7F1F" w:rsidRDefault="003A7B1B">
      <w:pPr>
        <w:spacing w:line="480" w:lineRule="auto"/>
      </w:pPr>
      <w:r>
        <w:t>Study Site</w:t>
      </w:r>
    </w:p>
    <w:p w14:paraId="01BCA2B2" w14:textId="4BFED140" w:rsidR="002D7F1F" w:rsidRDefault="003A7B1B">
      <w:pPr>
        <w:spacing w:line="480" w:lineRule="auto"/>
      </w:pPr>
      <w:r>
        <w:tab/>
        <w:t>This study was conducted on hoary marmots inhabiting a single 4 km</w:t>
      </w:r>
      <w:r>
        <w:rPr>
          <w:vertAlign w:val="superscript"/>
        </w:rPr>
        <w:t>2</w:t>
      </w:r>
      <w:r>
        <w:t xml:space="preserve"> valley in the Southwest Yukon (61º12’N, 138º16’W; 1700-2100m).  T</w:t>
      </w:r>
      <w:r>
        <w:t xml:space="preserve">he valley is entirely above </w:t>
      </w:r>
      <w:r w:rsidR="004C265B">
        <w:t>tree-line</w:t>
      </w:r>
      <w:r>
        <w:t xml:space="preserve">, and is characterized by a mix of wet and dry tundra interspersed with talus.  Dominant plant species include </w:t>
      </w:r>
      <w:proofErr w:type="spellStart"/>
      <w:r>
        <w:rPr>
          <w:i/>
        </w:rPr>
        <w:t>Dryas</w:t>
      </w:r>
      <w:proofErr w:type="spellEnd"/>
      <w:r>
        <w:rPr>
          <w:i/>
        </w:rPr>
        <w:t xml:space="preserve"> </w:t>
      </w:r>
      <w:proofErr w:type="spellStart"/>
      <w:r>
        <w:rPr>
          <w:i/>
        </w:rPr>
        <w:t>octopetala</w:t>
      </w:r>
      <w:proofErr w:type="spellEnd"/>
      <w:r>
        <w:rPr>
          <w:i/>
        </w:rPr>
        <w:t xml:space="preserve">, </w:t>
      </w:r>
      <w:proofErr w:type="spellStart"/>
      <w:r>
        <w:rPr>
          <w:i/>
        </w:rPr>
        <w:t>Cassiope</w:t>
      </w:r>
      <w:proofErr w:type="spellEnd"/>
      <w:r>
        <w:rPr>
          <w:i/>
        </w:rPr>
        <w:t xml:space="preserve"> </w:t>
      </w:r>
      <w:proofErr w:type="spellStart"/>
      <w:r>
        <w:rPr>
          <w:i/>
        </w:rPr>
        <w:t>tetragona</w:t>
      </w:r>
      <w:proofErr w:type="spellEnd"/>
      <w:r>
        <w:rPr>
          <w:i/>
        </w:rPr>
        <w:t xml:space="preserve">, </w:t>
      </w:r>
      <w:proofErr w:type="spellStart"/>
      <w:r>
        <w:rPr>
          <w:i/>
        </w:rPr>
        <w:t>Carex</w:t>
      </w:r>
      <w:proofErr w:type="spellEnd"/>
      <w:r>
        <w:rPr>
          <w:i/>
        </w:rPr>
        <w:t xml:space="preserve"> spp.</w:t>
      </w:r>
      <w:r>
        <w:t>, and a variety of dwarf willow species (</w:t>
      </w:r>
      <w:r>
        <w:rPr>
          <w:i/>
        </w:rPr>
        <w:t>Salix spp</w:t>
      </w:r>
      <w:r>
        <w:t>.)  Hoary m</w:t>
      </w:r>
      <w:r>
        <w:t xml:space="preserve">armots, collared </w:t>
      </w:r>
      <w:proofErr w:type="spellStart"/>
      <w:r>
        <w:t>pikas</w:t>
      </w:r>
      <w:proofErr w:type="spellEnd"/>
      <w:r>
        <w:t xml:space="preserve"> (</w:t>
      </w:r>
      <w:proofErr w:type="spellStart"/>
      <w:r>
        <w:rPr>
          <w:i/>
        </w:rPr>
        <w:t>Ochotona</w:t>
      </w:r>
      <w:proofErr w:type="spellEnd"/>
      <w:r>
        <w:rPr>
          <w:i/>
        </w:rPr>
        <w:t xml:space="preserve"> </w:t>
      </w:r>
      <w:proofErr w:type="spellStart"/>
      <w:r>
        <w:rPr>
          <w:i/>
        </w:rPr>
        <w:t>collaris</w:t>
      </w:r>
      <w:proofErr w:type="spellEnd"/>
      <w:r>
        <w:t>), and arctic ground squirrels (</w:t>
      </w:r>
      <w:proofErr w:type="spellStart"/>
      <w:r>
        <w:rPr>
          <w:i/>
        </w:rPr>
        <w:t>Urocitellus</w:t>
      </w:r>
      <w:proofErr w:type="spellEnd"/>
      <w:r>
        <w:rPr>
          <w:i/>
        </w:rPr>
        <w:t xml:space="preserve"> </w:t>
      </w:r>
      <w:proofErr w:type="spellStart"/>
      <w:r>
        <w:rPr>
          <w:i/>
        </w:rPr>
        <w:t>parryii</w:t>
      </w:r>
      <w:proofErr w:type="spellEnd"/>
      <w:r>
        <w:t xml:space="preserve">) are the dominant herbivores, although </w:t>
      </w:r>
      <w:r>
        <w:t>c</w:t>
      </w:r>
      <w:r>
        <w:t xml:space="preserve">aribou and </w:t>
      </w:r>
      <w:proofErr w:type="spellStart"/>
      <w:proofErr w:type="gramStart"/>
      <w:r w:rsidR="004C265B">
        <w:t>d</w:t>
      </w:r>
      <w:r>
        <w:t>all</w:t>
      </w:r>
      <w:proofErr w:type="spellEnd"/>
      <w:proofErr w:type="gramEnd"/>
      <w:r>
        <w:t xml:space="preserve"> </w:t>
      </w:r>
      <w:r>
        <w:t>s</w:t>
      </w:r>
      <w:r>
        <w:t xml:space="preserve">heep are also present.  </w:t>
      </w:r>
    </w:p>
    <w:p w14:paraId="3CBA3040" w14:textId="77777777" w:rsidR="002D7F1F" w:rsidRDefault="003A7B1B">
      <w:pPr>
        <w:spacing w:line="480" w:lineRule="auto"/>
      </w:pPr>
    </w:p>
    <w:p w14:paraId="4DD9D9D3" w14:textId="77777777" w:rsidR="002D7F1F" w:rsidRDefault="003A7B1B">
      <w:pPr>
        <w:pStyle w:val="Heading3"/>
        <w:spacing w:before="0" w:after="0" w:line="480" w:lineRule="auto"/>
        <w:rPr>
          <w:color w:val="000000"/>
          <w:szCs w:val="24"/>
          <w:lang w:val="en-GB"/>
        </w:rPr>
      </w:pPr>
      <w:r>
        <w:rPr>
          <w:i w:val="0"/>
          <w:szCs w:val="24"/>
          <w:u w:val="none"/>
        </w:rPr>
        <w:t>Capture methods</w:t>
      </w:r>
    </w:p>
    <w:p w14:paraId="39864493" w14:textId="1963AD6A" w:rsidR="002D7F1F" w:rsidRDefault="003A7B1B">
      <w:pPr>
        <w:widowControl w:val="0"/>
        <w:spacing w:line="480" w:lineRule="auto"/>
        <w:ind w:firstLine="720"/>
        <w:rPr>
          <w:color w:val="000000"/>
        </w:rPr>
      </w:pPr>
      <w:r>
        <w:rPr>
          <w:color w:val="000000"/>
          <w:lang w:val="en-GB"/>
        </w:rPr>
        <w:t>From May to August, 1999 to 2004, we live-captured, marked and</w:t>
      </w:r>
      <w:r>
        <w:rPr>
          <w:color w:val="000000"/>
          <w:lang w:val="en-GB"/>
        </w:rPr>
        <w:t xml:space="preserve"> released most marmots in the population, </w:t>
      </w:r>
      <w:r>
        <w:rPr>
          <w:color w:val="000000"/>
        </w:rPr>
        <w:t xml:space="preserve">Live-traps of various sizes (Tomahawk Live Trap Company, Tomahawk, WI) were baited with human urine </w:t>
      </w:r>
      <w:r>
        <w:rPr>
          <w:color w:val="000000"/>
          <w:lang w:val="en-GB"/>
        </w:rPr>
        <w:t>(</w:t>
      </w:r>
      <w:proofErr w:type="spellStart"/>
      <w:r>
        <w:rPr>
          <w:color w:val="000000"/>
          <w:lang w:val="en-GB"/>
        </w:rPr>
        <w:t>Taulman</w:t>
      </w:r>
      <w:proofErr w:type="spellEnd"/>
      <w:r>
        <w:rPr>
          <w:color w:val="000000"/>
        </w:rPr>
        <w:t xml:space="preserve"> 1989) and live vegetation from the adjacent alpine meadows (Hansen 1975; Holmes 1984). Juveniles were cap</w:t>
      </w:r>
      <w:r>
        <w:rPr>
          <w:color w:val="000000"/>
        </w:rPr>
        <w:t>tured upon emergence from the natal burrow in early- to mid-</w:t>
      </w:r>
      <w:r>
        <w:rPr>
          <w:color w:val="000000"/>
        </w:rPr>
        <w:lastRenderedPageBreak/>
        <w:t xml:space="preserve">July.  At first capture, all marmots were marked in each ear using No. 3 </w:t>
      </w:r>
      <w:proofErr w:type="spellStart"/>
      <w:proofErr w:type="gramStart"/>
      <w:r>
        <w:rPr>
          <w:color w:val="000000"/>
        </w:rPr>
        <w:t>monel</w:t>
      </w:r>
      <w:proofErr w:type="spellEnd"/>
      <w:proofErr w:type="gramEnd"/>
      <w:r>
        <w:rPr>
          <w:color w:val="000000"/>
        </w:rPr>
        <w:t xml:space="preserve"> tags (National Band and Tag, Newport, Kentucky) and a small piece of colored wire. A unique alphanumeric combination </w:t>
      </w:r>
      <w:r>
        <w:rPr>
          <w:color w:val="000000"/>
        </w:rPr>
        <w:t xml:space="preserve">was dyed (Clairol </w:t>
      </w:r>
      <w:proofErr w:type="spellStart"/>
      <w:r>
        <w:rPr>
          <w:color w:val="000000"/>
        </w:rPr>
        <w:t>Hydrience</w:t>
      </w:r>
      <w:proofErr w:type="spellEnd"/>
      <w:r>
        <w:rPr>
          <w:color w:val="000000"/>
        </w:rPr>
        <w:t xml:space="preserve">, #52 Black Pearl, Clairol Canada, Montreal, Quebec or </w:t>
      </w:r>
      <w:proofErr w:type="spellStart"/>
      <w:r>
        <w:rPr>
          <w:color w:val="000000"/>
        </w:rPr>
        <w:t>Nyanzol</w:t>
      </w:r>
      <w:proofErr w:type="spellEnd"/>
      <w:r>
        <w:rPr>
          <w:color w:val="000000"/>
        </w:rPr>
        <w:t xml:space="preserve">-D American </w:t>
      </w:r>
      <w:proofErr w:type="spellStart"/>
      <w:r>
        <w:rPr>
          <w:color w:val="000000"/>
        </w:rPr>
        <w:t>Colour</w:t>
      </w:r>
      <w:proofErr w:type="spellEnd"/>
      <w:r>
        <w:rPr>
          <w:color w:val="000000"/>
        </w:rPr>
        <w:t xml:space="preserve"> and Chemical Corp., Charlotte, NC) into the fur above the tail to allow for individual identification </w:t>
      </w:r>
      <w:r>
        <w:rPr>
          <w:color w:val="000000"/>
        </w:rPr>
        <w:t>at</w:t>
      </w:r>
      <w:r w:rsidR="004C265B">
        <w:rPr>
          <w:color w:val="000000"/>
        </w:rPr>
        <w:t xml:space="preserve"> </w:t>
      </w:r>
      <w:r>
        <w:rPr>
          <w:color w:val="000000"/>
        </w:rPr>
        <w:t>up</w:t>
      </w:r>
      <w:r>
        <w:rPr>
          <w:color w:val="000000"/>
        </w:rPr>
        <w:t xml:space="preserve"> to 200 m with binoculars. Colored wires w</w:t>
      </w:r>
      <w:r>
        <w:rPr>
          <w:color w:val="000000"/>
        </w:rPr>
        <w:t xml:space="preserve">ere replaced annually, and faded dyed markings were reapplied as necessary at subsequent recaptures. Marmots were also </w:t>
      </w:r>
      <w:proofErr w:type="spellStart"/>
      <w:r>
        <w:rPr>
          <w:color w:val="000000"/>
        </w:rPr>
        <w:t>resighted</w:t>
      </w:r>
      <w:proofErr w:type="spellEnd"/>
      <w:r>
        <w:rPr>
          <w:color w:val="000000"/>
        </w:rPr>
        <w:t xml:space="preserve"> opportunistically by all field personnel throughout the summer, and their locations recorded according to a north-oriented grid</w:t>
      </w:r>
      <w:r>
        <w:rPr>
          <w:color w:val="000000"/>
        </w:rPr>
        <w:t xml:space="preserve"> marked at 50m intervals with wooden stakes. </w:t>
      </w:r>
    </w:p>
    <w:p w14:paraId="6F019BD5" w14:textId="77777777" w:rsidR="002D7F1F" w:rsidRDefault="003A7B1B">
      <w:pPr>
        <w:widowControl w:val="0"/>
        <w:spacing w:line="480" w:lineRule="auto"/>
        <w:ind w:firstLine="720"/>
        <w:rPr>
          <w:color w:val="000000"/>
        </w:rPr>
      </w:pPr>
    </w:p>
    <w:p w14:paraId="2BC431D1" w14:textId="77777777" w:rsidR="002D7F1F" w:rsidRDefault="003A7B1B">
      <w:pPr>
        <w:pStyle w:val="Heading3"/>
        <w:spacing w:before="0" w:after="0" w:line="480" w:lineRule="auto"/>
        <w:rPr>
          <w:color w:val="000000"/>
          <w:szCs w:val="24"/>
        </w:rPr>
      </w:pPr>
      <w:r>
        <w:rPr>
          <w:i w:val="0"/>
          <w:szCs w:val="24"/>
          <w:u w:val="none"/>
        </w:rPr>
        <w:t>Social group assignment</w:t>
      </w:r>
    </w:p>
    <w:p w14:paraId="20B7E6EF" w14:textId="77777777" w:rsidR="002D7F1F" w:rsidRDefault="003A7B1B">
      <w:pPr>
        <w:widowControl w:val="0"/>
        <w:spacing w:line="480" w:lineRule="auto"/>
        <w:ind w:firstLine="960"/>
        <w:rPr>
          <w:color w:val="000000"/>
        </w:rPr>
      </w:pPr>
      <w:r>
        <w:rPr>
          <w:color w:val="000000"/>
        </w:rPr>
        <w:t>Most individuals were assigned to a social group based on observations of spring emergence from a common hibernaculum. If animals were not observed at emergence, we assigned social grou</w:t>
      </w:r>
      <w:r>
        <w:rPr>
          <w:color w:val="000000"/>
        </w:rPr>
        <w:t xml:space="preserve">ps based on observation of social interactions and home-range overlap (Kyle et al. 2007). Individual home ranges were estimated using location data for </w:t>
      </w:r>
      <w:proofErr w:type="spellStart"/>
      <w:r>
        <w:rPr>
          <w:color w:val="000000"/>
        </w:rPr>
        <w:t>resighted</w:t>
      </w:r>
      <w:proofErr w:type="spellEnd"/>
      <w:r>
        <w:rPr>
          <w:color w:val="000000"/>
        </w:rPr>
        <w:t xml:space="preserve"> and radio-tagged marmots, which were analyzed in program Ranges V (</w:t>
      </w:r>
      <w:proofErr w:type="spellStart"/>
      <w:r>
        <w:rPr>
          <w:color w:val="000000"/>
        </w:rPr>
        <w:t>Kenward</w:t>
      </w:r>
      <w:proofErr w:type="spellEnd"/>
      <w:r>
        <w:rPr>
          <w:color w:val="000000"/>
        </w:rPr>
        <w:t xml:space="preserve"> and </w:t>
      </w:r>
      <w:proofErr w:type="spellStart"/>
      <w:r>
        <w:rPr>
          <w:color w:val="000000"/>
        </w:rPr>
        <w:t>Hodder</w:t>
      </w:r>
      <w:proofErr w:type="spellEnd"/>
      <w:r>
        <w:rPr>
          <w:color w:val="000000"/>
        </w:rPr>
        <w:t xml:space="preserve"> 1996). I</w:t>
      </w:r>
      <w:r>
        <w:rPr>
          <w:color w:val="000000"/>
        </w:rPr>
        <w:t>n a subset of marmots with known social group affiliations, group members had &gt;75% overlap in the 95% kernel estimate of home range (</w:t>
      </w:r>
      <w:proofErr w:type="spellStart"/>
      <w:r>
        <w:rPr>
          <w:color w:val="000000"/>
        </w:rPr>
        <w:t>Worton</w:t>
      </w:r>
      <w:proofErr w:type="spellEnd"/>
      <w:r>
        <w:rPr>
          <w:color w:val="000000"/>
        </w:rPr>
        <w:t xml:space="preserve"> 1989). We therefore used 75% as a cutoff for statistical social group assignments. These assignments were then verif</w:t>
      </w:r>
      <w:r>
        <w:rPr>
          <w:color w:val="000000"/>
        </w:rPr>
        <w:t>ied based on social interactions between individuals. Juveniles were assigned to the social group of their putative mother, which was subsequently verified using genetic markers (Kyle et al. 2007). Only marmots that could be confidently assigned to a socia</w:t>
      </w:r>
      <w:r>
        <w:rPr>
          <w:color w:val="000000"/>
        </w:rPr>
        <w:t>l group in our study area (i.e. non-transients) were included in our analyses.</w:t>
      </w:r>
    </w:p>
    <w:p w14:paraId="4A2327A7" w14:textId="77777777" w:rsidR="002D7F1F" w:rsidRDefault="003A7B1B">
      <w:pPr>
        <w:widowControl w:val="0"/>
        <w:spacing w:line="480" w:lineRule="auto"/>
        <w:ind w:firstLine="960"/>
        <w:rPr>
          <w:color w:val="000000"/>
        </w:rPr>
      </w:pPr>
    </w:p>
    <w:p w14:paraId="41B520C9" w14:textId="77777777" w:rsidR="002D7F1F" w:rsidRDefault="003A7B1B">
      <w:pPr>
        <w:widowControl w:val="0"/>
        <w:spacing w:line="480" w:lineRule="auto"/>
      </w:pPr>
      <w:r>
        <w:rPr>
          <w:color w:val="000000"/>
        </w:rPr>
        <w:t>Analyses</w:t>
      </w:r>
    </w:p>
    <w:p w14:paraId="5CB7A72B" w14:textId="77777777" w:rsidR="002D7F1F" w:rsidRDefault="003A7B1B">
      <w:pPr>
        <w:widowControl w:val="0"/>
        <w:spacing w:line="480" w:lineRule="auto"/>
        <w:ind w:firstLine="960"/>
      </w:pPr>
      <w:r>
        <w:t xml:space="preserve">From an initial dataset of 217 marmots trapped between 1999 and 2004, we created a second, </w:t>
      </w:r>
      <w:r>
        <w:lastRenderedPageBreak/>
        <w:t>more limited dataset consisting only of female marmots two years old or olde</w:t>
      </w:r>
      <w:r>
        <w:t>r (76 individuals, 203 marmot-years). We excluded yearlings from this dataset because hoary marmots are not reproductively mature until age two, and generally do not reproduce until age three. In each year, we classified marmots as breeders or non-breeders</w:t>
      </w:r>
      <w:r>
        <w:t xml:space="preserve"> based on two criteria: genetic parentage assignment and evidence of lactation during capture. Finally, we generated an encounter history for each animal in which the individual was considered present if sighted or captured at least once that year.</w:t>
      </w:r>
    </w:p>
    <w:p w14:paraId="0C9508E5" w14:textId="77777777" w:rsidR="002D7F1F" w:rsidRDefault="003A7B1B">
      <w:pPr>
        <w:widowControl w:val="0"/>
        <w:spacing w:line="480" w:lineRule="auto"/>
        <w:ind w:firstLine="960"/>
        <w:rPr>
          <w:color w:val="FF0000"/>
        </w:rPr>
      </w:pPr>
      <w:r>
        <w:t>In 2007</w:t>
      </w:r>
      <w:r>
        <w:t>-2009, a subset of four social groups was trapped, representing approximately half the population of the valley. All measurements and marking techniques were identical to those used in the earlier census. We could not definitively assign all litters to par</w:t>
      </w:r>
      <w:r>
        <w:t>ents or determine the breeding status of all females in 2007-2009, so these data were excluded from our CMR analyses. However, the number of litters, and the number of juveniles per litter (within a week of emergence), were counted for all four social grou</w:t>
      </w:r>
      <w:r>
        <w:t>ps trapped in 2007-2009. Hoary marmot females produce one litter per year (</w:t>
      </w:r>
      <w:proofErr w:type="spellStart"/>
      <w:r>
        <w:t>Barash</w:t>
      </w:r>
      <w:proofErr w:type="spellEnd"/>
      <w:r>
        <w:t xml:space="preserve"> 1975), so we used the number of litters as an estimate of the number of breeding females in those years. Data from 2007-2009 were used to evaluate the ability of our CMR mode</w:t>
      </w:r>
      <w:r>
        <w:t>ls to predict the number of breeding females in a given year, and were incorporated into models of fecundity and litter size.</w:t>
      </w:r>
    </w:p>
    <w:p w14:paraId="4C82FEB9" w14:textId="77777777" w:rsidR="002D7F1F" w:rsidRDefault="003A7B1B">
      <w:pPr>
        <w:widowControl w:val="0"/>
        <w:spacing w:line="480" w:lineRule="auto"/>
        <w:ind w:firstLine="960"/>
        <w:rPr>
          <w:color w:val="FF0000"/>
        </w:rPr>
      </w:pPr>
    </w:p>
    <w:p w14:paraId="5872EEA0" w14:textId="77777777" w:rsidR="002D7F1F" w:rsidRDefault="003A7B1B">
      <w:pPr>
        <w:pStyle w:val="Heading3"/>
        <w:spacing w:line="480" w:lineRule="auto"/>
        <w:rPr>
          <w:szCs w:val="24"/>
        </w:rPr>
      </w:pPr>
      <w:r>
        <w:rPr>
          <w:i w:val="0"/>
          <w:szCs w:val="24"/>
          <w:u w:val="none"/>
        </w:rPr>
        <w:t>Multi-state CMR analysis framework</w:t>
      </w:r>
    </w:p>
    <w:p w14:paraId="4C394DC9" w14:textId="1E2B158C" w:rsidR="002D7F1F" w:rsidRDefault="003A7B1B">
      <w:pPr>
        <w:spacing w:line="480" w:lineRule="auto"/>
        <w:ind w:firstLine="720"/>
        <w:rPr>
          <w:u w:val="single"/>
        </w:rPr>
      </w:pPr>
      <w:r>
        <w:t>We analyzed the adult female mark-recapture dataset using multi-state models (</w:t>
      </w:r>
      <w:proofErr w:type="spellStart"/>
      <w:r>
        <w:t>Lebreton</w:t>
      </w:r>
      <w:proofErr w:type="spellEnd"/>
      <w:r>
        <w:t xml:space="preserve"> et al. </w:t>
      </w:r>
      <w:r>
        <w:t>1992, Nichols et al. 1994). This involved constructing a set of candidate models to explain variation in three parameters: Survival (S), detection probability (p), and a ‘movement’ parameter describing the probability of moving between a ‘Non-breeder’ stat</w:t>
      </w:r>
      <w:r>
        <w:t>e and a ‘Breeder’ state (ψ). Before analyzing the data, we conducted a goodness-of-fit (GOF) test using program U-CARE (</w:t>
      </w:r>
      <w:proofErr w:type="spellStart"/>
      <w:r>
        <w:t>Choquet</w:t>
      </w:r>
      <w:proofErr w:type="spellEnd"/>
      <w:r>
        <w:t xml:space="preserve"> et al. 2009). Because we did not detect significant lack of fit in a fully time- and group-dependent global model, we </w:t>
      </w:r>
      <w:r>
        <w:lastRenderedPageBreak/>
        <w:t xml:space="preserve">were able </w:t>
      </w:r>
      <w:r>
        <w:t xml:space="preserve">to use </w:t>
      </w:r>
      <w:proofErr w:type="spellStart"/>
      <w:r>
        <w:t>Akaike’s</w:t>
      </w:r>
      <w:proofErr w:type="spellEnd"/>
      <w:r>
        <w:t xml:space="preserve"> Information Criterion corrected for sample size (</w:t>
      </w:r>
      <w:r>
        <w:rPr>
          <w:bCs/>
        </w:rPr>
        <w:t>AIC</w:t>
      </w:r>
      <w:r>
        <w:rPr>
          <w:bCs/>
          <w:vertAlign w:val="subscript"/>
        </w:rPr>
        <w:t>C</w:t>
      </w:r>
      <w:r>
        <w:t>) to compare models (Burnham and Anderson 2002). Based on previous analyses (</w:t>
      </w:r>
      <w:proofErr w:type="spellStart"/>
      <w:r w:rsidR="004D6683">
        <w:t>Patil</w:t>
      </w:r>
      <w:proofErr w:type="spellEnd"/>
      <w:r w:rsidR="004D6683">
        <w:t xml:space="preserve"> et al. in press</w:t>
      </w:r>
      <w:r>
        <w:t xml:space="preserve">), p was modeled as a constant. The mean detection probability was 0.96 </w:t>
      </w:r>
      <w:r>
        <w:rPr>
          <w:i/>
        </w:rPr>
        <w:t>±</w:t>
      </w:r>
      <w:r>
        <w:t xml:space="preserve"> 0.02 (SE).</w:t>
      </w:r>
    </w:p>
    <w:p w14:paraId="4D69F3CE" w14:textId="77777777" w:rsidR="002D7F1F" w:rsidRDefault="003A7B1B">
      <w:pPr>
        <w:spacing w:line="480" w:lineRule="auto"/>
        <w:rPr>
          <w:u w:val="single"/>
        </w:rPr>
      </w:pPr>
    </w:p>
    <w:p w14:paraId="74BB133A" w14:textId="77777777" w:rsidR="002D7F1F" w:rsidRDefault="003A7B1B">
      <w:pPr>
        <w:spacing w:line="480" w:lineRule="auto"/>
        <w:rPr>
          <w:u w:val="single"/>
        </w:rPr>
      </w:pPr>
      <w:r>
        <w:t>Candida</w:t>
      </w:r>
      <w:r>
        <w:t>te model set</w:t>
      </w:r>
    </w:p>
    <w:p w14:paraId="47DD9FC4" w14:textId="77777777" w:rsidR="002D7F1F" w:rsidRDefault="003A7B1B">
      <w:pPr>
        <w:spacing w:line="480" w:lineRule="auto"/>
      </w:pPr>
      <w:r>
        <w:rPr>
          <w:u w:val="single"/>
        </w:rPr>
        <w:t>Probability of breeding</w:t>
      </w:r>
    </w:p>
    <w:p w14:paraId="1C46FA3F" w14:textId="77777777" w:rsidR="002D7F1F" w:rsidRDefault="003A7B1B">
      <w:pPr>
        <w:spacing w:line="480" w:lineRule="auto"/>
      </w:pPr>
      <w:r>
        <w:tab/>
        <w:t>We selected the models in our candidate model set to represent alternative hypotheses about the effects of age, social structure, climate, and previous breeding state on the probability of an individual choosing to bre</w:t>
      </w:r>
      <w:r>
        <w:t xml:space="preserve">ed. </w:t>
      </w:r>
      <w:r>
        <w:rPr>
          <w:color w:val="000000"/>
        </w:rPr>
        <w:t xml:space="preserve">Age effects were included </w:t>
      </w:r>
      <w:r>
        <w:t xml:space="preserve">because we expected that older, more experienced marmots would be more likely to attempt reproduction than those which had recently matured. Previous breeding state was constrained to affect only older (&gt; three year) marmots, </w:t>
      </w:r>
      <w:r>
        <w:t xml:space="preserve">because two-year-olds generally do not breed. Only 2 two-year-olds reproduced during the course of the study, and these individuals were excluded to simplify analyses. </w:t>
      </w:r>
    </w:p>
    <w:p w14:paraId="69FB06C5" w14:textId="77777777" w:rsidR="002D7F1F" w:rsidRDefault="003A7B1B">
      <w:pPr>
        <w:spacing w:line="480" w:lineRule="auto"/>
        <w:rPr>
          <w:color w:val="000000"/>
        </w:rPr>
      </w:pPr>
      <w:r>
        <w:tab/>
      </w:r>
      <w:r>
        <w:rPr>
          <w:color w:val="000000"/>
        </w:rPr>
        <w:t>We used the mean value of the Pacific Decadal Oscillation index (PDO) from November an</w:t>
      </w:r>
      <w:r>
        <w:rPr>
          <w:color w:val="000000"/>
        </w:rPr>
        <w:t>d May to model annual winter weather (</w:t>
      </w:r>
      <w:hyperlink r:id="rId7" w:history="1">
        <w:r>
          <w:rPr>
            <w:rStyle w:val="Hyperlink"/>
          </w:rPr>
          <w:t>http://www.esrl.noaa.gov/psd/data/climateindices</w:t>
        </w:r>
      </w:hyperlink>
      <w:r>
        <w:rPr>
          <w:color w:val="000000"/>
        </w:rPr>
        <w:t>). PDO is a 20-30 year cyclic pattern of climate variation in the North Pacific Ocean that correlates wel</w:t>
      </w:r>
      <w:r>
        <w:rPr>
          <w:color w:val="000000"/>
        </w:rPr>
        <w:t>l with temperature and precipitation throughout northwestern North America (Mantua and Hare 2002; Mantua</w:t>
      </w:r>
      <w:r>
        <w:rPr>
          <w:i/>
          <w:color w:val="000000"/>
        </w:rPr>
        <w:t xml:space="preserve"> </w:t>
      </w:r>
      <w:r>
        <w:rPr>
          <w:color w:val="000000"/>
        </w:rPr>
        <w:t xml:space="preserve">et al. 1997). Within its </w:t>
      </w:r>
      <w:proofErr w:type="spellStart"/>
      <w:r>
        <w:rPr>
          <w:color w:val="000000"/>
        </w:rPr>
        <w:t>multidecadal</w:t>
      </w:r>
      <w:proofErr w:type="spellEnd"/>
      <w:r>
        <w:rPr>
          <w:color w:val="000000"/>
        </w:rPr>
        <w:t xml:space="preserve"> cycle, PDO also fluctuates annually. These annual fluctuations were negatively correlated with the date of spring</w:t>
      </w:r>
      <w:r>
        <w:rPr>
          <w:color w:val="000000"/>
        </w:rPr>
        <w:t xml:space="preserve"> snowmelt in an earlier study at our site (Morrison and </w:t>
      </w:r>
      <w:proofErr w:type="spellStart"/>
      <w:r>
        <w:rPr>
          <w:color w:val="000000"/>
        </w:rPr>
        <w:t>Hik</w:t>
      </w:r>
      <w:proofErr w:type="spellEnd"/>
      <w:r>
        <w:rPr>
          <w:color w:val="000000"/>
        </w:rPr>
        <w:t xml:space="preserve"> 2007), annual snow accumulation on nearby Mt. Logan (~100 km; Moore et al. 2002), and mean winter snow depth at two weather stations (</w:t>
      </w:r>
      <w:proofErr w:type="spellStart"/>
      <w:r>
        <w:rPr>
          <w:color w:val="000000"/>
        </w:rPr>
        <w:t>Burwash</w:t>
      </w:r>
      <w:proofErr w:type="spellEnd"/>
      <w:r>
        <w:rPr>
          <w:color w:val="000000"/>
        </w:rPr>
        <w:t xml:space="preserve"> Landing and </w:t>
      </w:r>
      <w:proofErr w:type="spellStart"/>
      <w:r>
        <w:rPr>
          <w:color w:val="000000"/>
        </w:rPr>
        <w:t>Aishihik</w:t>
      </w:r>
      <w:proofErr w:type="spellEnd"/>
      <w:r>
        <w:rPr>
          <w:color w:val="000000"/>
        </w:rPr>
        <w:t xml:space="preserve"> Lake) each located ~30km away fro</w:t>
      </w:r>
      <w:r>
        <w:rPr>
          <w:color w:val="000000"/>
        </w:rPr>
        <w:t xml:space="preserve">m our study site but 1400m lower in elevation (r = 0.61 and 0.6 respectively for 1967-2007; Environment Canada http://www.climate.weatheroffice.ec.gc.ca/). Positive winter PDO values </w:t>
      </w:r>
      <w:r>
        <w:rPr>
          <w:color w:val="000000"/>
        </w:rPr>
        <w:lastRenderedPageBreak/>
        <w:t xml:space="preserve">are therefore associated with early snowmelt and shallow snowpack, while </w:t>
      </w:r>
      <w:r>
        <w:rPr>
          <w:color w:val="000000"/>
        </w:rPr>
        <w:t xml:space="preserve">negative values are associated with the opposite patterns. </w:t>
      </w:r>
    </w:p>
    <w:p w14:paraId="5E3FA322" w14:textId="061AA827" w:rsidR="002D7F1F" w:rsidRDefault="003A7B1B">
      <w:pPr>
        <w:spacing w:line="480" w:lineRule="auto"/>
        <w:rPr>
          <w:u w:val="single"/>
        </w:rPr>
      </w:pPr>
      <w:r>
        <w:rPr>
          <w:color w:val="000000"/>
        </w:rPr>
        <w:tab/>
        <w:t xml:space="preserve">The social environment was measured as </w:t>
      </w:r>
      <w:proofErr w:type="spellStart"/>
      <w:r>
        <w:rPr>
          <w:color w:val="000000"/>
        </w:rPr>
        <w:t>i</w:t>
      </w:r>
      <w:proofErr w:type="spellEnd"/>
      <w:r>
        <w:rPr>
          <w:color w:val="000000"/>
        </w:rPr>
        <w:t xml:space="preserve">) the total number of non-juvenile marmots within the social group that were </w:t>
      </w:r>
      <w:proofErr w:type="spellStart"/>
      <w:r>
        <w:rPr>
          <w:color w:val="000000"/>
        </w:rPr>
        <w:t>resighted</w:t>
      </w:r>
      <w:proofErr w:type="spellEnd"/>
      <w:r>
        <w:rPr>
          <w:color w:val="000000"/>
        </w:rPr>
        <w:t xml:space="preserve"> or captured after July 1 during the previous summer and ii) the numb</w:t>
      </w:r>
      <w:r>
        <w:rPr>
          <w:color w:val="000000"/>
        </w:rPr>
        <w:t xml:space="preserve">er of reproductively mature females in the group. Both covariates should be negatively correlated with breeding probability if reproductive suppression is a common </w:t>
      </w:r>
      <w:r w:rsidR="00C37298">
        <w:rPr>
          <w:color w:val="000000"/>
        </w:rPr>
        <w:t>occurrence</w:t>
      </w:r>
      <w:r>
        <w:rPr>
          <w:color w:val="000000"/>
        </w:rPr>
        <w:t xml:space="preserve">. </w:t>
      </w:r>
      <w:r>
        <w:t>A complete list of covariates used, as well as their abbreviations, is given in T</w:t>
      </w:r>
      <w:r>
        <w:t xml:space="preserve">able 1. </w:t>
      </w:r>
    </w:p>
    <w:p w14:paraId="4A623AF3" w14:textId="77777777" w:rsidR="002D7F1F" w:rsidRDefault="003A7B1B">
      <w:pPr>
        <w:spacing w:line="480" w:lineRule="auto"/>
        <w:rPr>
          <w:u w:val="single"/>
        </w:rPr>
      </w:pPr>
    </w:p>
    <w:p w14:paraId="357C4FD3" w14:textId="77777777" w:rsidR="002D7F1F" w:rsidRDefault="003A7B1B">
      <w:pPr>
        <w:spacing w:line="480" w:lineRule="auto"/>
      </w:pPr>
      <w:r>
        <w:rPr>
          <w:u w:val="single"/>
        </w:rPr>
        <w:t>Survival</w:t>
      </w:r>
    </w:p>
    <w:p w14:paraId="7D0F196E" w14:textId="1BB8E6CE" w:rsidR="002D7F1F" w:rsidRDefault="003A7B1B">
      <w:pPr>
        <w:spacing w:line="480" w:lineRule="auto"/>
        <w:ind w:firstLine="720"/>
      </w:pPr>
      <w:r>
        <w:t>Survival models included only three covariates: winter PDO, winter PDO lagged by one year, and current breeding state. Previous survival analyses suggested that winter climate was by far the dominant influence on survival; however, those</w:t>
      </w:r>
      <w:r>
        <w:t xml:space="preserve"> analyses did not include breeding state. We therefore chose this simplified model set in order to test the cost-of-reproduction hypothesis while accounting for the influence of climate on survival. The two PDO indices were not correlated (r=</w:t>
      </w:r>
      <w:r w:rsidR="004C265B">
        <w:t>0</w:t>
      </w:r>
      <w:r>
        <w:t>.13, p=</w:t>
      </w:r>
      <w:r w:rsidR="004C265B">
        <w:t>0</w:t>
      </w:r>
      <w:r>
        <w:t>.85).</w:t>
      </w:r>
    </w:p>
    <w:p w14:paraId="474F919D" w14:textId="77777777" w:rsidR="002D7F1F" w:rsidRDefault="003A7B1B">
      <w:pPr>
        <w:spacing w:line="480" w:lineRule="auto"/>
        <w:ind w:firstLine="720"/>
      </w:pPr>
    </w:p>
    <w:p w14:paraId="5292093A" w14:textId="77777777" w:rsidR="002D7F1F" w:rsidRDefault="003A7B1B">
      <w:pPr>
        <w:spacing w:line="480" w:lineRule="auto"/>
      </w:pPr>
      <w:r>
        <w:t>CMR analyses / evaluation of fit</w:t>
      </w:r>
    </w:p>
    <w:p w14:paraId="4778E411" w14:textId="77777777" w:rsidR="002D7F1F" w:rsidRDefault="003A7B1B">
      <w:pPr>
        <w:spacing w:line="480" w:lineRule="auto"/>
      </w:pPr>
      <w:r>
        <w:tab/>
        <w:t xml:space="preserve">We constructed all mark-recapture analyses using program MARK and the </w:t>
      </w:r>
      <w:proofErr w:type="spellStart"/>
      <w:r>
        <w:t>RMark</w:t>
      </w:r>
      <w:proofErr w:type="spellEnd"/>
      <w:r>
        <w:t xml:space="preserve"> package in R (</w:t>
      </w:r>
      <w:proofErr w:type="spellStart"/>
      <w:r>
        <w:t>Laake</w:t>
      </w:r>
      <w:proofErr w:type="spellEnd"/>
      <w:r>
        <w:t xml:space="preserve"> and </w:t>
      </w:r>
      <w:proofErr w:type="spellStart"/>
      <w:r>
        <w:t>Rexstad</w:t>
      </w:r>
      <w:proofErr w:type="spellEnd"/>
      <w:r>
        <w:t xml:space="preserve"> 2007, R Development Core Team 2011). We ranked models using </w:t>
      </w:r>
      <w:r>
        <w:rPr>
          <w:bCs/>
        </w:rPr>
        <w:t>AIC</w:t>
      </w:r>
      <w:r>
        <w:rPr>
          <w:bCs/>
          <w:vertAlign w:val="subscript"/>
        </w:rPr>
        <w:t>C</w:t>
      </w:r>
      <w:r>
        <w:t xml:space="preserve"> (</w:t>
      </w:r>
      <w:proofErr w:type="spellStart"/>
      <w:r>
        <w:t>Akaike</w:t>
      </w:r>
      <w:proofErr w:type="spellEnd"/>
      <w:r>
        <w:t xml:space="preserve"> et al. 1973), and evaluated the relative </w:t>
      </w:r>
      <w:r>
        <w:t xml:space="preserve">importance of covariates by summing their </w:t>
      </w:r>
      <w:r>
        <w:rPr>
          <w:bCs/>
        </w:rPr>
        <w:t>AIC</w:t>
      </w:r>
      <w:r>
        <w:rPr>
          <w:bCs/>
          <w:vertAlign w:val="subscript"/>
        </w:rPr>
        <w:t>C</w:t>
      </w:r>
      <w:r>
        <w:t xml:space="preserve"> weights across the entire model set (Burnham and Anderson 2002). We also model-averaged Ψ and S across the entire model set (Burnham and Anderson 2002, Anderson 2008). Finally, we used the averaged Ψ values to predict the number of breeding females in 200</w:t>
      </w:r>
      <w:r>
        <w:t>7-2009. These predictions were compared with the estimated number of breeders from those years to test the generality of our results.</w:t>
      </w:r>
    </w:p>
    <w:p w14:paraId="03D22C88" w14:textId="77777777" w:rsidR="002D7F1F" w:rsidRDefault="003A7B1B">
      <w:pPr>
        <w:spacing w:line="480" w:lineRule="auto"/>
      </w:pPr>
    </w:p>
    <w:p w14:paraId="31031468" w14:textId="77777777" w:rsidR="002D7F1F" w:rsidRDefault="003A7B1B">
      <w:pPr>
        <w:spacing w:line="480" w:lineRule="auto"/>
      </w:pPr>
      <w:r>
        <w:lastRenderedPageBreak/>
        <w:t>Fecundity models</w:t>
      </w:r>
    </w:p>
    <w:p w14:paraId="5E3299B2" w14:textId="6DB0BEE4" w:rsidR="002D7F1F" w:rsidRDefault="003A7B1B">
      <w:pPr>
        <w:spacing w:line="480" w:lineRule="auto"/>
      </w:pPr>
      <w:r>
        <w:tab/>
        <w:t>We used generalized linear mixed models (GLMM’s)  to examine the effects of winter PDO, lagged winter P</w:t>
      </w:r>
      <w:r>
        <w:t>DO, group size, and group*climate interactions on three measures of hoary marmot fecundity. Models were fit using the lme4 packa</w:t>
      </w:r>
      <w:r w:rsidR="0081038E">
        <w:t>ge in R (Bates et al. 2012</w:t>
      </w:r>
      <w:r>
        <w:t>). The three response variables were juveniles per social group (n = 78), average fecundity (juv</w:t>
      </w:r>
      <w:r>
        <w:t>eniles per adult female w/in group; n=66), and litter size using a dataset of all fully enumerated litters with known mothers (n = 41). Error distributions were chosen after testing for conformity to a Poisson distribution (</w:t>
      </w:r>
      <w:proofErr w:type="spellStart"/>
      <w:r>
        <w:t>Scrucca</w:t>
      </w:r>
      <w:proofErr w:type="spellEnd"/>
      <w:r>
        <w:t xml:space="preserve"> 2004). Random effects we</w:t>
      </w:r>
      <w:r>
        <w:t>re included based on likelihood ratio tests using the most parameterized fixed-effects model in each model set (</w:t>
      </w:r>
      <w:proofErr w:type="spellStart"/>
      <w:r>
        <w:t>Bolker</w:t>
      </w:r>
      <w:proofErr w:type="spellEnd"/>
      <w:r>
        <w:t xml:space="preserve"> et al. 2009). Results of </w:t>
      </w:r>
      <w:proofErr w:type="spellStart"/>
      <w:r>
        <w:t>overdispersion</w:t>
      </w:r>
      <w:proofErr w:type="spellEnd"/>
      <w:r>
        <w:t xml:space="preserve"> tests, the error distributions and the random effects used for each response variable are shown i</w:t>
      </w:r>
      <w:r>
        <w:t xml:space="preserve">n Table 2. In all cases, we ranked models and calculated the relative support for individual variables using </w:t>
      </w:r>
      <w:r>
        <w:rPr>
          <w:bCs/>
        </w:rPr>
        <w:t>AIC</w:t>
      </w:r>
      <w:r>
        <w:rPr>
          <w:bCs/>
          <w:vertAlign w:val="subscript"/>
        </w:rPr>
        <w:t>C</w:t>
      </w:r>
      <w:r>
        <w:t>. Beta-coefficients were model-averaged, and unconditional standard errors for those coefficients were estimated by bootstrapping with 10,000 r</w:t>
      </w:r>
      <w:r>
        <w:t>eplications. The covariates used in all models are listed in Table 1.</w:t>
      </w:r>
    </w:p>
    <w:p w14:paraId="563F192E" w14:textId="77777777" w:rsidR="002D7F1F" w:rsidRDefault="003A7B1B">
      <w:pPr>
        <w:spacing w:line="480" w:lineRule="auto"/>
      </w:pPr>
    </w:p>
    <w:p w14:paraId="4DB5D98B" w14:textId="77777777" w:rsidR="002D7F1F" w:rsidRDefault="003A7B1B">
      <w:pPr>
        <w:spacing w:line="480" w:lineRule="auto"/>
      </w:pPr>
      <w:r>
        <w:rPr>
          <w:b/>
        </w:rPr>
        <w:t>Results</w:t>
      </w:r>
    </w:p>
    <w:p w14:paraId="54678F8C" w14:textId="77777777" w:rsidR="002D7F1F" w:rsidRDefault="003A7B1B">
      <w:pPr>
        <w:spacing w:line="480" w:lineRule="auto"/>
      </w:pPr>
      <w:r>
        <w:t>Breeding probability</w:t>
      </w:r>
    </w:p>
    <w:p w14:paraId="23FAD6D6" w14:textId="192BB3FC" w:rsidR="002D7F1F" w:rsidRDefault="003A7B1B">
      <w:pPr>
        <w:spacing w:line="480" w:lineRule="auto"/>
        <w:ind w:firstLine="720"/>
      </w:pPr>
      <w:r>
        <w:t xml:space="preserve">The top model did not include previous breeding state as a covariate, but models with previous breeding state </w:t>
      </w:r>
      <w:r>
        <w:t xml:space="preserve">as a predictor of Ψ (the probability of moving into the ‘Breeder’ state) had a combined AIC weight of </w:t>
      </w:r>
      <w:r w:rsidR="004C265B">
        <w:t>0</w:t>
      </w:r>
      <w:r>
        <w:t xml:space="preserve">.48, and 3 models containing this covariate were within 2 </w:t>
      </w:r>
      <w:proofErr w:type="spellStart"/>
      <w:r>
        <w:t>AICc</w:t>
      </w:r>
      <w:proofErr w:type="spellEnd"/>
      <w:r>
        <w:t xml:space="preserve"> of the top model. Model selection therefore provided a moderate degree of support for effec</w:t>
      </w:r>
      <w:r>
        <w:t>ts of previous breeding state on current breeding effort (Table 3). However, the model-averaged effect size (difference in Ψ probability between breeders and non-breeders from the previous year) was &lt; 0.01 (Figure 1). Model selection did not support PDO as</w:t>
      </w:r>
      <w:r>
        <w:t xml:space="preserve"> a predictor of Ψ (Table 4). Social group size had a combined AIC </w:t>
      </w:r>
      <w:r>
        <w:lastRenderedPageBreak/>
        <w:t xml:space="preserve">weight of </w:t>
      </w:r>
      <w:r w:rsidR="004C265B">
        <w:t>0</w:t>
      </w:r>
      <w:r>
        <w:t xml:space="preserve">.28 (Table 4), but the Group covariate was only present in one model within 2 </w:t>
      </w:r>
      <w:proofErr w:type="spellStart"/>
      <w:r>
        <w:t>AICc</w:t>
      </w:r>
      <w:proofErr w:type="spellEnd"/>
      <w:r>
        <w:t xml:space="preserve"> of the top model. The best model did not include annual variation in breeding probability (Table </w:t>
      </w:r>
      <w:r>
        <w:t xml:space="preserve">3), and model-averaged Ψ estimates varied by less than 1 SE from year to year in both age-classes (Fig. 1). </w:t>
      </w:r>
    </w:p>
    <w:p w14:paraId="69109593" w14:textId="77777777" w:rsidR="002D7F1F" w:rsidRDefault="003A7B1B">
      <w:pPr>
        <w:spacing w:line="480" w:lineRule="auto"/>
        <w:ind w:firstLine="720"/>
      </w:pPr>
      <w:r>
        <w:t>Age-class had the strongest support of any model covariates, and had the largest effect size (Table 4; Fig. 1). Annual variation in Ψ was more pron</w:t>
      </w:r>
      <w:r>
        <w:t xml:space="preserve">ounced for females in their first year of reproductive maturity, but the uncertainty in parameter estimates was also greater for this age-class (Fig. 1). On average, the breeding probability of females four years old or older was 0.33 greater than that of </w:t>
      </w:r>
      <w:r>
        <w:t>three-year-old individuals (Fig. 1).</w:t>
      </w:r>
    </w:p>
    <w:p w14:paraId="3C470D55" w14:textId="77777777" w:rsidR="002D7F1F" w:rsidRDefault="003A7B1B">
      <w:pPr>
        <w:spacing w:line="480" w:lineRule="auto"/>
      </w:pPr>
      <w:r>
        <w:tab/>
        <w:t>When model-averaged parameters were used to predict the number of breeding females in a subset of the population during 2007-2009, the results were within 1-2 litters of the observed values in each year (Table 5). Year</w:t>
      </w:r>
      <w:r>
        <w:t xml:space="preserve">-to-year variation in the number of breeding females was also predicted accurately (Table 5). </w:t>
      </w:r>
    </w:p>
    <w:p w14:paraId="0CD7430F" w14:textId="77777777" w:rsidR="002D7F1F" w:rsidRDefault="003A7B1B">
      <w:pPr>
        <w:spacing w:line="480" w:lineRule="auto"/>
      </w:pPr>
    </w:p>
    <w:p w14:paraId="39344D5F" w14:textId="77777777" w:rsidR="002D7F1F" w:rsidRDefault="003A7B1B">
      <w:pPr>
        <w:spacing w:line="480" w:lineRule="auto"/>
      </w:pPr>
      <w:r>
        <w:t>Survival / cost of reproduction</w:t>
      </w:r>
    </w:p>
    <w:p w14:paraId="268914D3" w14:textId="02493CF4" w:rsidR="002D7F1F" w:rsidRDefault="003A7B1B">
      <w:pPr>
        <w:spacing w:line="480" w:lineRule="auto"/>
      </w:pPr>
      <w:r>
        <w:tab/>
        <w:t>Breeding state had a summed AIC weight of 0.33 as a predictor of survival, but it</w:t>
      </w:r>
      <w:r>
        <w:t>s effect size (difference in apparent surviva</w:t>
      </w:r>
      <w:r>
        <w:t xml:space="preserve">l probability) was less than 1% (Table 4; Fig. 2). In contrast, PDO and PDO lagged by one year were predictors of survival in all supported models (Table 3). PDO and </w:t>
      </w:r>
      <w:proofErr w:type="spellStart"/>
      <w:r>
        <w:t>PDO</w:t>
      </w:r>
      <w:r>
        <w:rPr>
          <w:vertAlign w:val="subscript"/>
        </w:rPr>
        <w:t>lag</w:t>
      </w:r>
      <w:proofErr w:type="spellEnd"/>
      <w:r>
        <w:t xml:space="preserve"> were negatively correlated with survival, which declined over the course of the stu</w:t>
      </w:r>
      <w:r>
        <w:t>dy by ~0.35 (Fig. 2).</w:t>
      </w:r>
    </w:p>
    <w:p w14:paraId="73F097EC" w14:textId="77777777" w:rsidR="002D7F1F" w:rsidRDefault="003A7B1B">
      <w:pPr>
        <w:spacing w:line="480" w:lineRule="auto"/>
      </w:pPr>
      <w:r>
        <w:tab/>
        <w:t>The body condition index (log (mass/</w:t>
      </w:r>
      <w:proofErr w:type="spellStart"/>
      <w:r>
        <w:t>zygomatic</w:t>
      </w:r>
      <w:proofErr w:type="spellEnd"/>
      <w:r>
        <w:t xml:space="preserve"> arch length)) of non-breeding females increased faster over the course of the summer than that of breeders (Fig. 3). The difference in slopes was highly significant (Δ = 0.0021, p &lt; 0.001</w:t>
      </w:r>
      <w:r>
        <w:t>, adjusted R</w:t>
      </w:r>
      <w:r>
        <w:rPr>
          <w:u w:val="double"/>
          <w:vertAlign w:val="superscript"/>
        </w:rPr>
        <w:t>2</w:t>
      </w:r>
      <w:r>
        <w:t xml:space="preserve"> = 0.60). On average, non-breeders had a greater body condition at the end of August than non-breeders (Fig. 3). </w:t>
      </w:r>
    </w:p>
    <w:p w14:paraId="70013E8E" w14:textId="77777777" w:rsidR="002D7F1F" w:rsidRDefault="003A7B1B">
      <w:pPr>
        <w:spacing w:line="480" w:lineRule="auto"/>
      </w:pPr>
    </w:p>
    <w:p w14:paraId="7AC9B728" w14:textId="77777777" w:rsidR="002D7F1F" w:rsidRDefault="003A7B1B">
      <w:pPr>
        <w:spacing w:line="480" w:lineRule="auto"/>
      </w:pPr>
      <w:r>
        <w:lastRenderedPageBreak/>
        <w:t>Group fecundity</w:t>
      </w:r>
    </w:p>
    <w:p w14:paraId="27847730" w14:textId="55337C66" w:rsidR="002D7F1F" w:rsidRDefault="003A7B1B">
      <w:pPr>
        <w:spacing w:line="480" w:lineRule="auto"/>
      </w:pPr>
      <w:r>
        <w:tab/>
        <w:t xml:space="preserve">The juveniles per group dataset contained significant Poisson </w:t>
      </w:r>
      <w:proofErr w:type="spellStart"/>
      <w:r>
        <w:t>overdispersion</w:t>
      </w:r>
      <w:proofErr w:type="spellEnd"/>
      <w:r>
        <w:t xml:space="preserve">, so negative binomial models were </w:t>
      </w:r>
      <w:r>
        <w:t xml:space="preserve">used (Table 2). Likelihood-ratio tests did not support either slope or intercept random effects (Table 2). Social group size had a summed AIC weight of </w:t>
      </w:r>
      <w:r w:rsidR="004C265B">
        <w:t>0</w:t>
      </w:r>
      <w:r>
        <w:t>.86, which means that model selection strongly favored social group size as a predictor of the number of</w:t>
      </w:r>
      <w:r>
        <w:t xml:space="preserve"> juveniles produced per group (Table 6). Each additional group member corresponded to ~1 additional juvenile (e</w:t>
      </w:r>
      <w:r>
        <w:rPr>
          <w:vertAlign w:val="superscript"/>
        </w:rPr>
        <w:t xml:space="preserve"> 0.06</w:t>
      </w:r>
      <w:r>
        <w:t xml:space="preserve"> = 1.06; Table 7). There was also support for a relationship between juveniles per group and winter PDO. PDO had a summed AIC weight of </w:t>
      </w:r>
      <w:r w:rsidR="004C265B">
        <w:t>0</w:t>
      </w:r>
      <w:r>
        <w:t xml:space="preserve">.5, </w:t>
      </w:r>
      <w:r>
        <w:t xml:space="preserve">and </w:t>
      </w:r>
      <w:proofErr w:type="spellStart"/>
      <w:r>
        <w:t>PDO</w:t>
      </w:r>
      <w:r>
        <w:rPr>
          <w:vertAlign w:val="subscript"/>
        </w:rPr>
        <w:t>lag</w:t>
      </w:r>
      <w:proofErr w:type="spellEnd"/>
      <w:r>
        <w:t xml:space="preserve"> had a summed weight of </w:t>
      </w:r>
      <w:r w:rsidR="004C265B">
        <w:t>0</w:t>
      </w:r>
      <w:r>
        <w:t xml:space="preserve">.42. PDO was negatively correlated with the number of juveniles produced per group (Table 7). The bootstrap 95 % confidence interval for the beta coefficient corresponding to PDO’s effect was large and overlapping with 0, </w:t>
      </w:r>
      <w:r>
        <w:t xml:space="preserve">but this overlap was less than 2% of the confidence interval width (Table 7). The model-averaged effect of </w:t>
      </w:r>
      <w:proofErr w:type="spellStart"/>
      <w:r>
        <w:t>PDOlag</w:t>
      </w:r>
      <w:proofErr w:type="spellEnd"/>
      <w:r>
        <w:t xml:space="preserve"> on juveniles per group was positive, but the 95% confidence interval for that coefficient overlapped with 0.</w:t>
      </w:r>
    </w:p>
    <w:p w14:paraId="1FDD3771" w14:textId="77777777" w:rsidR="002D7F1F" w:rsidRDefault="003A7B1B">
      <w:pPr>
        <w:spacing w:line="480" w:lineRule="auto"/>
      </w:pPr>
    </w:p>
    <w:p w14:paraId="04A4BD13" w14:textId="77777777" w:rsidR="002D7F1F" w:rsidRDefault="003A7B1B">
      <w:pPr>
        <w:spacing w:line="480" w:lineRule="auto"/>
      </w:pPr>
      <w:r>
        <w:t>Juveniles per female (average fe</w:t>
      </w:r>
      <w:r>
        <w:t>cundity)</w:t>
      </w:r>
    </w:p>
    <w:p w14:paraId="3EF63F45" w14:textId="71B2744F" w:rsidR="002D7F1F" w:rsidRDefault="003A7B1B">
      <w:pPr>
        <w:spacing w:line="480" w:lineRule="auto"/>
      </w:pPr>
      <w:r>
        <w:tab/>
        <w:t xml:space="preserve">AIC weights strongly supported a negative relationship between average fecundity and winter PDO (summed AIC weight = 0.97), and a positive relationship with </w:t>
      </w:r>
      <w:proofErr w:type="spellStart"/>
      <w:r>
        <w:t>PDO</w:t>
      </w:r>
      <w:r>
        <w:rPr>
          <w:vertAlign w:val="subscript"/>
        </w:rPr>
        <w:t>lag</w:t>
      </w:r>
      <w:proofErr w:type="spellEnd"/>
      <w:r>
        <w:t xml:space="preserve"> (Table 7). However, the 95 % confidence interval for the model-averaged PDO and </w:t>
      </w:r>
      <w:proofErr w:type="spellStart"/>
      <w:r>
        <w:t>PD</w:t>
      </w:r>
      <w:r>
        <w:t>O</w:t>
      </w:r>
      <w:r>
        <w:rPr>
          <w:vertAlign w:val="subscript"/>
        </w:rPr>
        <w:t>lag</w:t>
      </w:r>
      <w:proofErr w:type="spellEnd"/>
      <w:r>
        <w:t xml:space="preserve"> beta coefficients overlapped with zero. Social Group effects had a summed AIC weight = </w:t>
      </w:r>
      <w:r w:rsidR="004C265B">
        <w:t>0</w:t>
      </w:r>
      <w:r>
        <w:t>.47, but did not show a consistent negative or positive relationship with fecundity (Table 7). Interactions between climate and social effects were not as well supp</w:t>
      </w:r>
      <w:r>
        <w:t>orted as either main effect, and the confidence intervals for their beta coefficients all included positive and negative values. Likelihood ratio tests indicated significant random effects of social group (intercept effect) on average fecundity, but no ran</w:t>
      </w:r>
      <w:r>
        <w:t>dom slope effects were supported (see Table 2).</w:t>
      </w:r>
    </w:p>
    <w:p w14:paraId="07E60AD8" w14:textId="77777777" w:rsidR="002D7F1F" w:rsidRDefault="003A7B1B">
      <w:pPr>
        <w:spacing w:line="480" w:lineRule="auto"/>
      </w:pPr>
    </w:p>
    <w:p w14:paraId="1F3AAC9B" w14:textId="77777777" w:rsidR="002D7F1F" w:rsidRDefault="003A7B1B">
      <w:pPr>
        <w:spacing w:line="480" w:lineRule="auto"/>
      </w:pPr>
      <w:r>
        <w:t>Litter size</w:t>
      </w:r>
    </w:p>
    <w:p w14:paraId="28FC6943" w14:textId="77777777" w:rsidR="002D7F1F" w:rsidRDefault="003A7B1B">
      <w:pPr>
        <w:spacing w:line="480" w:lineRule="auto"/>
        <w:ind w:firstLine="720"/>
        <w:rPr>
          <w:b/>
        </w:rPr>
      </w:pPr>
      <w:r>
        <w:t xml:space="preserve">The null model had the smallest </w:t>
      </w:r>
      <w:r>
        <w:rPr>
          <w:bCs/>
        </w:rPr>
        <w:t>AIC</w:t>
      </w:r>
      <w:r>
        <w:rPr>
          <w:bCs/>
          <w:vertAlign w:val="subscript"/>
        </w:rPr>
        <w:t>C</w:t>
      </w:r>
      <w:r>
        <w:t xml:space="preserve"> value in the litter size model set, which means that litter size was not well predicted by group size, winter climate, or a combination of the two. The probab</w:t>
      </w:r>
      <w:r>
        <w:t>ility of a type II error was low. For example, for a model with litter size as a function of PDO alone, power associated with an effect size (Cohen’s f</w:t>
      </w:r>
      <w:r>
        <w:rPr>
          <w:vertAlign w:val="superscript"/>
        </w:rPr>
        <w:t>2</w:t>
      </w:r>
      <w:r>
        <w:t>) of 0.33, which corresponds to an R</w:t>
      </w:r>
      <w:r>
        <w:rPr>
          <w:vertAlign w:val="superscript"/>
        </w:rPr>
        <w:t>2</w:t>
      </w:r>
      <w:r>
        <w:t xml:space="preserve"> of 0.25 (Cohen 1988), was 0.95. Litter size ranged from one to six</w:t>
      </w:r>
      <w:r>
        <w:t xml:space="preserve"> individuals, although these extreme values were rare. The mean litter size was three. Average litter size did not vary significantly between social groups (F</w:t>
      </w:r>
      <w:r>
        <w:rPr>
          <w:vertAlign w:val="subscript"/>
        </w:rPr>
        <w:t>9</w:t>
      </w:r>
      <w:proofErr w:type="gramStart"/>
      <w:r>
        <w:rPr>
          <w:vertAlign w:val="subscript"/>
        </w:rPr>
        <w:t>,41</w:t>
      </w:r>
      <w:proofErr w:type="gramEnd"/>
      <w:r>
        <w:rPr>
          <w:vertAlign w:val="subscript"/>
        </w:rPr>
        <w:t xml:space="preserve"> </w:t>
      </w:r>
      <w:r>
        <w:t xml:space="preserve">= 0.61, p = 0.78). </w:t>
      </w:r>
    </w:p>
    <w:p w14:paraId="765EF698" w14:textId="77777777" w:rsidR="002D7F1F" w:rsidRDefault="003A7B1B">
      <w:pPr>
        <w:spacing w:line="480" w:lineRule="auto"/>
        <w:rPr>
          <w:b/>
        </w:rPr>
      </w:pPr>
    </w:p>
    <w:p w14:paraId="34271B75" w14:textId="77777777" w:rsidR="002D7F1F" w:rsidRDefault="003A7B1B">
      <w:pPr>
        <w:spacing w:line="480" w:lineRule="auto"/>
        <w:rPr>
          <w:b/>
        </w:rPr>
      </w:pPr>
      <w:r>
        <w:rPr>
          <w:b/>
        </w:rPr>
        <w:t>Discussion</w:t>
      </w:r>
    </w:p>
    <w:p w14:paraId="5B55231B" w14:textId="77777777" w:rsidR="002D7F1F" w:rsidRDefault="003A7B1B">
      <w:pPr>
        <w:spacing w:line="480" w:lineRule="auto"/>
      </w:pPr>
      <w:r>
        <w:rPr>
          <w:b/>
        </w:rPr>
        <w:tab/>
      </w:r>
      <w:r>
        <w:t>Hoary marmots are not obligate biennial breeders. Although a</w:t>
      </w:r>
      <w:r>
        <w:t xml:space="preserve"> mature female marmot’s probability of breeding was close to 50% on average, none of the three hypotheses we examined (Evolved Constraints, Ecological Constraints, and Social Constraints) could adequately explain variation in breeding probability.</w:t>
      </w:r>
    </w:p>
    <w:p w14:paraId="6C30A736" w14:textId="77777777" w:rsidR="002D7F1F" w:rsidRDefault="003A7B1B">
      <w:pPr>
        <w:spacing w:line="480" w:lineRule="auto"/>
      </w:pPr>
    </w:p>
    <w:p w14:paraId="218BABBE" w14:textId="77777777" w:rsidR="002D7F1F" w:rsidRDefault="003A7B1B">
      <w:pPr>
        <w:spacing w:line="480" w:lineRule="auto"/>
      </w:pPr>
      <w:r>
        <w:t>Evolved</w:t>
      </w:r>
      <w:r>
        <w:t xml:space="preserve"> Constraints</w:t>
      </w:r>
    </w:p>
    <w:p w14:paraId="06486BDF" w14:textId="5813EA93" w:rsidR="002D7F1F" w:rsidRDefault="003A7B1B">
      <w:pPr>
        <w:spacing w:line="480" w:lineRule="auto"/>
      </w:pPr>
      <w:r>
        <w:tab/>
        <w:t xml:space="preserve">Contrary to the predictions of the Evolved Constraint </w:t>
      </w:r>
      <w:r>
        <w:t>h</w:t>
      </w:r>
      <w:r>
        <w:t>ypothesis, breeding in the previous year had almost no effect on the probability that an individual would breed in the current year. These findings contrast with previous studies of hoar</w:t>
      </w:r>
      <w:r>
        <w:t>y marmot breeding patterns (</w:t>
      </w:r>
      <w:proofErr w:type="spellStart"/>
      <w:r>
        <w:t>Barash</w:t>
      </w:r>
      <w:proofErr w:type="spellEnd"/>
      <w:r>
        <w:t xml:space="preserve"> 1974, </w:t>
      </w:r>
      <w:proofErr w:type="spellStart"/>
      <w:r>
        <w:t>Wasser</w:t>
      </w:r>
      <w:proofErr w:type="spellEnd"/>
      <w:r>
        <w:t xml:space="preserve"> and </w:t>
      </w:r>
      <w:proofErr w:type="spellStart"/>
      <w:r>
        <w:t>Barash</w:t>
      </w:r>
      <w:proofErr w:type="spellEnd"/>
      <w:r>
        <w:t xml:space="preserve"> 1983, </w:t>
      </w:r>
      <w:r w:rsidR="001550AA">
        <w:t>Holmes 1984</w:t>
      </w:r>
      <w:r>
        <w:t xml:space="preserve">) in which biennial breeding </w:t>
      </w:r>
      <w:proofErr w:type="gramStart"/>
      <w:r>
        <w:t>was</w:t>
      </w:r>
      <w:proofErr w:type="gramEnd"/>
      <w:r>
        <w:t xml:space="preserve"> first suggested. However, the hypothesis of biennial breeding was derived primarily from observation of behavioral associations between adul</w:t>
      </w:r>
      <w:r>
        <w:t>t female marmots, yearlings, and juveniles (</w:t>
      </w:r>
      <w:proofErr w:type="spellStart"/>
      <w:r>
        <w:t>Barash</w:t>
      </w:r>
      <w:proofErr w:type="spellEnd"/>
      <w:r>
        <w:t xml:space="preserve"> 1974), and from the observation that approximately half of all females successfully weaned young in a given year. </w:t>
      </w:r>
    </w:p>
    <w:p w14:paraId="235F074E" w14:textId="77777777" w:rsidR="002D7F1F" w:rsidRDefault="003A7B1B">
      <w:pPr>
        <w:spacing w:line="480" w:lineRule="auto"/>
      </w:pPr>
      <w:r>
        <w:lastRenderedPageBreak/>
        <w:tab/>
        <w:t>The latter finding is consistent with our estimate of breeding probability for mature (&gt;3</w:t>
      </w:r>
      <w:r>
        <w:t xml:space="preserve"> years) females, which was close to </w:t>
      </w:r>
      <w:r>
        <w:t>0</w:t>
      </w:r>
      <w:r>
        <w:t>.5 (Fig. 1). Hoary marmot breeding patterns were also consistent between the two periods of our study (1999-2004 and 2007-2009). We were able to accurately predict the number of litters produced in 2007-2009 using model</w:t>
      </w:r>
      <w:r>
        <w:t>s that were parameterized with data from 1999-2004 (Fig. 2). Hoary marmots do not produce multiple litters per year (Kyle et al. 2007), so the number of litters is a reasonable surrogate for the number of breeding females. This temporal consistency in bree</w:t>
      </w:r>
      <w:r>
        <w:t>ding probability suggests that there is an intrinsic constraint on reproduction in hoary marmots, although the mechanism behind such a constraint is still unknown.</w:t>
      </w:r>
      <w:r>
        <w:rPr>
          <w:b/>
        </w:rPr>
        <w:t xml:space="preserve"> </w:t>
      </w:r>
    </w:p>
    <w:p w14:paraId="0FA80525" w14:textId="77777777" w:rsidR="002D7F1F" w:rsidRDefault="003A7B1B">
      <w:pPr>
        <w:spacing w:line="480" w:lineRule="auto"/>
      </w:pPr>
    </w:p>
    <w:p w14:paraId="3BDA0CB2" w14:textId="77777777" w:rsidR="002D7F1F" w:rsidRDefault="003A7B1B">
      <w:pPr>
        <w:spacing w:line="480" w:lineRule="auto"/>
      </w:pPr>
      <w:r>
        <w:t>Ecological Constraints</w:t>
      </w:r>
    </w:p>
    <w:p w14:paraId="3725E19B" w14:textId="77777777" w:rsidR="002D7F1F" w:rsidRDefault="003A7B1B">
      <w:pPr>
        <w:spacing w:line="480" w:lineRule="auto"/>
      </w:pPr>
      <w:r>
        <w:tab/>
        <w:t xml:space="preserve">Breeding probability was insensitive to the depth and duration of </w:t>
      </w:r>
      <w:r>
        <w:t>snowpack the previous winter, as indexed by the winter PDO. Winter conditions may have consistently been harsh enough that their influence overwhelmed the effects of female body condition and breeding history. Alternatively, a constant breeding probability</w:t>
      </w:r>
      <w:r>
        <w:t xml:space="preserve"> could have evolved as a response to environmental variability and the resulting uncertainty in the probability that an individual marmot will survive from one breeding opportunity to the next. Finally, a constant breeding effort may come at the expense of</w:t>
      </w:r>
      <w:r>
        <w:t xml:space="preserve"> fecundity. This last hypothesis is consistent with our findings that average fecundity and juveniles per group declined during winters with thin snowpack (high PDO values) while breeding effort did not. </w:t>
      </w:r>
    </w:p>
    <w:p w14:paraId="434CC216" w14:textId="77777777" w:rsidR="002D7F1F" w:rsidRDefault="003A7B1B">
      <w:pPr>
        <w:spacing w:line="480" w:lineRule="auto"/>
      </w:pPr>
    </w:p>
    <w:p w14:paraId="72BEAA78" w14:textId="77777777" w:rsidR="002D7F1F" w:rsidRDefault="003A7B1B">
      <w:pPr>
        <w:spacing w:line="480" w:lineRule="auto"/>
      </w:pPr>
      <w:r>
        <w:t>Social Constraints</w:t>
      </w:r>
    </w:p>
    <w:p w14:paraId="179EADB0" w14:textId="54C43C5E" w:rsidR="002D7F1F" w:rsidRDefault="003A7B1B">
      <w:pPr>
        <w:spacing w:line="480" w:lineRule="auto"/>
      </w:pPr>
      <w:r>
        <w:tab/>
        <w:t>Our results did not support th</w:t>
      </w:r>
      <w:r>
        <w:t xml:space="preserve">e Social Constraint </w:t>
      </w:r>
      <w:r>
        <w:t>h</w:t>
      </w:r>
      <w:r>
        <w:t xml:space="preserve">ypothesis. Complete reproductive suppression means that only one female per social group is allowed to breed (Blumstein and </w:t>
      </w:r>
      <w:proofErr w:type="spellStart"/>
      <w:r>
        <w:t>Armitage</w:t>
      </w:r>
      <w:proofErr w:type="spellEnd"/>
      <w:r>
        <w:t xml:space="preserve"> 1999). In hoary marmot social groups, the number of adult females per group had almost no influence o</w:t>
      </w:r>
      <w:r>
        <w:t xml:space="preserve">n breeding probability for individual females, indicating that even partial reproductive suppression </w:t>
      </w:r>
      <w:r>
        <w:lastRenderedPageBreak/>
        <w:t>was unimportant. Social group size also had no influence on average fecundity, and was positively related to the number of juveniles born per group in a gi</w:t>
      </w:r>
      <w:r>
        <w:t>ven year. When social structure was modeled using the number of adult females as a covariate instead of total group size, the results were essentially the same.</w:t>
      </w:r>
    </w:p>
    <w:p w14:paraId="3D7A0896" w14:textId="77777777" w:rsidR="002D7F1F" w:rsidRDefault="003A7B1B">
      <w:pPr>
        <w:spacing w:line="480" w:lineRule="auto"/>
      </w:pPr>
      <w:r>
        <w:tab/>
        <w:t xml:space="preserve">Age affects breeding success in most mammal species (Harvey and </w:t>
      </w:r>
      <w:proofErr w:type="spellStart"/>
      <w:r>
        <w:t>Zammuto</w:t>
      </w:r>
      <w:proofErr w:type="spellEnd"/>
      <w:r>
        <w:t xml:space="preserve"> 1985), so it is not su</w:t>
      </w:r>
      <w:r>
        <w:t xml:space="preserve">rprising that age-class was an important variable in our models of breeding probability. However, the biological significance of this result is ambiguous. A positive relationship between age and breeding success could be the result of partial reproductive </w:t>
      </w:r>
      <w:r>
        <w:t>suppression if older females were more likely to be dominant, as is the case in alpine marmots (</w:t>
      </w:r>
      <w:proofErr w:type="spellStart"/>
      <w:r>
        <w:t>Hackländer</w:t>
      </w:r>
      <w:proofErr w:type="spellEnd"/>
      <w:r>
        <w:t xml:space="preserve"> et al. 2003). On the other hand, social mechanisms are not required to explain a link between age and reproduction: younger females could simply be l</w:t>
      </w:r>
      <w:r>
        <w:t xml:space="preserve">ess effective at caring for their young, or less likely to reach parturition successfully. Because mating, birth, and weaning took place primarily underground at our site (Kyle et al. 2007), we cannot conclusively determine which explanation is correct. </w:t>
      </w:r>
    </w:p>
    <w:p w14:paraId="0DA83F8E" w14:textId="77777777" w:rsidR="002D7F1F" w:rsidRDefault="003A7B1B">
      <w:pPr>
        <w:spacing w:line="480" w:lineRule="auto"/>
      </w:pPr>
    </w:p>
    <w:p w14:paraId="0A9AF4FE" w14:textId="77777777" w:rsidR="002D7F1F" w:rsidRDefault="003A7B1B">
      <w:pPr>
        <w:spacing w:line="480" w:lineRule="auto"/>
      </w:pPr>
      <w:r>
        <w:t>Cost of reproduction</w:t>
      </w:r>
    </w:p>
    <w:p w14:paraId="75B575E8" w14:textId="49680CD0" w:rsidR="002D7F1F" w:rsidRDefault="003A7B1B">
      <w:pPr>
        <w:spacing w:line="480" w:lineRule="auto"/>
      </w:pPr>
      <w:r>
        <w:tab/>
        <w:t xml:space="preserve">The seasonal activity patterns of breeding adult females in our study were consistent with those described by </w:t>
      </w:r>
      <w:proofErr w:type="spellStart"/>
      <w:r>
        <w:t>Barash</w:t>
      </w:r>
      <w:proofErr w:type="spellEnd"/>
      <w:r>
        <w:t xml:space="preserve"> (1980), and breeders were at an energetic disadvantage by the end of the season (Fig. 4). However, this difference di</w:t>
      </w:r>
      <w:r>
        <w:t>d not influence future reproductive effort. It also had no measurable impact on apparent survival.  Our survival analyses are consistent with our breeding probability results, because without a high fitness cost of annual reproduction, there is no selectiv</w:t>
      </w:r>
      <w:r>
        <w:t xml:space="preserve">e pressure for reproductive skipping. The average probability of apparent survival for both breeders and non-breeders declined from 0.88 to 0.55 during our study (Fig. 3), but this decline was strongly related to PDO and </w:t>
      </w:r>
      <w:proofErr w:type="spellStart"/>
      <w:r>
        <w:t>PDO</w:t>
      </w:r>
      <w:r w:rsidRPr="004C265B">
        <w:rPr>
          <w:kern w:val="24"/>
          <w:vertAlign w:val="subscript"/>
        </w:rPr>
        <w:t>lag</w:t>
      </w:r>
      <w:proofErr w:type="spellEnd"/>
      <w:r>
        <w:t xml:space="preserve"> rather than to breeding effo</w:t>
      </w:r>
      <w:r>
        <w:t>rt, meaning that adult female survival probabilities were sensitive to winter climate and snowpack depth (</w:t>
      </w:r>
      <w:proofErr w:type="spellStart"/>
      <w:r w:rsidR="004D6683">
        <w:t>Patil</w:t>
      </w:r>
      <w:proofErr w:type="spellEnd"/>
      <w:r w:rsidR="004D6683">
        <w:t xml:space="preserve"> et al. in press</w:t>
      </w:r>
      <w:r>
        <w:t xml:space="preserve">, Morrison and </w:t>
      </w:r>
      <w:proofErr w:type="spellStart"/>
      <w:r>
        <w:t>Hik</w:t>
      </w:r>
      <w:proofErr w:type="spellEnd"/>
      <w:r>
        <w:t xml:space="preserve"> 2007). Mortality occurs </w:t>
      </w:r>
      <w:r>
        <w:lastRenderedPageBreak/>
        <w:t>almost entirely during the winter in our study population, which means that our annual app</w:t>
      </w:r>
      <w:r>
        <w:t>arent survival estimates are a reasonable approximation for overwinter survival (</w:t>
      </w:r>
      <w:proofErr w:type="spellStart"/>
      <w:r w:rsidR="004D6683">
        <w:t>Patil</w:t>
      </w:r>
      <w:proofErr w:type="spellEnd"/>
      <w:r w:rsidR="004D6683">
        <w:t xml:space="preserve"> et al. in press</w:t>
      </w:r>
      <w:r>
        <w:t>).</w:t>
      </w:r>
    </w:p>
    <w:p w14:paraId="4D7949FB" w14:textId="77777777" w:rsidR="002D7F1F" w:rsidRDefault="003A7B1B">
      <w:pPr>
        <w:spacing w:line="480" w:lineRule="auto"/>
      </w:pPr>
    </w:p>
    <w:p w14:paraId="4117F009" w14:textId="77777777" w:rsidR="002D7F1F" w:rsidRDefault="003A7B1B">
      <w:pPr>
        <w:spacing w:line="480" w:lineRule="auto"/>
      </w:pPr>
      <w:r>
        <w:t>Comparisons with other marmot species</w:t>
      </w:r>
    </w:p>
    <w:p w14:paraId="4E60588B" w14:textId="6F447BF5" w:rsidR="002D7F1F" w:rsidRDefault="003A7B1B">
      <w:pPr>
        <w:spacing w:line="480" w:lineRule="auto"/>
      </w:pPr>
      <w:r>
        <w:tab/>
        <w:t>Despite its potential importance, variation in breeding probability has received much less attention than fecundity</w:t>
      </w:r>
      <w:r>
        <w:t xml:space="preserve"> or survival in demographic studies of mammals (</w:t>
      </w:r>
      <w:proofErr w:type="spellStart"/>
      <w:r>
        <w:t>Ozgul</w:t>
      </w:r>
      <w:proofErr w:type="spellEnd"/>
      <w:r>
        <w:t xml:space="preserve"> et al. 2007). At a coarse scale, average breeding probability is remarkably similar across the genus </w:t>
      </w:r>
      <w:proofErr w:type="spellStart"/>
      <w:r>
        <w:rPr>
          <w:i/>
        </w:rPr>
        <w:t>Marmota</w:t>
      </w:r>
      <w:proofErr w:type="spellEnd"/>
      <w:r>
        <w:t xml:space="preserve"> (Bryant 2005). This consistency provides additional support for the notion of an intrinsic co</w:t>
      </w:r>
      <w:r>
        <w:t xml:space="preserve">nstraint on reproductive success that is unrelated to social pressures or environment. However, breeding success is influenced by winter weather in yellow-bellied marmots, and potentially in Olympic marmots as well (Schwartz and </w:t>
      </w:r>
      <w:proofErr w:type="spellStart"/>
      <w:r>
        <w:t>Armitage</w:t>
      </w:r>
      <w:proofErr w:type="spellEnd"/>
      <w:r>
        <w:t xml:space="preserve"> 2004, Griffin et a</w:t>
      </w:r>
      <w:r>
        <w:t>l. 200</w:t>
      </w:r>
      <w:bookmarkStart w:id="0" w:name="_GoBack"/>
      <w:bookmarkEnd w:id="0"/>
      <w:r>
        <w:t>7). In addition, the marmot species with the lowest reported rate of breeding success, the golden marmot (</w:t>
      </w:r>
      <w:proofErr w:type="spellStart"/>
      <w:r>
        <w:rPr>
          <w:i/>
        </w:rPr>
        <w:t>Marmota</w:t>
      </w:r>
      <w:proofErr w:type="spellEnd"/>
      <w:r>
        <w:rPr>
          <w:i/>
        </w:rPr>
        <w:t xml:space="preserve"> </w:t>
      </w:r>
      <w:proofErr w:type="spellStart"/>
      <w:r>
        <w:rPr>
          <w:i/>
        </w:rPr>
        <w:t>caudata</w:t>
      </w:r>
      <w:proofErr w:type="spellEnd"/>
      <w:r>
        <w:t>), lives in an environment that is more arid, less productive, and at higher elevation than almost any other marmot species</w:t>
      </w:r>
      <w:r>
        <w:t xml:space="preserve"> (Blu</w:t>
      </w:r>
      <w:r>
        <w:t>mstein and Arnold 1998). For alpine marmots, winter weather does not affect breeding success, but body condition at the end of hibernation is important (</w:t>
      </w:r>
      <w:proofErr w:type="spellStart"/>
      <w:r>
        <w:t>Hackländer</w:t>
      </w:r>
      <w:proofErr w:type="spellEnd"/>
      <w:r>
        <w:t xml:space="preserve"> and Arnold 1999). Taken together, these studies support the Ecological Constraint hypothesis</w:t>
      </w:r>
      <w:r>
        <w:t xml:space="preserve"> as a potential influence on breeding probability for the genus </w:t>
      </w:r>
      <w:proofErr w:type="spellStart"/>
      <w:r w:rsidRPr="00CA36A0">
        <w:rPr>
          <w:i/>
        </w:rPr>
        <w:t>Marmota</w:t>
      </w:r>
      <w:proofErr w:type="spellEnd"/>
      <w:r w:rsidRPr="004C265B">
        <w:rPr>
          <w:i/>
        </w:rPr>
        <w:t xml:space="preserve"> </w:t>
      </w:r>
      <w:r w:rsidRPr="004C265B">
        <w:t>as a whole</w:t>
      </w:r>
      <w:r>
        <w:t>.</w:t>
      </w:r>
    </w:p>
    <w:p w14:paraId="6131AD14" w14:textId="77777777" w:rsidR="002D7F1F" w:rsidRDefault="003A7B1B">
      <w:pPr>
        <w:spacing w:line="480" w:lineRule="auto"/>
        <w:ind w:firstLine="720"/>
      </w:pPr>
      <w:r>
        <w:t>It is not clear why hoary marmot breeding patterns were less sensitive to climate than those of other marmot species. Spatial variation in habitat quality can affect reprod</w:t>
      </w:r>
      <w:r>
        <w:t>uction (</w:t>
      </w:r>
      <w:proofErr w:type="spellStart"/>
      <w:r>
        <w:t>Ozgul</w:t>
      </w:r>
      <w:proofErr w:type="spellEnd"/>
      <w:r>
        <w:t xml:space="preserve"> et al. 2007), so differences between social group territories could have obscured some underlying climate-related pattern. However, the amount of food naturally available to hoary marmots in our study area was not a constraint on growth, body</w:t>
      </w:r>
      <w:r>
        <w:t xml:space="preserve"> condition, or survival. In addition, adult marmots that were fed rabbit chow </w:t>
      </w:r>
      <w:r>
        <w:rPr>
          <w:i/>
        </w:rPr>
        <w:t xml:space="preserve">ad </w:t>
      </w:r>
      <w:proofErr w:type="spellStart"/>
      <w:r>
        <w:rPr>
          <w:i/>
        </w:rPr>
        <w:t>libidum</w:t>
      </w:r>
      <w:proofErr w:type="spellEnd"/>
      <w:r>
        <w:t xml:space="preserve"> over the course of a growing season did not show significant differences in mass accumulation rates or fall body mass compared to control animals, and had equivalent o</w:t>
      </w:r>
      <w:r>
        <w:t xml:space="preserve">verwinter </w:t>
      </w:r>
      <w:r>
        <w:lastRenderedPageBreak/>
        <w:t xml:space="preserve">survival rates (T.J. </w:t>
      </w:r>
      <w:proofErr w:type="spellStart"/>
      <w:r>
        <w:t>Karels</w:t>
      </w:r>
      <w:proofErr w:type="spellEnd"/>
      <w:r>
        <w:t xml:space="preserve"> et al. unpublished data). Given this lack of a relationship between food availability and growth or survival, it is conceivable that hoary marmots have also evolved breeding patterns that are insensitive to the timing </w:t>
      </w:r>
      <w:r>
        <w:t>and abundance of food availability.</w:t>
      </w:r>
    </w:p>
    <w:p w14:paraId="49C9B746" w14:textId="77777777" w:rsidR="002D7F1F" w:rsidRDefault="003A7B1B">
      <w:pPr>
        <w:spacing w:line="480" w:lineRule="auto"/>
        <w:ind w:firstLine="720"/>
      </w:pPr>
      <w:r>
        <w:t xml:space="preserve">The apparent absence of social constraints on hoary marmot reproduction was also an anomaly among marmot species. In </w:t>
      </w:r>
      <w:proofErr w:type="spellStart"/>
      <w:r>
        <w:rPr>
          <w:i/>
        </w:rPr>
        <w:t>Marmota</w:t>
      </w:r>
      <w:proofErr w:type="spellEnd"/>
      <w:r>
        <w:rPr>
          <w:i/>
        </w:rPr>
        <w:t xml:space="preserve"> </w:t>
      </w:r>
      <w:r>
        <w:t xml:space="preserve">and other ground-dwelling </w:t>
      </w:r>
      <w:proofErr w:type="spellStart"/>
      <w:r>
        <w:t>Sciurids</w:t>
      </w:r>
      <w:proofErr w:type="spellEnd"/>
      <w:r>
        <w:t>, social complexity and breeding probability are generally ne</w:t>
      </w:r>
      <w:r>
        <w:t>gatively correlated (</w:t>
      </w:r>
      <w:proofErr w:type="spellStart"/>
      <w:r>
        <w:t>Armitage</w:t>
      </w:r>
      <w:proofErr w:type="spellEnd"/>
      <w:r>
        <w:t xml:space="preserve"> and Schwartz 2000, Blumstein and </w:t>
      </w:r>
      <w:proofErr w:type="spellStart"/>
      <w:r>
        <w:t>Armitage</w:t>
      </w:r>
      <w:proofErr w:type="spellEnd"/>
      <w:r>
        <w:t xml:space="preserve"> 1998). This pattern is most evident in alpine marmots, the most socially complex member of the genus. In alpine marmot social groups, only one dominant female is allowed to breed (Arno</w:t>
      </w:r>
      <w:r>
        <w:t xml:space="preserve">ld 1990, </w:t>
      </w:r>
      <w:proofErr w:type="spellStart"/>
      <w:r>
        <w:t>Hackländer</w:t>
      </w:r>
      <w:proofErr w:type="spellEnd"/>
      <w:r>
        <w:t xml:space="preserve"> et al. 2003). However, even the dominant female’s reproductive output is reduced in large social groups, apparently due to reproductive competition with subordinates (</w:t>
      </w:r>
      <w:proofErr w:type="spellStart"/>
      <w:r>
        <w:t>Hackländer</w:t>
      </w:r>
      <w:proofErr w:type="spellEnd"/>
      <w:r>
        <w:t xml:space="preserve"> et al. 2003). Reproductive suppression has also been docum</w:t>
      </w:r>
      <w:r>
        <w:t xml:space="preserve">ented in yellow-bellied marmot groups, where the relationship between </w:t>
      </w:r>
      <w:proofErr w:type="spellStart"/>
      <w:r>
        <w:t>matriline</w:t>
      </w:r>
      <w:proofErr w:type="spellEnd"/>
      <w:r>
        <w:t xml:space="preserve"> size and reproductive rate is </w:t>
      </w:r>
      <w:proofErr w:type="spellStart"/>
      <w:r>
        <w:t>unimodal</w:t>
      </w:r>
      <w:proofErr w:type="spellEnd"/>
      <w:r>
        <w:t xml:space="preserve"> (</w:t>
      </w:r>
      <w:proofErr w:type="spellStart"/>
      <w:r>
        <w:t>Armitage</w:t>
      </w:r>
      <w:proofErr w:type="spellEnd"/>
      <w:r>
        <w:t xml:space="preserve"> and Schwartz 2000). </w:t>
      </w:r>
    </w:p>
    <w:p w14:paraId="5A88DE8E" w14:textId="77777777" w:rsidR="002D7F1F" w:rsidRDefault="003A7B1B">
      <w:pPr>
        <w:spacing w:line="480" w:lineRule="auto"/>
        <w:ind w:firstLine="720"/>
      </w:pPr>
      <w:r>
        <w:t>Hoary marmot breeding probability may be less constrained by group size because females within a group are</w:t>
      </w:r>
      <w:r>
        <w:t xml:space="preserve"> closely related. In alpine marmots, the dominant female is less likely to breed when subordinates are unrelated, but not when subordinates are her siblings (</w:t>
      </w:r>
      <w:proofErr w:type="spellStart"/>
      <w:r>
        <w:t>Hackländer</w:t>
      </w:r>
      <w:proofErr w:type="spellEnd"/>
      <w:r>
        <w:t xml:space="preserve"> et al. 2003). Although genetic relatedness has not been comprehensively determined in o</w:t>
      </w:r>
      <w:r>
        <w:t>ur population, females rarely disperse from their natal group, and extra-pair copulation is almost non-existent (Kyle et al. 2007), so females within a social group are mostly offspring, grand-offspring, or siblings of each other. In addition, the number o</w:t>
      </w:r>
      <w:r>
        <w:t>f adult females per social group is highly variable from one year to the next (Kyle et al. 2007), so the social dominance structure must also be unstable. Given these circumstances, all females in a social group may receive enough direct and indirect fitne</w:t>
      </w:r>
      <w:r>
        <w:t>ss benefits that reproductive competition is unnecessary.</w:t>
      </w:r>
    </w:p>
    <w:p w14:paraId="4FCEDD87" w14:textId="77777777" w:rsidR="002D7F1F" w:rsidRDefault="003A7B1B">
      <w:pPr>
        <w:spacing w:line="480" w:lineRule="auto"/>
      </w:pPr>
      <w:r>
        <w:tab/>
        <w:t xml:space="preserve">Another potential explanation comes from life history theory, which predicts that life history parameters with the greatest potential influence on population dynamics should be the least variable </w:t>
      </w:r>
      <w:r>
        <w:lastRenderedPageBreak/>
        <w:t>(</w:t>
      </w:r>
      <w:proofErr w:type="spellStart"/>
      <w:r>
        <w:t>Ozgul</w:t>
      </w:r>
      <w:proofErr w:type="spellEnd"/>
      <w:r>
        <w:t xml:space="preserve"> et al. 2007). Hoary marmots may therefore have evolved a consistent probability of breeding because breeding probability is more important, demographically, than other aspects of their life history.  </w:t>
      </w:r>
    </w:p>
    <w:p w14:paraId="4E156C1E" w14:textId="4C506733" w:rsidR="002D7F1F" w:rsidRDefault="003A7B1B">
      <w:pPr>
        <w:spacing w:line="480" w:lineRule="auto"/>
      </w:pPr>
      <w:r>
        <w:tab/>
        <w:t>Breeding at a consistent rate every year may con</w:t>
      </w:r>
      <w:r>
        <w:t>fer a long-term selective advantage on hoary marmots, but it may also result in maternal stress effects being passed on to juveniles (Sheriff et al. 2009). We cannot test this hypothesis directly, but juvenile hoary marmot survival is correlated with winte</w:t>
      </w:r>
      <w:r>
        <w:t>r climate lagged by one year, which implies the operation of maternal effects (</w:t>
      </w:r>
      <w:proofErr w:type="spellStart"/>
      <w:r w:rsidR="004D6683">
        <w:t>Patil</w:t>
      </w:r>
      <w:proofErr w:type="spellEnd"/>
      <w:r w:rsidR="004D6683">
        <w:t xml:space="preserve"> et al. in press</w:t>
      </w:r>
      <w:r>
        <w:t>). Ultimately, it may be impossible to pinpoint exactly how hoary marmot breeding patterns evolved, because a stochastic environment can select for more than on</w:t>
      </w:r>
      <w:r>
        <w:t>e optimum life history strategy (</w:t>
      </w:r>
      <w:proofErr w:type="spellStart"/>
      <w:r>
        <w:t>Orzack</w:t>
      </w:r>
      <w:proofErr w:type="spellEnd"/>
      <w:r>
        <w:t xml:space="preserve"> and </w:t>
      </w:r>
      <w:proofErr w:type="spellStart"/>
      <w:r>
        <w:t>Tuljapurkar</w:t>
      </w:r>
      <w:proofErr w:type="spellEnd"/>
      <w:r>
        <w:t xml:space="preserve"> 2001).</w:t>
      </w:r>
    </w:p>
    <w:p w14:paraId="26E1A034" w14:textId="77777777" w:rsidR="002D7F1F" w:rsidRDefault="003A7B1B">
      <w:pPr>
        <w:spacing w:line="480" w:lineRule="auto"/>
      </w:pPr>
    </w:p>
    <w:p w14:paraId="38CBB48C" w14:textId="77777777" w:rsidR="002D7F1F" w:rsidRDefault="003A7B1B">
      <w:pPr>
        <w:spacing w:line="480" w:lineRule="auto"/>
        <w:rPr>
          <w:b/>
        </w:rPr>
      </w:pPr>
      <w:r>
        <w:t>General conclusions / implications for marmot population dynamics</w:t>
      </w:r>
    </w:p>
    <w:p w14:paraId="79DA2789" w14:textId="77777777" w:rsidR="002D7F1F" w:rsidRDefault="003A7B1B">
      <w:pPr>
        <w:spacing w:line="480" w:lineRule="auto"/>
      </w:pPr>
      <w:r>
        <w:rPr>
          <w:b/>
        </w:rPr>
        <w:tab/>
      </w:r>
      <w:r>
        <w:t>There has been speculation that marmots are able to compensate for the negative effects of hibernation under a shallow snowpa</w:t>
      </w:r>
      <w:r>
        <w:t>ck by increasing their reproductive output during the resulting longer, more productive growing seasons (Griffin et al. 2007). We did not find evidence for this hypothesis, although climate-driven life history tradeoffs may be more important for marmots in</w:t>
      </w:r>
      <w:r>
        <w:t xml:space="preserve"> less severe alpine environments than the Yukon (Griffin et al. 2007). In addition, our findings show that small, newly formed social groups containing younger females have lower reproductive output, and are therefore at greater risk of extinction than old</w:t>
      </w:r>
      <w:r>
        <w:t xml:space="preserve">er groups with more experienced breeders. Demographic mechanisms of </w:t>
      </w:r>
      <w:proofErr w:type="spellStart"/>
      <w:r>
        <w:t>Allee</w:t>
      </w:r>
      <w:proofErr w:type="spellEnd"/>
      <w:r>
        <w:t xml:space="preserve"> effects have also been identified in yellow-bellied and alpine marmot populations (</w:t>
      </w:r>
      <w:proofErr w:type="spellStart"/>
      <w:r>
        <w:t>Armitage</w:t>
      </w:r>
      <w:proofErr w:type="spellEnd"/>
      <w:r>
        <w:t xml:space="preserve"> and Schwartz 2000, Stephens et al. 2002), and should be considered whenever effects of cli</w:t>
      </w:r>
      <w:r>
        <w:t xml:space="preserve">mate change on social animals are being studied. </w:t>
      </w:r>
    </w:p>
    <w:p w14:paraId="45977F88" w14:textId="06665064" w:rsidR="009355C7" w:rsidRDefault="003A7B1B" w:rsidP="004C265B">
      <w:pPr>
        <w:spacing w:line="480" w:lineRule="auto"/>
        <w:ind w:firstLine="720"/>
      </w:pPr>
      <w:r>
        <w:t xml:space="preserve">Hoary marmots are less conservative in their breeding habits than previously believed. More generally, obligate biennial breeding is probably much less common in </w:t>
      </w:r>
      <w:proofErr w:type="spellStart"/>
      <w:r w:rsidRPr="004C265B">
        <w:rPr>
          <w:i/>
        </w:rPr>
        <w:t>Marmota</w:t>
      </w:r>
      <w:proofErr w:type="spellEnd"/>
      <w:r>
        <w:t xml:space="preserve">, and in arctic/alpine </w:t>
      </w:r>
      <w:r>
        <w:lastRenderedPageBreak/>
        <w:t>fauna, than pr</w:t>
      </w:r>
      <w:r>
        <w:t xml:space="preserve">evious research suggests (see Griffin et al. 2007). Accurate characterizations of species' life histories are essential for understanding how climate change and other factors can influence population </w:t>
      </w:r>
      <w:r w:rsidRPr="004C265B">
        <w:rPr>
          <w:kern w:val="24"/>
        </w:rPr>
        <w:t>dynamics, and</w:t>
      </w:r>
      <w:r>
        <w:t xml:space="preserve"> for predicting future population trends (W</w:t>
      </w:r>
      <w:r>
        <w:t xml:space="preserve">inkler and Dunn 2002, </w:t>
      </w:r>
      <w:proofErr w:type="spellStart"/>
      <w:r>
        <w:t>Jiguet</w:t>
      </w:r>
      <w:proofErr w:type="spellEnd"/>
      <w:r>
        <w:t xml:space="preserve"> et al. 2007). The evidence for biennial breeding and other unusual life-histories traits should therefore be re-examined.</w:t>
      </w:r>
    </w:p>
    <w:p w14:paraId="003CA658" w14:textId="77777777" w:rsidR="007D0F9E" w:rsidRPr="004C265B" w:rsidRDefault="007D0F9E" w:rsidP="004C265B">
      <w:pPr>
        <w:spacing w:line="480" w:lineRule="auto"/>
        <w:ind w:firstLine="720"/>
        <w:rPr>
          <w:kern w:val="24"/>
        </w:rPr>
      </w:pPr>
    </w:p>
    <w:p w14:paraId="60045088" w14:textId="77777777" w:rsidR="009355C7" w:rsidRPr="006A3DE7" w:rsidRDefault="009355C7" w:rsidP="009355C7">
      <w:pPr>
        <w:spacing w:line="480" w:lineRule="auto"/>
        <w:rPr>
          <w:rFonts w:eastAsia="TimesNewRoman" w:cs="TimesNewRoman"/>
          <w:b/>
          <w:bCs/>
          <w:kern w:val="24"/>
          <w:szCs w:val="22"/>
          <w:lang w:eastAsia="en-US"/>
        </w:rPr>
      </w:pPr>
      <w:r w:rsidRPr="006A3DE7">
        <w:rPr>
          <w:rFonts w:eastAsia="TimesNewRoman" w:cs="TimesNewRoman"/>
          <w:b/>
          <w:bCs/>
          <w:kern w:val="24"/>
          <w:szCs w:val="22"/>
          <w:lang w:eastAsia="en-US"/>
        </w:rPr>
        <w:t>Acknowledgements</w:t>
      </w:r>
    </w:p>
    <w:p w14:paraId="2092603A" w14:textId="77777777" w:rsidR="009355C7" w:rsidRPr="006A3DE7" w:rsidRDefault="009355C7" w:rsidP="009355C7">
      <w:pPr>
        <w:spacing w:line="480" w:lineRule="auto"/>
        <w:rPr>
          <w:kern w:val="24"/>
        </w:rPr>
      </w:pPr>
      <w:r w:rsidRPr="006A3DE7">
        <w:rPr>
          <w:rFonts w:eastAsia="TimesNewRoman" w:cs="TimesNewRoman"/>
          <w:kern w:val="24"/>
          <w:szCs w:val="22"/>
          <w:lang w:eastAsia="en-US"/>
        </w:rPr>
        <w:t>Funding was provided by Environment Canada, the Natural Science and Engineering Research</w:t>
      </w:r>
      <w:r>
        <w:rPr>
          <w:rFonts w:eastAsia="TimesNewRoman" w:cs="TimesNewRoman"/>
          <w:kern w:val="24"/>
          <w:szCs w:val="22"/>
          <w:lang w:eastAsia="en-US"/>
        </w:rPr>
        <w:t xml:space="preserve"> </w:t>
      </w:r>
      <w:r w:rsidRPr="006A3DE7">
        <w:rPr>
          <w:rFonts w:eastAsia="TimesNewRoman" w:cs="TimesNewRoman"/>
          <w:kern w:val="24"/>
          <w:szCs w:val="22"/>
          <w:lang w:eastAsia="en-US"/>
        </w:rPr>
        <w:t>Council of Canada, the Yellowstone to Yukon (Y2Y) Science Grants program, the Canada</w:t>
      </w:r>
      <w:r>
        <w:rPr>
          <w:rFonts w:eastAsia="TimesNewRoman" w:cs="TimesNewRoman"/>
          <w:kern w:val="24"/>
          <w:szCs w:val="22"/>
          <w:lang w:eastAsia="en-US"/>
        </w:rPr>
        <w:t xml:space="preserve"> </w:t>
      </w:r>
      <w:r w:rsidRPr="006A3DE7">
        <w:rPr>
          <w:rFonts w:eastAsia="TimesNewRoman" w:cs="TimesNewRoman"/>
          <w:kern w:val="24"/>
          <w:szCs w:val="22"/>
          <w:lang w:eastAsia="en-US"/>
        </w:rPr>
        <w:t>Foundation for Innovation, the Canada Research Chairs Program, and the Canadian Circumpolar</w:t>
      </w:r>
      <w:r>
        <w:rPr>
          <w:rFonts w:eastAsia="TimesNewRoman" w:cs="TimesNewRoman"/>
          <w:kern w:val="24"/>
          <w:szCs w:val="22"/>
          <w:lang w:eastAsia="en-US"/>
        </w:rPr>
        <w:t xml:space="preserve"> </w:t>
      </w:r>
      <w:r w:rsidRPr="006A3DE7">
        <w:rPr>
          <w:rFonts w:eastAsia="TimesNewRoman" w:cs="TimesNewRoman"/>
          <w:kern w:val="24"/>
          <w:szCs w:val="22"/>
          <w:lang w:eastAsia="en-US"/>
        </w:rPr>
        <w:t xml:space="preserve">Institute, University of Alberta. We are also grateful to </w:t>
      </w:r>
      <w:proofErr w:type="spellStart"/>
      <w:r w:rsidRPr="006A3DE7">
        <w:rPr>
          <w:rFonts w:eastAsia="TimesNewRoman" w:cs="TimesNewRoman"/>
          <w:kern w:val="24"/>
          <w:szCs w:val="22"/>
          <w:lang w:eastAsia="en-US"/>
        </w:rPr>
        <w:t>Kluane</w:t>
      </w:r>
      <w:proofErr w:type="spellEnd"/>
      <w:r w:rsidRPr="006A3DE7">
        <w:rPr>
          <w:rFonts w:eastAsia="TimesNewRoman" w:cs="TimesNewRoman"/>
          <w:kern w:val="24"/>
          <w:szCs w:val="22"/>
          <w:lang w:eastAsia="en-US"/>
        </w:rPr>
        <w:t xml:space="preserve"> First Nations for allowing use of</w:t>
      </w:r>
      <w:r>
        <w:rPr>
          <w:rFonts w:eastAsia="TimesNewRoman" w:cs="TimesNewRoman"/>
          <w:kern w:val="24"/>
          <w:szCs w:val="22"/>
          <w:lang w:eastAsia="en-US"/>
        </w:rPr>
        <w:t xml:space="preserve"> </w:t>
      </w:r>
      <w:r w:rsidRPr="006A3DE7">
        <w:rPr>
          <w:rFonts w:eastAsia="TimesNewRoman" w:cs="TimesNewRoman"/>
          <w:kern w:val="24"/>
          <w:szCs w:val="22"/>
          <w:lang w:eastAsia="en-US"/>
        </w:rPr>
        <w:t>their land, and to the numerous field assistants who helped to trap marmots for this study. All</w:t>
      </w:r>
      <w:r>
        <w:rPr>
          <w:rFonts w:eastAsia="TimesNewRoman" w:cs="TimesNewRoman"/>
          <w:kern w:val="24"/>
          <w:szCs w:val="22"/>
          <w:lang w:eastAsia="en-US"/>
        </w:rPr>
        <w:t xml:space="preserve"> </w:t>
      </w:r>
      <w:r w:rsidRPr="006A3DE7">
        <w:rPr>
          <w:rFonts w:eastAsia="TimesNewRoman" w:cs="TimesNewRoman"/>
          <w:kern w:val="24"/>
          <w:szCs w:val="22"/>
          <w:lang w:eastAsia="en-US"/>
        </w:rPr>
        <w:t>trapping procedures were approved by the University of Alberta Biosciences Animal Policy and</w:t>
      </w:r>
      <w:r>
        <w:rPr>
          <w:rFonts w:eastAsia="TimesNewRoman" w:cs="TimesNewRoman"/>
          <w:kern w:val="24"/>
          <w:szCs w:val="22"/>
          <w:lang w:eastAsia="en-US"/>
        </w:rPr>
        <w:t xml:space="preserve"> </w:t>
      </w:r>
      <w:r w:rsidRPr="006A3DE7">
        <w:rPr>
          <w:rFonts w:eastAsia="TimesNewRoman" w:cs="TimesNewRoman"/>
          <w:kern w:val="24"/>
          <w:szCs w:val="22"/>
          <w:lang w:eastAsia="en-US"/>
        </w:rPr>
        <w:t xml:space="preserve">Welfare Committee. </w:t>
      </w:r>
    </w:p>
    <w:p w14:paraId="2A825D59" w14:textId="77777777" w:rsidR="009355C7" w:rsidRDefault="009355C7" w:rsidP="009355C7">
      <w:pPr>
        <w:spacing w:line="480" w:lineRule="auto"/>
        <w:ind w:firstLine="720"/>
      </w:pPr>
    </w:p>
    <w:p w14:paraId="2ADD4CCA" w14:textId="77777777" w:rsidR="007D0F9E" w:rsidRPr="00ED3CFB" w:rsidRDefault="007D0F9E" w:rsidP="007D0F9E">
      <w:pPr>
        <w:widowControl w:val="0"/>
        <w:spacing w:line="100" w:lineRule="atLeast"/>
        <w:ind w:left="720" w:hanging="720"/>
        <w:rPr>
          <w:b/>
        </w:rPr>
      </w:pPr>
      <w:r w:rsidRPr="00ED3CFB">
        <w:rPr>
          <w:b/>
        </w:rPr>
        <w:t>Literature Cited</w:t>
      </w:r>
    </w:p>
    <w:p w14:paraId="06D79B3B" w14:textId="77777777" w:rsidR="007D0F9E" w:rsidRPr="00ED3CFB" w:rsidRDefault="007D0F9E" w:rsidP="007D0F9E">
      <w:pPr>
        <w:widowControl w:val="0"/>
        <w:spacing w:line="100" w:lineRule="atLeast"/>
        <w:ind w:left="720" w:hanging="720"/>
      </w:pPr>
    </w:p>
    <w:p w14:paraId="186AE29B" w14:textId="77777777" w:rsidR="007D0F9E" w:rsidRPr="00ED3CFB" w:rsidRDefault="007D0F9E" w:rsidP="007D0F9E">
      <w:pPr>
        <w:widowControl w:val="0"/>
        <w:spacing w:line="100" w:lineRule="atLeast"/>
        <w:ind w:left="720" w:hanging="720"/>
      </w:pPr>
      <w:proofErr w:type="spellStart"/>
      <w:r w:rsidRPr="00ED3CFB">
        <w:t>Akaike</w:t>
      </w:r>
      <w:proofErr w:type="spellEnd"/>
      <w:r w:rsidRPr="00ED3CFB">
        <w:t xml:space="preserve">, H. et al. 1973. </w:t>
      </w:r>
      <w:proofErr w:type="gramStart"/>
      <w:r w:rsidRPr="00ED3CFB">
        <w:t>Second international symposium on information theory.</w:t>
      </w:r>
      <w:proofErr w:type="gramEnd"/>
      <w:r w:rsidRPr="00ED3CFB">
        <w:t xml:space="preserve"> - Information Theory and an Extension of the Maximum Likelihood Principle. </w:t>
      </w:r>
      <w:proofErr w:type="spellStart"/>
      <w:r w:rsidRPr="00ED3CFB">
        <w:t>Akademiai</w:t>
      </w:r>
      <w:proofErr w:type="spellEnd"/>
      <w:r w:rsidRPr="00ED3CFB">
        <w:t xml:space="preserve"> </w:t>
      </w:r>
      <w:proofErr w:type="spellStart"/>
      <w:r w:rsidRPr="00ED3CFB">
        <w:t>Kiado</w:t>
      </w:r>
      <w:proofErr w:type="spellEnd"/>
      <w:r w:rsidRPr="00ED3CFB">
        <w:t>: Budapest. P 199-213.</w:t>
      </w:r>
    </w:p>
    <w:p w14:paraId="57840250" w14:textId="77777777" w:rsidR="007D0F9E" w:rsidRPr="00ED3CFB" w:rsidRDefault="007D0F9E" w:rsidP="007D0F9E">
      <w:pPr>
        <w:widowControl w:val="0"/>
        <w:spacing w:line="100" w:lineRule="atLeast"/>
        <w:rPr>
          <w:rFonts w:cs="Lohit Hindi"/>
        </w:rPr>
      </w:pPr>
    </w:p>
    <w:p w14:paraId="7E59A521" w14:textId="77777777" w:rsidR="007D0F9E" w:rsidRPr="00ED3CFB" w:rsidRDefault="007D0F9E" w:rsidP="007D0F9E">
      <w:pPr>
        <w:widowControl w:val="0"/>
        <w:spacing w:line="100" w:lineRule="atLeast"/>
        <w:ind w:left="720" w:hanging="720"/>
        <w:rPr>
          <w:rFonts w:cs="Lohit Hindi"/>
        </w:rPr>
      </w:pPr>
      <w:r w:rsidRPr="00ED3CFB">
        <w:rPr>
          <w:rFonts w:cs="Lohit Hindi"/>
        </w:rPr>
        <w:t xml:space="preserve">Anderson, D. 2008. Model based inference in the life sciences: a primer on evidence. - Springer </w:t>
      </w:r>
      <w:proofErr w:type="spellStart"/>
      <w:r w:rsidRPr="00ED3CFB">
        <w:rPr>
          <w:rFonts w:cs="Lohit Hindi"/>
        </w:rPr>
        <w:t>Verlag</w:t>
      </w:r>
      <w:proofErr w:type="spellEnd"/>
      <w:r w:rsidRPr="00ED3CFB">
        <w:rPr>
          <w:rFonts w:cs="Lohit Hindi"/>
        </w:rPr>
        <w:t>.</w:t>
      </w:r>
    </w:p>
    <w:p w14:paraId="5020DCAC" w14:textId="77777777" w:rsidR="007D0F9E" w:rsidRPr="00ED3CFB" w:rsidRDefault="007D0F9E" w:rsidP="007D0F9E">
      <w:pPr>
        <w:widowControl w:val="0"/>
        <w:spacing w:line="100" w:lineRule="atLeast"/>
        <w:ind w:left="720" w:hanging="720"/>
        <w:rPr>
          <w:rFonts w:cs="Lohit Hindi"/>
        </w:rPr>
      </w:pPr>
    </w:p>
    <w:p w14:paraId="17BE8BBA" w14:textId="77777777" w:rsidR="007D0F9E" w:rsidRPr="00ED3CFB" w:rsidRDefault="007D0F9E" w:rsidP="007D0F9E">
      <w:pPr>
        <w:widowControl w:val="0"/>
        <w:spacing w:line="100" w:lineRule="atLeast"/>
        <w:ind w:left="720" w:hanging="720"/>
      </w:pPr>
      <w:proofErr w:type="spellStart"/>
      <w:proofErr w:type="gramStart"/>
      <w:r w:rsidRPr="00ED3CFB">
        <w:t>Armitage</w:t>
      </w:r>
      <w:proofErr w:type="spellEnd"/>
      <w:r w:rsidRPr="00ED3CFB">
        <w:t>, K. B. and Schwartz, O. A. 2000.</w:t>
      </w:r>
      <w:proofErr w:type="gramEnd"/>
      <w:r w:rsidRPr="00ED3CFB">
        <w:t xml:space="preserve"> </w:t>
      </w:r>
      <w:proofErr w:type="gramStart"/>
      <w:r w:rsidRPr="00ED3CFB">
        <w:t>Social enhancement of fitness in yellow-bellied marmots.</w:t>
      </w:r>
      <w:proofErr w:type="gramEnd"/>
      <w:r w:rsidRPr="00ED3CFB">
        <w:t xml:space="preserve"> – Proc. Natl. Acad. Sci. USA 97: 12149-12152.</w:t>
      </w:r>
    </w:p>
    <w:p w14:paraId="04031EDD" w14:textId="77777777" w:rsidR="007D0F9E" w:rsidRPr="00ED3CFB" w:rsidRDefault="007D0F9E" w:rsidP="007D0F9E">
      <w:pPr>
        <w:widowControl w:val="0"/>
        <w:spacing w:line="100" w:lineRule="atLeast"/>
        <w:ind w:left="720" w:hanging="720"/>
      </w:pPr>
    </w:p>
    <w:p w14:paraId="06C3B1EC" w14:textId="77777777" w:rsidR="007D0F9E" w:rsidRPr="00ED3CFB" w:rsidRDefault="007D0F9E" w:rsidP="007D0F9E">
      <w:pPr>
        <w:widowControl w:val="0"/>
        <w:spacing w:line="100" w:lineRule="atLeast"/>
        <w:ind w:left="720" w:hanging="720"/>
      </w:pPr>
      <w:proofErr w:type="gramStart"/>
      <w:r w:rsidRPr="00ED3CFB">
        <w:t>Arnold, W. 1990.</w:t>
      </w:r>
      <w:proofErr w:type="gramEnd"/>
      <w:r w:rsidRPr="00ED3CFB">
        <w:t xml:space="preserve"> The evolution of marmot sociality: II. </w:t>
      </w:r>
      <w:proofErr w:type="gramStart"/>
      <w:r w:rsidRPr="00ED3CFB">
        <w:t>Costs and benefits of joint hibernation.</w:t>
      </w:r>
      <w:proofErr w:type="gramEnd"/>
      <w:r w:rsidRPr="00ED3CFB">
        <w:t xml:space="preserve"> – </w:t>
      </w:r>
      <w:proofErr w:type="spellStart"/>
      <w:r w:rsidRPr="00ED3CFB">
        <w:t>Behav</w:t>
      </w:r>
      <w:proofErr w:type="spellEnd"/>
      <w:r w:rsidRPr="00ED3CFB">
        <w:t xml:space="preserve">. Ecol. </w:t>
      </w:r>
      <w:proofErr w:type="spellStart"/>
      <w:r w:rsidRPr="00ED3CFB">
        <w:t>Sociobiol</w:t>
      </w:r>
      <w:proofErr w:type="spellEnd"/>
      <w:r w:rsidRPr="00ED3CFB">
        <w:t>. 27: 239-246.</w:t>
      </w:r>
    </w:p>
    <w:p w14:paraId="1C8D4F9A" w14:textId="77777777" w:rsidR="007D0F9E" w:rsidRPr="00ED3CFB" w:rsidRDefault="007D0F9E" w:rsidP="007D0F9E">
      <w:pPr>
        <w:widowControl w:val="0"/>
        <w:spacing w:line="100" w:lineRule="atLeast"/>
        <w:ind w:left="720" w:hanging="720"/>
      </w:pPr>
    </w:p>
    <w:p w14:paraId="74338881" w14:textId="77777777" w:rsidR="007D0F9E" w:rsidRPr="00ED3CFB" w:rsidRDefault="007D0F9E" w:rsidP="007D0F9E">
      <w:pPr>
        <w:widowControl w:val="0"/>
        <w:spacing w:line="100" w:lineRule="atLeast"/>
        <w:ind w:left="720" w:hanging="720"/>
      </w:pPr>
      <w:proofErr w:type="spellStart"/>
      <w:r w:rsidRPr="00ED3CFB">
        <w:t>Barash</w:t>
      </w:r>
      <w:proofErr w:type="spellEnd"/>
      <w:r w:rsidRPr="00ED3CFB">
        <w:t xml:space="preserve">, D. P. 1974. </w:t>
      </w:r>
      <w:proofErr w:type="gramStart"/>
      <w:r w:rsidRPr="00ED3CFB">
        <w:t xml:space="preserve">The social </w:t>
      </w:r>
      <w:proofErr w:type="spellStart"/>
      <w:r w:rsidRPr="00ED3CFB">
        <w:t>behaviour</w:t>
      </w:r>
      <w:proofErr w:type="spellEnd"/>
      <w:r w:rsidRPr="00ED3CFB">
        <w:t xml:space="preserve"> of the hoary marmot (</w:t>
      </w:r>
      <w:proofErr w:type="spellStart"/>
      <w:r w:rsidRPr="00ED3CFB">
        <w:rPr>
          <w:i/>
        </w:rPr>
        <w:t>Marmota</w:t>
      </w:r>
      <w:proofErr w:type="spellEnd"/>
      <w:r w:rsidRPr="00ED3CFB">
        <w:rPr>
          <w:i/>
        </w:rPr>
        <w:t xml:space="preserve"> </w:t>
      </w:r>
      <w:proofErr w:type="spellStart"/>
      <w:r w:rsidRPr="00ED3CFB">
        <w:rPr>
          <w:i/>
        </w:rPr>
        <w:t>caligata</w:t>
      </w:r>
      <w:proofErr w:type="spellEnd"/>
      <w:r w:rsidRPr="00ED3CFB">
        <w:t>).</w:t>
      </w:r>
      <w:proofErr w:type="gramEnd"/>
      <w:r w:rsidRPr="00ED3CFB">
        <w:t xml:space="preserve"> - Anim. </w:t>
      </w:r>
      <w:proofErr w:type="spellStart"/>
      <w:r w:rsidRPr="00ED3CFB">
        <w:t>Behav</w:t>
      </w:r>
      <w:proofErr w:type="spellEnd"/>
      <w:r w:rsidRPr="00ED3CFB">
        <w:t>. 22: 256-261.</w:t>
      </w:r>
    </w:p>
    <w:p w14:paraId="7808BA97" w14:textId="77777777" w:rsidR="007D0F9E" w:rsidRPr="00ED3CFB" w:rsidRDefault="007D0F9E" w:rsidP="007D0F9E">
      <w:pPr>
        <w:widowControl w:val="0"/>
        <w:spacing w:line="100" w:lineRule="atLeast"/>
        <w:ind w:left="720" w:hanging="720"/>
      </w:pPr>
    </w:p>
    <w:p w14:paraId="01EB2B1F" w14:textId="77777777" w:rsidR="007D0F9E" w:rsidRPr="00ED3CFB" w:rsidRDefault="007D0F9E" w:rsidP="007D0F9E">
      <w:pPr>
        <w:widowControl w:val="0"/>
        <w:spacing w:line="100" w:lineRule="atLeast"/>
        <w:ind w:left="720" w:hanging="720"/>
      </w:pPr>
      <w:proofErr w:type="spellStart"/>
      <w:r w:rsidRPr="00ED3CFB">
        <w:t>Barash</w:t>
      </w:r>
      <w:proofErr w:type="spellEnd"/>
      <w:r w:rsidRPr="00ED3CFB">
        <w:t>, D. P. 1975. Ecology of paternal behavior in the hoary marmot (</w:t>
      </w:r>
      <w:proofErr w:type="spellStart"/>
      <w:r w:rsidRPr="00ED3CFB">
        <w:rPr>
          <w:i/>
        </w:rPr>
        <w:t>Marmota</w:t>
      </w:r>
      <w:proofErr w:type="spellEnd"/>
      <w:r w:rsidRPr="00ED3CFB">
        <w:rPr>
          <w:i/>
        </w:rPr>
        <w:t xml:space="preserve"> </w:t>
      </w:r>
      <w:proofErr w:type="spellStart"/>
      <w:r w:rsidRPr="00ED3CFB">
        <w:rPr>
          <w:i/>
        </w:rPr>
        <w:t>caligata</w:t>
      </w:r>
      <w:proofErr w:type="spellEnd"/>
      <w:r w:rsidRPr="00ED3CFB">
        <w:t>): An evolutionary interpretation. – J. Mammal. 56: 61618.</w:t>
      </w:r>
    </w:p>
    <w:p w14:paraId="35E1E5E8" w14:textId="77777777" w:rsidR="007D0F9E" w:rsidRPr="00ED3CFB" w:rsidRDefault="007D0F9E" w:rsidP="007D0F9E">
      <w:pPr>
        <w:widowControl w:val="0"/>
        <w:spacing w:line="100" w:lineRule="atLeast"/>
        <w:ind w:left="720" w:hanging="720"/>
      </w:pPr>
    </w:p>
    <w:p w14:paraId="363DBE1D" w14:textId="77777777" w:rsidR="007D0F9E" w:rsidRPr="00ED3CFB" w:rsidRDefault="007D0F9E" w:rsidP="007D0F9E">
      <w:pPr>
        <w:widowControl w:val="0"/>
        <w:spacing w:line="100" w:lineRule="atLeast"/>
        <w:ind w:left="720" w:hanging="720"/>
      </w:pPr>
      <w:proofErr w:type="spellStart"/>
      <w:r w:rsidRPr="00ED3CFB">
        <w:t>Barash</w:t>
      </w:r>
      <w:proofErr w:type="spellEnd"/>
      <w:r w:rsidRPr="00ED3CFB">
        <w:t xml:space="preserve">, D. P. 1980. </w:t>
      </w:r>
      <w:proofErr w:type="gramStart"/>
      <w:r w:rsidRPr="00ED3CFB">
        <w:t>The influence of reproductive status on foraging by hoary marmots (</w:t>
      </w:r>
      <w:proofErr w:type="spellStart"/>
      <w:r w:rsidRPr="00ED3CFB">
        <w:rPr>
          <w:i/>
        </w:rPr>
        <w:t>Marmota</w:t>
      </w:r>
      <w:proofErr w:type="spellEnd"/>
      <w:r w:rsidRPr="00ED3CFB">
        <w:rPr>
          <w:i/>
        </w:rPr>
        <w:t xml:space="preserve"> </w:t>
      </w:r>
      <w:proofErr w:type="spellStart"/>
      <w:r w:rsidRPr="00ED3CFB">
        <w:rPr>
          <w:i/>
        </w:rPr>
        <w:t>caligata</w:t>
      </w:r>
      <w:proofErr w:type="spellEnd"/>
      <w:r w:rsidRPr="00ED3CFB">
        <w:t>).</w:t>
      </w:r>
      <w:proofErr w:type="gramEnd"/>
      <w:r w:rsidRPr="00ED3CFB">
        <w:t xml:space="preserve"> – </w:t>
      </w:r>
      <w:proofErr w:type="spellStart"/>
      <w:r w:rsidRPr="00ED3CFB">
        <w:t>Behav</w:t>
      </w:r>
      <w:proofErr w:type="spellEnd"/>
      <w:r w:rsidRPr="00ED3CFB">
        <w:t xml:space="preserve">. </w:t>
      </w:r>
      <w:proofErr w:type="gramStart"/>
      <w:r w:rsidRPr="00ED3CFB">
        <w:t xml:space="preserve">Ecol. and </w:t>
      </w:r>
      <w:proofErr w:type="spellStart"/>
      <w:r w:rsidRPr="00ED3CFB">
        <w:t>Sociobiol</w:t>
      </w:r>
      <w:proofErr w:type="spellEnd"/>
      <w:r w:rsidRPr="00ED3CFB">
        <w:t>.</w:t>
      </w:r>
      <w:proofErr w:type="gramEnd"/>
      <w:r w:rsidRPr="00ED3CFB">
        <w:t xml:space="preserve"> 7: 201-205.</w:t>
      </w:r>
    </w:p>
    <w:p w14:paraId="79B33E4A" w14:textId="77777777" w:rsidR="007D0F9E" w:rsidRPr="00ED3CFB" w:rsidRDefault="007D0F9E" w:rsidP="007D0F9E">
      <w:pPr>
        <w:widowControl w:val="0"/>
        <w:ind w:left="720" w:hanging="720"/>
      </w:pPr>
    </w:p>
    <w:p w14:paraId="6C69A254" w14:textId="77777777" w:rsidR="007D0F9E" w:rsidRDefault="007D0F9E" w:rsidP="007D0F9E">
      <w:pPr>
        <w:widowControl w:val="0"/>
        <w:ind w:left="720" w:hanging="720"/>
      </w:pPr>
      <w:proofErr w:type="gramStart"/>
      <w:r w:rsidRPr="00ED3CFB">
        <w:t>Bates, D</w:t>
      </w:r>
      <w:r>
        <w:t xml:space="preserve">, </w:t>
      </w:r>
      <w:proofErr w:type="spellStart"/>
      <w:r>
        <w:t>Maechler</w:t>
      </w:r>
      <w:proofErr w:type="spellEnd"/>
      <w:r>
        <w:t xml:space="preserve">, M. and </w:t>
      </w:r>
      <w:proofErr w:type="spellStart"/>
      <w:r>
        <w:t>Bolker</w:t>
      </w:r>
      <w:proofErr w:type="spellEnd"/>
      <w:r>
        <w:t>, B</w:t>
      </w:r>
      <w:r w:rsidRPr="00ED3CFB">
        <w:t>. 2012.</w:t>
      </w:r>
      <w:proofErr w:type="gramEnd"/>
      <w:r w:rsidRPr="00ED3CFB">
        <w:t xml:space="preserve"> lme4: Linear mixed-effects models using S4 classes. </w:t>
      </w:r>
      <w:proofErr w:type="gramStart"/>
      <w:r w:rsidRPr="00ED3CFB">
        <w:t>R package version 0.999999-0.</w:t>
      </w:r>
      <w:proofErr w:type="gramEnd"/>
      <w:r w:rsidRPr="00ED3CFB">
        <w:t xml:space="preserve"> </w:t>
      </w:r>
      <w:hyperlink r:id="rId8" w:history="1">
        <w:r w:rsidRPr="00336149">
          <w:rPr>
            <w:rStyle w:val="Hyperlink"/>
          </w:rPr>
          <w:t>http://CRAN.R-project.org/package=lme4</w:t>
        </w:r>
      </w:hyperlink>
      <w:r>
        <w:t>.</w:t>
      </w:r>
    </w:p>
    <w:p w14:paraId="2B855DB0" w14:textId="77777777" w:rsidR="007D0F9E" w:rsidRPr="00ED3CFB" w:rsidRDefault="007D0F9E" w:rsidP="007D0F9E">
      <w:pPr>
        <w:widowControl w:val="0"/>
        <w:ind w:left="720" w:hanging="720"/>
      </w:pPr>
    </w:p>
    <w:p w14:paraId="3667F571" w14:textId="77777777" w:rsidR="007D0F9E" w:rsidRPr="00ED3CFB" w:rsidRDefault="007D0F9E" w:rsidP="007D0F9E">
      <w:pPr>
        <w:widowControl w:val="0"/>
        <w:suppressLineNumbers/>
        <w:spacing w:after="240"/>
        <w:ind w:left="720" w:hanging="720"/>
        <w:rPr>
          <w:rFonts w:cs="Lohit Hindi"/>
        </w:rPr>
      </w:pPr>
      <w:proofErr w:type="gramStart"/>
      <w:r w:rsidRPr="00ED3CFB">
        <w:t xml:space="preserve">Benton, T. G., Grant, A. and </w:t>
      </w:r>
      <w:proofErr w:type="spellStart"/>
      <w:r w:rsidRPr="00ED3CFB">
        <w:t>Clutton</w:t>
      </w:r>
      <w:proofErr w:type="spellEnd"/>
      <w:r w:rsidRPr="00ED3CFB">
        <w:t>-Brock, T. H. 1995.</w:t>
      </w:r>
      <w:proofErr w:type="gramEnd"/>
      <w:r w:rsidRPr="00ED3CFB">
        <w:t xml:space="preserve"> Does environmental </w:t>
      </w:r>
      <w:proofErr w:type="spellStart"/>
      <w:r w:rsidRPr="00ED3CFB">
        <w:t>stochasticity</w:t>
      </w:r>
      <w:proofErr w:type="spellEnd"/>
      <w:r>
        <w:t xml:space="preserve"> </w:t>
      </w:r>
      <w:r>
        <w:rPr>
          <w:rFonts w:cs="Lohit Hindi"/>
        </w:rPr>
        <w:t xml:space="preserve">matter? </w:t>
      </w:r>
      <w:proofErr w:type="gramStart"/>
      <w:r w:rsidRPr="00ED3CFB">
        <w:rPr>
          <w:rFonts w:cs="Lohit Hindi"/>
        </w:rPr>
        <w:t>Analysis of red deer life-histories on Rum.</w:t>
      </w:r>
      <w:proofErr w:type="gramEnd"/>
      <w:r w:rsidRPr="00ED3CFB">
        <w:rPr>
          <w:rFonts w:cs="Lohit Hindi"/>
        </w:rPr>
        <w:t xml:space="preserve"> </w:t>
      </w:r>
      <w:r>
        <w:rPr>
          <w:rFonts w:cs="Lohit Hindi"/>
        </w:rPr>
        <w:t>–</w:t>
      </w:r>
      <w:r w:rsidRPr="00ED3CFB">
        <w:rPr>
          <w:rFonts w:cs="Lohit Hindi"/>
        </w:rPr>
        <w:t xml:space="preserve"> </w:t>
      </w:r>
      <w:proofErr w:type="spellStart"/>
      <w:r w:rsidRPr="00ED3CFB">
        <w:rPr>
          <w:rFonts w:cs="Lohit Hindi"/>
        </w:rPr>
        <w:t>Evol</w:t>
      </w:r>
      <w:proofErr w:type="spellEnd"/>
      <w:r>
        <w:rPr>
          <w:rFonts w:cs="Lohit Hindi"/>
        </w:rPr>
        <w:t>.</w:t>
      </w:r>
      <w:r w:rsidRPr="00ED3CFB">
        <w:rPr>
          <w:rFonts w:cs="Lohit Hindi"/>
        </w:rPr>
        <w:t xml:space="preserve"> Ecol</w:t>
      </w:r>
      <w:r>
        <w:rPr>
          <w:rFonts w:cs="Lohit Hindi"/>
        </w:rPr>
        <w:t>.</w:t>
      </w:r>
      <w:r w:rsidRPr="00ED3CFB">
        <w:rPr>
          <w:rFonts w:cs="Lohit Hindi"/>
        </w:rPr>
        <w:t xml:space="preserve"> 9: 559–574.</w:t>
      </w:r>
    </w:p>
    <w:p w14:paraId="4D3FB4FC" w14:textId="77777777" w:rsidR="007D0F9E" w:rsidRPr="00ED3CFB" w:rsidRDefault="007D0F9E" w:rsidP="007D0F9E">
      <w:pPr>
        <w:widowControl w:val="0"/>
        <w:spacing w:line="100" w:lineRule="atLeast"/>
        <w:ind w:left="720" w:hanging="720"/>
      </w:pPr>
      <w:proofErr w:type="gramStart"/>
      <w:r w:rsidRPr="00ED3CFB">
        <w:t xml:space="preserve">Blumstein, D. T. and </w:t>
      </w:r>
      <w:proofErr w:type="spellStart"/>
      <w:r w:rsidRPr="00ED3CFB">
        <w:t>Armitage</w:t>
      </w:r>
      <w:proofErr w:type="spellEnd"/>
      <w:r w:rsidRPr="00ED3CFB">
        <w:t>, K. 1998.</w:t>
      </w:r>
      <w:proofErr w:type="gramEnd"/>
      <w:r w:rsidRPr="00ED3CFB">
        <w:t xml:space="preserve"> </w:t>
      </w:r>
      <w:proofErr w:type="gramStart"/>
      <w:r w:rsidRPr="00ED3CFB">
        <w:t xml:space="preserve">Life history consequences of social complexity a comparative study of ground-dwelling </w:t>
      </w:r>
      <w:proofErr w:type="spellStart"/>
      <w:r w:rsidRPr="00ED3CFB">
        <w:t>sciurids</w:t>
      </w:r>
      <w:proofErr w:type="spellEnd"/>
      <w:r w:rsidRPr="00ED3CFB">
        <w:t>.</w:t>
      </w:r>
      <w:proofErr w:type="gramEnd"/>
      <w:r w:rsidRPr="00ED3CFB">
        <w:t xml:space="preserve"> - </w:t>
      </w:r>
      <w:proofErr w:type="spellStart"/>
      <w:r w:rsidRPr="00ED3CFB">
        <w:t>Behav</w:t>
      </w:r>
      <w:proofErr w:type="spellEnd"/>
      <w:r w:rsidRPr="00ED3CFB">
        <w:t>. Ecol. 9: 8-19.</w:t>
      </w:r>
    </w:p>
    <w:p w14:paraId="200F0596" w14:textId="77777777" w:rsidR="007D0F9E" w:rsidRPr="00ED3CFB" w:rsidRDefault="007D0F9E" w:rsidP="007D0F9E">
      <w:pPr>
        <w:widowControl w:val="0"/>
        <w:spacing w:line="100" w:lineRule="atLeast"/>
        <w:ind w:left="720" w:hanging="720"/>
      </w:pPr>
    </w:p>
    <w:p w14:paraId="7B55FD64" w14:textId="77777777" w:rsidR="007D0F9E" w:rsidRPr="00ED3CFB" w:rsidRDefault="007D0F9E" w:rsidP="007D0F9E">
      <w:pPr>
        <w:widowControl w:val="0"/>
        <w:spacing w:line="100" w:lineRule="atLeast"/>
        <w:ind w:left="720" w:hanging="720"/>
      </w:pPr>
      <w:proofErr w:type="gramStart"/>
      <w:r w:rsidRPr="00ED3CFB">
        <w:t>Blumstein, D. T. and Arnold, W. 1998.</w:t>
      </w:r>
      <w:proofErr w:type="gramEnd"/>
      <w:r w:rsidRPr="00ED3CFB">
        <w:t xml:space="preserve"> </w:t>
      </w:r>
      <w:proofErr w:type="gramStart"/>
      <w:r w:rsidRPr="00ED3CFB">
        <w:t>Ecology and social behavior of golden marmots (</w:t>
      </w:r>
      <w:proofErr w:type="spellStart"/>
      <w:r w:rsidRPr="00ED3CFB">
        <w:rPr>
          <w:i/>
        </w:rPr>
        <w:t>Marmota</w:t>
      </w:r>
      <w:proofErr w:type="spellEnd"/>
      <w:r w:rsidRPr="00ED3CFB">
        <w:rPr>
          <w:i/>
        </w:rPr>
        <w:t xml:space="preserve"> </w:t>
      </w:r>
      <w:proofErr w:type="spellStart"/>
      <w:r w:rsidRPr="00ED3CFB">
        <w:rPr>
          <w:i/>
        </w:rPr>
        <w:t>caudata</w:t>
      </w:r>
      <w:proofErr w:type="spellEnd"/>
      <w:r w:rsidRPr="00ED3CFB">
        <w:rPr>
          <w:i/>
        </w:rPr>
        <w:t xml:space="preserve"> </w:t>
      </w:r>
      <w:proofErr w:type="spellStart"/>
      <w:r w:rsidRPr="00ED3CFB">
        <w:rPr>
          <w:i/>
        </w:rPr>
        <w:t>aurea</w:t>
      </w:r>
      <w:proofErr w:type="spellEnd"/>
      <w:r>
        <w:t>).</w:t>
      </w:r>
      <w:proofErr w:type="gramEnd"/>
      <w:r>
        <w:t xml:space="preserve"> – J. </w:t>
      </w:r>
      <w:r w:rsidRPr="00ED3CFB">
        <w:t xml:space="preserve">Mammal. </w:t>
      </w:r>
      <w:proofErr w:type="gramStart"/>
      <w:r w:rsidRPr="00ED3CFB">
        <w:t>79: 87886.</w:t>
      </w:r>
      <w:proofErr w:type="gramEnd"/>
    </w:p>
    <w:p w14:paraId="2CE6E47C" w14:textId="77777777" w:rsidR="007D0F9E" w:rsidRDefault="007D0F9E" w:rsidP="007D0F9E">
      <w:pPr>
        <w:widowControl w:val="0"/>
        <w:spacing w:line="100" w:lineRule="atLeast"/>
        <w:ind w:left="720" w:hanging="720"/>
      </w:pPr>
    </w:p>
    <w:p w14:paraId="30D825F7" w14:textId="77777777" w:rsidR="007D0F9E" w:rsidRPr="00ED3CFB" w:rsidRDefault="007D0F9E" w:rsidP="007D0F9E">
      <w:pPr>
        <w:widowControl w:val="0"/>
        <w:spacing w:line="100" w:lineRule="atLeast"/>
        <w:ind w:left="720" w:hanging="720"/>
      </w:pPr>
      <w:proofErr w:type="gramStart"/>
      <w:r w:rsidRPr="00ED3CFB">
        <w:t xml:space="preserve">Blumstein, D. T. and </w:t>
      </w:r>
      <w:proofErr w:type="spellStart"/>
      <w:r w:rsidRPr="00ED3CFB">
        <w:t>Armitage</w:t>
      </w:r>
      <w:proofErr w:type="spellEnd"/>
      <w:r w:rsidRPr="00ED3CFB">
        <w:t>, K. B. 1999.</w:t>
      </w:r>
      <w:proofErr w:type="gramEnd"/>
      <w:r w:rsidRPr="00ED3CFB">
        <w:t xml:space="preserve"> </w:t>
      </w:r>
      <w:proofErr w:type="gramStart"/>
      <w:r w:rsidRPr="00ED3CFB">
        <w:t>Cooperative breeding in marmots.</w:t>
      </w:r>
      <w:proofErr w:type="gramEnd"/>
      <w:r w:rsidRPr="00ED3CFB">
        <w:t xml:space="preserve"> – </w:t>
      </w:r>
      <w:proofErr w:type="spellStart"/>
      <w:r w:rsidRPr="00ED3CFB">
        <w:t>Oikos</w:t>
      </w:r>
      <w:proofErr w:type="spellEnd"/>
      <w:r w:rsidRPr="00ED3CFB">
        <w:t xml:space="preserve"> 84: 369-382.</w:t>
      </w:r>
    </w:p>
    <w:p w14:paraId="6F35420E" w14:textId="77777777" w:rsidR="007D0F9E" w:rsidRPr="00ED3CFB" w:rsidRDefault="007D0F9E" w:rsidP="007D0F9E">
      <w:pPr>
        <w:widowControl w:val="0"/>
        <w:spacing w:line="100" w:lineRule="atLeast"/>
      </w:pPr>
    </w:p>
    <w:p w14:paraId="6933FE4E" w14:textId="77777777" w:rsidR="007D0F9E" w:rsidRPr="00ED3CFB" w:rsidRDefault="007D0F9E" w:rsidP="007D0F9E">
      <w:pPr>
        <w:widowControl w:val="0"/>
        <w:suppressLineNumbers/>
        <w:spacing w:after="240" w:line="100" w:lineRule="atLeast"/>
        <w:ind w:left="720" w:hanging="720"/>
        <w:rPr>
          <w:rFonts w:cs="Lohit Hindi"/>
        </w:rPr>
      </w:pPr>
      <w:proofErr w:type="spellStart"/>
      <w:r w:rsidRPr="00ED3CFB">
        <w:rPr>
          <w:rFonts w:cs="Lohit Hindi"/>
        </w:rPr>
        <w:t>Bolker</w:t>
      </w:r>
      <w:proofErr w:type="spellEnd"/>
      <w:r w:rsidRPr="00ED3CFB">
        <w:rPr>
          <w:rFonts w:cs="Lohit Hindi"/>
        </w:rPr>
        <w:t xml:space="preserve">, B. M., Brooks, M. E., Clark, C. J., </w:t>
      </w:r>
      <w:proofErr w:type="spellStart"/>
      <w:r w:rsidRPr="00ED3CFB">
        <w:rPr>
          <w:rFonts w:cs="Lohit Hindi"/>
        </w:rPr>
        <w:t>Geange</w:t>
      </w:r>
      <w:proofErr w:type="spellEnd"/>
      <w:r w:rsidRPr="00ED3CFB">
        <w:rPr>
          <w:rFonts w:cs="Lohit Hindi"/>
        </w:rPr>
        <w:t xml:space="preserve">, S. W., </w:t>
      </w:r>
      <w:proofErr w:type="spellStart"/>
      <w:r w:rsidRPr="00ED3CFB">
        <w:rPr>
          <w:rFonts w:cs="Lohit Hindi"/>
        </w:rPr>
        <w:t>Poulsen</w:t>
      </w:r>
      <w:proofErr w:type="spellEnd"/>
      <w:r w:rsidRPr="00ED3CFB">
        <w:rPr>
          <w:rFonts w:cs="Lohit Hindi"/>
        </w:rPr>
        <w:t xml:space="preserve">, J. R., Stevens, M. H. H. and White, J.-S. S. 2009. </w:t>
      </w:r>
      <w:proofErr w:type="gramStart"/>
      <w:r w:rsidRPr="00ED3CFB">
        <w:rPr>
          <w:rFonts w:cs="Lohit Hindi"/>
        </w:rPr>
        <w:t>Generalized linear mixed models: a practical guide for ecology and evolution.</w:t>
      </w:r>
      <w:proofErr w:type="gramEnd"/>
      <w:r w:rsidRPr="00ED3CFB">
        <w:rPr>
          <w:rFonts w:cs="Lohit Hindi"/>
        </w:rPr>
        <w:t xml:space="preserve"> - Trends in Ecology &amp; Evolution 24: 127–135.</w:t>
      </w:r>
    </w:p>
    <w:p w14:paraId="0AAFF3D8" w14:textId="77777777" w:rsidR="007D0F9E" w:rsidRPr="00ED3CFB" w:rsidRDefault="007D0F9E" w:rsidP="007D0F9E">
      <w:pPr>
        <w:widowControl w:val="0"/>
        <w:spacing w:line="100" w:lineRule="atLeast"/>
        <w:ind w:left="720" w:hanging="720"/>
      </w:pPr>
      <w:r w:rsidRPr="00ED3CFB">
        <w:t xml:space="preserve">Bryant, A. A. 2005. </w:t>
      </w:r>
      <w:proofErr w:type="gramStart"/>
      <w:r w:rsidRPr="00ED3CFB">
        <w:t>Reproductive rates of wild and captive Vancouver Island marmots (</w:t>
      </w:r>
      <w:proofErr w:type="spellStart"/>
      <w:r w:rsidRPr="00ED3CFB">
        <w:rPr>
          <w:i/>
        </w:rPr>
        <w:t>Marmota</w:t>
      </w:r>
      <w:proofErr w:type="spellEnd"/>
      <w:r w:rsidRPr="00ED3CFB">
        <w:rPr>
          <w:i/>
        </w:rPr>
        <w:t xml:space="preserve"> </w:t>
      </w:r>
      <w:proofErr w:type="spellStart"/>
      <w:r w:rsidRPr="00ED3CFB">
        <w:rPr>
          <w:i/>
        </w:rPr>
        <w:t>vancouverensis</w:t>
      </w:r>
      <w:proofErr w:type="spellEnd"/>
      <w:r w:rsidRPr="00ED3CFB">
        <w:t>).</w:t>
      </w:r>
      <w:proofErr w:type="gramEnd"/>
      <w:r w:rsidRPr="00ED3CFB">
        <w:t xml:space="preserve"> – Can. J. Zool. 83: 664-673.</w:t>
      </w:r>
    </w:p>
    <w:p w14:paraId="1B2A6277" w14:textId="77777777" w:rsidR="007D0F9E" w:rsidRPr="00ED3CFB" w:rsidRDefault="007D0F9E" w:rsidP="007D0F9E">
      <w:pPr>
        <w:widowControl w:val="0"/>
        <w:spacing w:line="100" w:lineRule="atLeast"/>
        <w:ind w:left="720" w:hanging="720"/>
      </w:pPr>
    </w:p>
    <w:p w14:paraId="44101D29" w14:textId="77777777" w:rsidR="007D0F9E" w:rsidRPr="00ED3CFB" w:rsidRDefault="007D0F9E" w:rsidP="007D0F9E">
      <w:pPr>
        <w:widowControl w:val="0"/>
        <w:spacing w:line="100" w:lineRule="atLeast"/>
        <w:ind w:left="720" w:hanging="720"/>
      </w:pPr>
      <w:proofErr w:type="gramStart"/>
      <w:r w:rsidRPr="00ED3CFB">
        <w:t>Burnham, K. P. and Anderson, D. R. 2002.</w:t>
      </w:r>
      <w:proofErr w:type="gramEnd"/>
      <w:r w:rsidRPr="00ED3CFB">
        <w:t xml:space="preserve"> Model selection and </w:t>
      </w:r>
      <w:proofErr w:type="spellStart"/>
      <w:r w:rsidRPr="00ED3CFB">
        <w:t>multimodel</w:t>
      </w:r>
      <w:proofErr w:type="spellEnd"/>
      <w:r w:rsidRPr="00ED3CFB">
        <w:t xml:space="preserve"> inference: a practical information-theoretic approach. - Springer </w:t>
      </w:r>
      <w:proofErr w:type="spellStart"/>
      <w:r w:rsidRPr="00ED3CFB">
        <w:t>Verlag</w:t>
      </w:r>
      <w:proofErr w:type="spellEnd"/>
      <w:r w:rsidRPr="00ED3CFB">
        <w:t>.</w:t>
      </w:r>
    </w:p>
    <w:p w14:paraId="393B94FF" w14:textId="77777777" w:rsidR="007D0F9E" w:rsidRPr="00ED3CFB" w:rsidRDefault="007D0F9E" w:rsidP="007D0F9E">
      <w:pPr>
        <w:widowControl w:val="0"/>
        <w:spacing w:line="100" w:lineRule="atLeast"/>
        <w:ind w:left="720" w:hanging="720"/>
      </w:pPr>
    </w:p>
    <w:p w14:paraId="3DCFD214" w14:textId="77777777" w:rsidR="007D0F9E" w:rsidRPr="00ED3CFB" w:rsidRDefault="007D0F9E" w:rsidP="007D0F9E">
      <w:pPr>
        <w:widowControl w:val="0"/>
        <w:spacing w:line="100" w:lineRule="atLeast"/>
        <w:ind w:left="720" w:hanging="720"/>
      </w:pPr>
      <w:proofErr w:type="spellStart"/>
      <w:proofErr w:type="gramStart"/>
      <w:r w:rsidRPr="00ED3CFB">
        <w:t>Chastel</w:t>
      </w:r>
      <w:proofErr w:type="spellEnd"/>
      <w:r w:rsidRPr="00ED3CFB">
        <w:t>, O. 1995.</w:t>
      </w:r>
      <w:proofErr w:type="gramEnd"/>
      <w:r w:rsidRPr="00ED3CFB">
        <w:t xml:space="preserve"> Influence of reproductive success on breeding frequency in four southern petrels. - Ibis 137: 360-363.</w:t>
      </w:r>
    </w:p>
    <w:p w14:paraId="68BB2221" w14:textId="77777777" w:rsidR="007D0F9E" w:rsidRPr="00ED3CFB" w:rsidRDefault="007D0F9E" w:rsidP="007D0F9E">
      <w:pPr>
        <w:widowControl w:val="0"/>
        <w:spacing w:line="100" w:lineRule="atLeast"/>
        <w:ind w:left="720" w:hanging="720"/>
      </w:pPr>
    </w:p>
    <w:p w14:paraId="6E193629" w14:textId="77777777" w:rsidR="007D0F9E" w:rsidRPr="00ED3CFB" w:rsidRDefault="007D0F9E" w:rsidP="007D0F9E">
      <w:pPr>
        <w:widowControl w:val="0"/>
        <w:suppressLineNumbers/>
        <w:spacing w:after="240" w:line="100" w:lineRule="atLeast"/>
        <w:ind w:left="720" w:hanging="720"/>
        <w:rPr>
          <w:rFonts w:cs="Lohit Hindi"/>
        </w:rPr>
      </w:pPr>
      <w:proofErr w:type="spellStart"/>
      <w:r w:rsidRPr="00ED3CFB">
        <w:rPr>
          <w:rFonts w:cs="Lohit Hindi"/>
        </w:rPr>
        <w:t>Choquet</w:t>
      </w:r>
      <w:proofErr w:type="spellEnd"/>
      <w:r w:rsidRPr="00ED3CFB">
        <w:rPr>
          <w:rFonts w:cs="Lohit Hindi"/>
        </w:rPr>
        <w:t xml:space="preserve">, R., </w:t>
      </w:r>
      <w:proofErr w:type="spellStart"/>
      <w:r w:rsidRPr="00ED3CFB">
        <w:rPr>
          <w:rFonts w:cs="Lohit Hindi"/>
        </w:rPr>
        <w:t>Lebreton</w:t>
      </w:r>
      <w:proofErr w:type="spellEnd"/>
      <w:r w:rsidRPr="00ED3CFB">
        <w:rPr>
          <w:rFonts w:cs="Lohit Hindi"/>
        </w:rPr>
        <w:t xml:space="preserve">, J. D., </w:t>
      </w:r>
      <w:proofErr w:type="spellStart"/>
      <w:r w:rsidRPr="00ED3CFB">
        <w:rPr>
          <w:rFonts w:cs="Lohit Hindi"/>
        </w:rPr>
        <w:t>Gimenez</w:t>
      </w:r>
      <w:proofErr w:type="spellEnd"/>
      <w:r w:rsidRPr="00ED3CFB">
        <w:rPr>
          <w:rFonts w:cs="Lohit Hindi"/>
        </w:rPr>
        <w:t xml:space="preserve">, O., </w:t>
      </w:r>
      <w:proofErr w:type="spellStart"/>
      <w:r w:rsidRPr="00ED3CFB">
        <w:rPr>
          <w:rFonts w:cs="Lohit Hindi"/>
        </w:rPr>
        <w:t>Reboulet</w:t>
      </w:r>
      <w:proofErr w:type="spellEnd"/>
      <w:r w:rsidRPr="00ED3CFB">
        <w:rPr>
          <w:rFonts w:cs="Lohit Hindi"/>
        </w:rPr>
        <w:t xml:space="preserve">, A. M. and </w:t>
      </w:r>
      <w:proofErr w:type="spellStart"/>
      <w:r w:rsidRPr="00ED3CFB">
        <w:rPr>
          <w:rFonts w:cs="Lohit Hindi"/>
        </w:rPr>
        <w:t>Pradel</w:t>
      </w:r>
      <w:proofErr w:type="spellEnd"/>
      <w:r w:rsidRPr="00ED3CFB">
        <w:rPr>
          <w:rFonts w:cs="Lohit Hindi"/>
        </w:rPr>
        <w:t xml:space="preserve">, R. 2009. U CARE: Utilities for performing goodness </w:t>
      </w:r>
      <w:r>
        <w:rPr>
          <w:rFonts w:cs="Lohit Hindi"/>
        </w:rPr>
        <w:t xml:space="preserve">of fit tests and manipulating </w:t>
      </w:r>
      <w:proofErr w:type="spellStart"/>
      <w:r>
        <w:rPr>
          <w:rFonts w:cs="Lohit Hindi"/>
        </w:rPr>
        <w:t>CApture</w:t>
      </w:r>
      <w:proofErr w:type="spellEnd"/>
      <w:r>
        <w:rPr>
          <w:rFonts w:cs="Lohit Hindi"/>
        </w:rPr>
        <w:t>–</w:t>
      </w:r>
      <w:proofErr w:type="spellStart"/>
      <w:r>
        <w:rPr>
          <w:rFonts w:cs="Lohit Hindi"/>
        </w:rPr>
        <w:t>RE</w:t>
      </w:r>
      <w:r w:rsidRPr="00ED3CFB">
        <w:rPr>
          <w:rFonts w:cs="Lohit Hindi"/>
        </w:rPr>
        <w:t>capture</w:t>
      </w:r>
      <w:proofErr w:type="spellEnd"/>
      <w:r w:rsidRPr="00ED3CFB">
        <w:rPr>
          <w:rFonts w:cs="Lohit Hindi"/>
        </w:rPr>
        <w:t xml:space="preserve"> data. - </w:t>
      </w:r>
      <w:proofErr w:type="spellStart"/>
      <w:r w:rsidRPr="00ED3CFB">
        <w:rPr>
          <w:rFonts w:cs="Lohit Hindi"/>
        </w:rPr>
        <w:t>Ecography</w:t>
      </w:r>
      <w:proofErr w:type="spellEnd"/>
      <w:r w:rsidRPr="00ED3CFB">
        <w:rPr>
          <w:rFonts w:cs="Lohit Hindi"/>
        </w:rPr>
        <w:t xml:space="preserve"> 32: 1071–1074.</w:t>
      </w:r>
    </w:p>
    <w:p w14:paraId="583FAB7E" w14:textId="77777777" w:rsidR="007D0F9E" w:rsidRPr="00ED3CFB" w:rsidRDefault="007D0F9E" w:rsidP="007D0F9E">
      <w:pPr>
        <w:widowControl w:val="0"/>
        <w:spacing w:line="100" w:lineRule="atLeast"/>
        <w:ind w:left="720" w:hanging="720"/>
      </w:pPr>
      <w:r w:rsidRPr="00ED3CFB">
        <w:t xml:space="preserve">Cohen, J. 1988. </w:t>
      </w:r>
      <w:proofErr w:type="gramStart"/>
      <w:r w:rsidRPr="00ED3CFB">
        <w:t>Statistical power analysis for the behavioral sciences.</w:t>
      </w:r>
      <w:proofErr w:type="gramEnd"/>
      <w:r w:rsidRPr="00ED3CFB">
        <w:t xml:space="preserve"> - Lawrence Erlbaum.</w:t>
      </w:r>
    </w:p>
    <w:p w14:paraId="1DA2F07E" w14:textId="77777777" w:rsidR="007D0F9E" w:rsidRPr="00ED3CFB" w:rsidRDefault="007D0F9E" w:rsidP="007D0F9E">
      <w:pPr>
        <w:widowControl w:val="0"/>
        <w:spacing w:line="100" w:lineRule="atLeast"/>
        <w:ind w:left="720" w:hanging="720"/>
      </w:pPr>
    </w:p>
    <w:p w14:paraId="0EF0E4F2" w14:textId="77777777" w:rsidR="007D0F9E" w:rsidRDefault="007D0F9E" w:rsidP="007D0F9E">
      <w:pPr>
        <w:widowControl w:val="0"/>
        <w:spacing w:line="100" w:lineRule="atLeast"/>
        <w:ind w:left="720" w:hanging="720"/>
      </w:pPr>
      <w:proofErr w:type="gramStart"/>
      <w:r w:rsidRPr="00ED3CFB">
        <w:t>Dane, B. 2002.</w:t>
      </w:r>
      <w:proofErr w:type="gramEnd"/>
      <w:r w:rsidRPr="00ED3CFB">
        <w:t xml:space="preserve"> </w:t>
      </w:r>
      <w:proofErr w:type="gramStart"/>
      <w:r w:rsidRPr="00ED3CFB">
        <w:t>Retention of offspring in a wild population of ungulates.</w:t>
      </w:r>
      <w:proofErr w:type="gramEnd"/>
      <w:r w:rsidRPr="00ED3CFB">
        <w:t xml:space="preserve"> - </w:t>
      </w:r>
      <w:proofErr w:type="spellStart"/>
      <w:r w:rsidRPr="00ED3CFB">
        <w:t>Behaviour</w:t>
      </w:r>
      <w:proofErr w:type="spellEnd"/>
      <w:r w:rsidRPr="00ED3CFB">
        <w:t xml:space="preserve"> 139: 1-21.</w:t>
      </w:r>
    </w:p>
    <w:p w14:paraId="4A8BE337" w14:textId="77777777" w:rsidR="007D0F9E" w:rsidRPr="00ED3CFB" w:rsidRDefault="007D0F9E" w:rsidP="007D0F9E">
      <w:pPr>
        <w:widowControl w:val="0"/>
        <w:spacing w:line="100" w:lineRule="atLeast"/>
        <w:ind w:left="720" w:hanging="720"/>
      </w:pPr>
    </w:p>
    <w:p w14:paraId="7398A3DF" w14:textId="77777777" w:rsidR="007D0F9E" w:rsidRPr="00ED3CFB" w:rsidRDefault="007D0F9E" w:rsidP="007D0F9E">
      <w:pPr>
        <w:widowControl w:val="0"/>
        <w:suppressLineNumbers/>
        <w:spacing w:after="240" w:line="100" w:lineRule="atLeast"/>
        <w:ind w:left="720" w:hanging="720"/>
        <w:rPr>
          <w:rFonts w:cs="Lohit Hindi"/>
        </w:rPr>
      </w:pPr>
      <w:proofErr w:type="gramStart"/>
      <w:r w:rsidRPr="00ED3CFB">
        <w:rPr>
          <w:rFonts w:cs="Lohit Hindi"/>
        </w:rPr>
        <w:t>Griffin, S. C., Taper, M. L.</w:t>
      </w:r>
      <w:r>
        <w:rPr>
          <w:rFonts w:cs="Lohit Hindi"/>
        </w:rPr>
        <w:t xml:space="preserve"> and Mills, L. S. 2007.</w:t>
      </w:r>
      <w:proofErr w:type="gramEnd"/>
      <w:r>
        <w:rPr>
          <w:rFonts w:cs="Lohit Hindi"/>
        </w:rPr>
        <w:t xml:space="preserve"> Female </w:t>
      </w:r>
      <w:proofErr w:type="spellStart"/>
      <w:proofErr w:type="gramStart"/>
      <w:r>
        <w:rPr>
          <w:rFonts w:cs="Lohit Hindi"/>
        </w:rPr>
        <w:t>olympic</w:t>
      </w:r>
      <w:proofErr w:type="spellEnd"/>
      <w:proofErr w:type="gramEnd"/>
      <w:r>
        <w:rPr>
          <w:rFonts w:cs="Lohit Hindi"/>
        </w:rPr>
        <w:t xml:space="preserve"> m</w:t>
      </w:r>
      <w:r w:rsidRPr="00ED3CFB">
        <w:rPr>
          <w:rFonts w:cs="Lohit Hindi"/>
        </w:rPr>
        <w:t>armots (</w:t>
      </w:r>
      <w:proofErr w:type="spellStart"/>
      <w:r w:rsidRPr="00ED3CFB">
        <w:rPr>
          <w:rFonts w:cs="Lohit Hindi"/>
          <w:i/>
        </w:rPr>
        <w:t>Marmota</w:t>
      </w:r>
      <w:proofErr w:type="spellEnd"/>
      <w:r w:rsidRPr="00ED3CFB">
        <w:rPr>
          <w:rFonts w:cs="Lohit Hindi"/>
          <w:i/>
        </w:rPr>
        <w:t xml:space="preserve"> </w:t>
      </w:r>
      <w:proofErr w:type="spellStart"/>
      <w:r w:rsidRPr="00ED3CFB">
        <w:rPr>
          <w:rFonts w:cs="Lohit Hindi"/>
          <w:i/>
        </w:rPr>
        <w:t>olympus</w:t>
      </w:r>
      <w:proofErr w:type="spellEnd"/>
      <w:r>
        <w:rPr>
          <w:rFonts w:cs="Lohit Hindi"/>
        </w:rPr>
        <w:t>) reproduce in consecutive y</w:t>
      </w:r>
      <w:r w:rsidRPr="00ED3CFB">
        <w:rPr>
          <w:rFonts w:cs="Lohit Hindi"/>
        </w:rPr>
        <w:t xml:space="preserve">ears. </w:t>
      </w:r>
      <w:r>
        <w:rPr>
          <w:rFonts w:cs="Lohit Hindi"/>
        </w:rPr>
        <w:t>–</w:t>
      </w:r>
      <w:r w:rsidRPr="00ED3CFB">
        <w:rPr>
          <w:rFonts w:cs="Lohit Hindi"/>
        </w:rPr>
        <w:t xml:space="preserve"> </w:t>
      </w:r>
      <w:r>
        <w:rPr>
          <w:rFonts w:cs="Lohit Hindi"/>
        </w:rPr>
        <w:t xml:space="preserve">Am. </w:t>
      </w:r>
      <w:proofErr w:type="spellStart"/>
      <w:r>
        <w:rPr>
          <w:rFonts w:cs="Lohit Hindi"/>
        </w:rPr>
        <w:t>Midl</w:t>
      </w:r>
      <w:proofErr w:type="spellEnd"/>
      <w:r>
        <w:rPr>
          <w:rFonts w:cs="Lohit Hindi"/>
        </w:rPr>
        <w:t>. Nat.</w:t>
      </w:r>
      <w:r w:rsidRPr="00ED3CFB">
        <w:rPr>
          <w:rFonts w:cs="Lohit Hindi"/>
        </w:rPr>
        <w:t xml:space="preserve"> 158: 221–225.</w:t>
      </w:r>
    </w:p>
    <w:p w14:paraId="41D39B9F" w14:textId="77777777" w:rsidR="007D0F9E" w:rsidRPr="00ED3CFB" w:rsidRDefault="007D0F9E" w:rsidP="007D0F9E">
      <w:pPr>
        <w:widowControl w:val="0"/>
        <w:spacing w:line="100" w:lineRule="atLeast"/>
        <w:ind w:left="720" w:hanging="720"/>
      </w:pPr>
      <w:r w:rsidRPr="00ED3CFB">
        <w:t xml:space="preserve">Griffin, S. C. 2008. Demography and ecology of a declining endemic: The Olympic marmot. </w:t>
      </w:r>
      <w:proofErr w:type="gramStart"/>
      <w:r w:rsidRPr="00ED3CFB">
        <w:t>PhD Thesis, University of Washington.</w:t>
      </w:r>
      <w:proofErr w:type="gramEnd"/>
      <w:r w:rsidRPr="00ED3CFB">
        <w:t xml:space="preserve"> </w:t>
      </w:r>
      <w:proofErr w:type="gramStart"/>
      <w:r w:rsidRPr="00ED3CFB">
        <w:t>190 pp.</w:t>
      </w:r>
      <w:proofErr w:type="gramEnd"/>
    </w:p>
    <w:p w14:paraId="6E05F51B" w14:textId="77777777" w:rsidR="007D0F9E" w:rsidRPr="00ED3CFB" w:rsidRDefault="007D0F9E" w:rsidP="007D0F9E">
      <w:pPr>
        <w:widowControl w:val="0"/>
        <w:spacing w:line="100" w:lineRule="atLeast"/>
        <w:ind w:left="720" w:hanging="720"/>
      </w:pPr>
    </w:p>
    <w:p w14:paraId="7598FE8C" w14:textId="77777777" w:rsidR="007D0F9E" w:rsidRPr="00ED3CFB" w:rsidRDefault="007D0F9E" w:rsidP="007D0F9E">
      <w:pPr>
        <w:widowControl w:val="0"/>
        <w:spacing w:line="100" w:lineRule="atLeast"/>
        <w:ind w:left="720" w:hanging="720"/>
      </w:pPr>
      <w:proofErr w:type="spellStart"/>
      <w:proofErr w:type="gramStart"/>
      <w:r w:rsidRPr="00ED3CFB">
        <w:t>Hackländer</w:t>
      </w:r>
      <w:proofErr w:type="spellEnd"/>
      <w:r w:rsidRPr="00ED3CFB">
        <w:t>, K. and Arnold, W. 1999.</w:t>
      </w:r>
      <w:proofErr w:type="gramEnd"/>
      <w:r w:rsidRPr="00ED3CFB">
        <w:t xml:space="preserve"> </w:t>
      </w:r>
      <w:proofErr w:type="gramStart"/>
      <w:r w:rsidRPr="00ED3CFB">
        <w:t>Male-caused failure of female reproduction and its adaptive value in alpine marmots (</w:t>
      </w:r>
      <w:proofErr w:type="spellStart"/>
      <w:r w:rsidRPr="00ED3CFB">
        <w:rPr>
          <w:i/>
        </w:rPr>
        <w:t>Marmota</w:t>
      </w:r>
      <w:proofErr w:type="spellEnd"/>
      <w:r w:rsidRPr="00ED3CFB">
        <w:rPr>
          <w:i/>
        </w:rPr>
        <w:t xml:space="preserve"> </w:t>
      </w:r>
      <w:proofErr w:type="spellStart"/>
      <w:r w:rsidRPr="00ED3CFB">
        <w:rPr>
          <w:i/>
        </w:rPr>
        <w:t>marmota</w:t>
      </w:r>
      <w:proofErr w:type="spellEnd"/>
      <w:r w:rsidRPr="00ED3CFB">
        <w:t>).</w:t>
      </w:r>
      <w:proofErr w:type="gramEnd"/>
      <w:r w:rsidRPr="00ED3CFB">
        <w:t xml:space="preserve"> – </w:t>
      </w:r>
      <w:proofErr w:type="spellStart"/>
      <w:r w:rsidRPr="00ED3CFB">
        <w:t>Behav</w:t>
      </w:r>
      <w:proofErr w:type="spellEnd"/>
      <w:r w:rsidRPr="00ED3CFB">
        <w:t>. Ecol. 10: 592-597.</w:t>
      </w:r>
    </w:p>
    <w:p w14:paraId="096A36BA" w14:textId="77777777" w:rsidR="007D0F9E" w:rsidRPr="00ED3CFB" w:rsidRDefault="007D0F9E" w:rsidP="007D0F9E">
      <w:pPr>
        <w:widowControl w:val="0"/>
        <w:spacing w:line="100" w:lineRule="atLeast"/>
        <w:ind w:left="720" w:hanging="720"/>
      </w:pPr>
    </w:p>
    <w:p w14:paraId="4AC22668" w14:textId="77777777" w:rsidR="007D0F9E" w:rsidRPr="00ED3CFB" w:rsidRDefault="007D0F9E" w:rsidP="007D0F9E">
      <w:pPr>
        <w:widowControl w:val="0"/>
        <w:suppressLineNumbers/>
        <w:spacing w:after="240" w:line="100" w:lineRule="atLeast"/>
        <w:ind w:left="720" w:hanging="720"/>
        <w:rPr>
          <w:rFonts w:cs="Lohit Hindi"/>
        </w:rPr>
      </w:pPr>
      <w:proofErr w:type="spellStart"/>
      <w:proofErr w:type="gramStart"/>
      <w:r w:rsidRPr="00ED3CFB">
        <w:rPr>
          <w:rFonts w:cs="Lohit Hindi"/>
        </w:rPr>
        <w:t>Hackländer</w:t>
      </w:r>
      <w:proofErr w:type="spellEnd"/>
      <w:r w:rsidRPr="00ED3CFB">
        <w:rPr>
          <w:rFonts w:cs="Lohit Hindi"/>
        </w:rPr>
        <w:t xml:space="preserve">, K., </w:t>
      </w:r>
      <w:proofErr w:type="spellStart"/>
      <w:r w:rsidRPr="00ED3CFB">
        <w:rPr>
          <w:rFonts w:cs="Lohit Hindi"/>
        </w:rPr>
        <w:t>Möstl</w:t>
      </w:r>
      <w:proofErr w:type="spellEnd"/>
      <w:r w:rsidRPr="00ED3CFB">
        <w:rPr>
          <w:rFonts w:cs="Lohit Hindi"/>
        </w:rPr>
        <w:t>, E. and Arnold, W. 2003.</w:t>
      </w:r>
      <w:proofErr w:type="gramEnd"/>
      <w:r w:rsidRPr="00ED3CFB">
        <w:rPr>
          <w:rFonts w:cs="Lohit Hindi"/>
        </w:rPr>
        <w:t xml:space="preserve"> </w:t>
      </w:r>
      <w:proofErr w:type="gramStart"/>
      <w:r w:rsidRPr="00ED3CFB">
        <w:rPr>
          <w:rFonts w:cs="Lohit Hindi"/>
        </w:rPr>
        <w:t>Reproductive suppression in female Alpine ma</w:t>
      </w:r>
      <w:r>
        <w:rPr>
          <w:rFonts w:cs="Lohit Hindi"/>
        </w:rPr>
        <w:t xml:space="preserve">rmots, </w:t>
      </w:r>
      <w:proofErr w:type="spellStart"/>
      <w:r>
        <w:rPr>
          <w:rFonts w:cs="Lohit Hindi"/>
        </w:rPr>
        <w:t>Marmota</w:t>
      </w:r>
      <w:proofErr w:type="spellEnd"/>
      <w:r>
        <w:rPr>
          <w:rFonts w:cs="Lohit Hindi"/>
        </w:rPr>
        <w:t xml:space="preserve"> </w:t>
      </w:r>
      <w:proofErr w:type="spellStart"/>
      <w:r>
        <w:rPr>
          <w:rFonts w:cs="Lohit Hindi"/>
        </w:rPr>
        <w:t>marmota</w:t>
      </w:r>
      <w:proofErr w:type="spellEnd"/>
      <w:r>
        <w:rPr>
          <w:rFonts w:cs="Lohit Hindi"/>
        </w:rPr>
        <w:t>.</w:t>
      </w:r>
      <w:proofErr w:type="gramEnd"/>
      <w:r>
        <w:rPr>
          <w:rFonts w:cs="Lohit Hindi"/>
        </w:rPr>
        <w:t xml:space="preserve"> – Anim. </w:t>
      </w:r>
      <w:proofErr w:type="spellStart"/>
      <w:r>
        <w:rPr>
          <w:rFonts w:cs="Lohit Hindi"/>
        </w:rPr>
        <w:t>Behav</w:t>
      </w:r>
      <w:proofErr w:type="spellEnd"/>
      <w:r>
        <w:rPr>
          <w:rFonts w:cs="Lohit Hindi"/>
        </w:rPr>
        <w:t>.</w:t>
      </w:r>
      <w:r w:rsidRPr="00ED3CFB">
        <w:rPr>
          <w:rFonts w:cs="Lohit Hindi"/>
        </w:rPr>
        <w:t xml:space="preserve"> 65: 1133–1140.</w:t>
      </w:r>
    </w:p>
    <w:p w14:paraId="15483D66" w14:textId="77777777" w:rsidR="007D0F9E" w:rsidRPr="00ED3CFB" w:rsidRDefault="007D0F9E" w:rsidP="007D0F9E">
      <w:pPr>
        <w:widowControl w:val="0"/>
        <w:spacing w:line="100" w:lineRule="atLeast"/>
        <w:ind w:left="720" w:hanging="720"/>
      </w:pPr>
      <w:r w:rsidRPr="00ED3CFB">
        <w:t xml:space="preserve">Hansen, R. 1975. </w:t>
      </w:r>
      <w:proofErr w:type="gramStart"/>
      <w:r w:rsidRPr="00ED3CFB">
        <w:t>Foods of the hoary marmot on Kenai Peninsula, Alaska.</w:t>
      </w:r>
      <w:proofErr w:type="gramEnd"/>
      <w:r w:rsidRPr="00ED3CFB">
        <w:t xml:space="preserve"> – Am. Mid. Nat. 94: 348-353.</w:t>
      </w:r>
    </w:p>
    <w:p w14:paraId="0F682ED3" w14:textId="77777777" w:rsidR="007D0F9E" w:rsidRPr="00ED3CFB" w:rsidRDefault="007D0F9E" w:rsidP="007D0F9E">
      <w:pPr>
        <w:widowControl w:val="0"/>
        <w:spacing w:line="100" w:lineRule="atLeast"/>
        <w:ind w:left="720" w:hanging="720"/>
      </w:pPr>
    </w:p>
    <w:p w14:paraId="2AD9140B" w14:textId="77777777" w:rsidR="007D0F9E" w:rsidRPr="00ED3CFB" w:rsidRDefault="007D0F9E" w:rsidP="007D0F9E">
      <w:pPr>
        <w:widowControl w:val="0"/>
        <w:spacing w:line="100" w:lineRule="atLeast"/>
        <w:ind w:left="720" w:hanging="720"/>
      </w:pPr>
      <w:proofErr w:type="gramStart"/>
      <w:r w:rsidRPr="00ED3CFB">
        <w:t xml:space="preserve">Harvey, P. H. and </w:t>
      </w:r>
      <w:proofErr w:type="spellStart"/>
      <w:r w:rsidRPr="00ED3CFB">
        <w:t>Zammuto</w:t>
      </w:r>
      <w:proofErr w:type="spellEnd"/>
      <w:r w:rsidRPr="00ED3CFB">
        <w:t>, R. M. 1985.</w:t>
      </w:r>
      <w:proofErr w:type="gramEnd"/>
      <w:r w:rsidRPr="00ED3CFB">
        <w:t xml:space="preserve"> </w:t>
      </w:r>
      <w:proofErr w:type="gramStart"/>
      <w:r w:rsidRPr="00ED3CFB">
        <w:t>Patterns of mortality and age at first reproduction in natural populations of mammals.</w:t>
      </w:r>
      <w:proofErr w:type="gramEnd"/>
      <w:r w:rsidRPr="00ED3CFB">
        <w:t xml:space="preserve"> </w:t>
      </w:r>
      <w:r>
        <w:t xml:space="preserve">Nature </w:t>
      </w:r>
      <w:r w:rsidRPr="00ED3CFB">
        <w:t>315: 319-320.</w:t>
      </w:r>
    </w:p>
    <w:p w14:paraId="64E2B718" w14:textId="77777777" w:rsidR="007D0F9E" w:rsidRPr="00ED3CFB" w:rsidRDefault="007D0F9E" w:rsidP="007D0F9E">
      <w:pPr>
        <w:widowControl w:val="0"/>
        <w:spacing w:line="100" w:lineRule="atLeast"/>
        <w:ind w:left="720" w:hanging="720"/>
      </w:pPr>
    </w:p>
    <w:p w14:paraId="68971066" w14:textId="77777777" w:rsidR="007D0F9E" w:rsidRPr="00ED3CFB" w:rsidRDefault="007D0F9E" w:rsidP="007D0F9E">
      <w:pPr>
        <w:widowControl w:val="0"/>
        <w:suppressLineNumbers/>
        <w:spacing w:after="240" w:line="100" w:lineRule="atLeast"/>
        <w:ind w:left="720" w:hanging="720"/>
        <w:rPr>
          <w:rFonts w:cs="Lohit Hindi"/>
        </w:rPr>
      </w:pPr>
      <w:proofErr w:type="spellStart"/>
      <w:proofErr w:type="gramStart"/>
      <w:r w:rsidRPr="00ED3CFB">
        <w:rPr>
          <w:rFonts w:cs="Lohit Hindi"/>
        </w:rPr>
        <w:t>Heezik</w:t>
      </w:r>
      <w:proofErr w:type="spellEnd"/>
      <w:r w:rsidRPr="00ED3CFB">
        <w:rPr>
          <w:rFonts w:cs="Lohit Hindi"/>
        </w:rPr>
        <w:t xml:space="preserve">, Y. M. V., </w:t>
      </w:r>
      <w:proofErr w:type="spellStart"/>
      <w:r w:rsidRPr="00ED3CFB">
        <w:rPr>
          <w:rFonts w:cs="Lohit Hindi"/>
        </w:rPr>
        <w:t>Seddon</w:t>
      </w:r>
      <w:proofErr w:type="spellEnd"/>
      <w:r w:rsidRPr="00ED3CFB">
        <w:rPr>
          <w:rFonts w:cs="Lohit Hindi"/>
        </w:rPr>
        <w:t xml:space="preserve">, P. J., Cooper, J. and </w:t>
      </w:r>
      <w:proofErr w:type="spellStart"/>
      <w:r w:rsidRPr="00ED3CFB">
        <w:rPr>
          <w:rFonts w:cs="Lohit Hindi"/>
        </w:rPr>
        <w:t>Plös</w:t>
      </w:r>
      <w:proofErr w:type="spellEnd"/>
      <w:r w:rsidRPr="00ED3CFB">
        <w:rPr>
          <w:rFonts w:cs="Lohit Hindi"/>
        </w:rPr>
        <w:t>, A. L. 1994.</w:t>
      </w:r>
      <w:proofErr w:type="gramEnd"/>
      <w:r w:rsidRPr="00ED3CFB">
        <w:rPr>
          <w:rFonts w:cs="Lohit Hindi"/>
        </w:rPr>
        <w:t xml:space="preserve"> Interrelationships between breeding frequency, timing and outcome in King Penguins </w:t>
      </w:r>
      <w:proofErr w:type="spellStart"/>
      <w:r w:rsidRPr="00ED3CFB">
        <w:rPr>
          <w:rFonts w:cs="Lohit Hindi"/>
          <w:i/>
          <w:iCs/>
        </w:rPr>
        <w:t>Aptenodytes</w:t>
      </w:r>
      <w:proofErr w:type="spellEnd"/>
      <w:r w:rsidRPr="00ED3CFB">
        <w:rPr>
          <w:rFonts w:cs="Lohit Hindi"/>
          <w:i/>
          <w:iCs/>
        </w:rPr>
        <w:t xml:space="preserve"> </w:t>
      </w:r>
      <w:proofErr w:type="spellStart"/>
      <w:r w:rsidRPr="00ED3CFB">
        <w:rPr>
          <w:rFonts w:cs="Lohit Hindi"/>
          <w:i/>
          <w:iCs/>
        </w:rPr>
        <w:t>patagonicus</w:t>
      </w:r>
      <w:proofErr w:type="spellEnd"/>
      <w:r w:rsidRPr="00ED3CFB">
        <w:rPr>
          <w:rFonts w:cs="Lohit Hindi"/>
          <w:i/>
          <w:iCs/>
        </w:rPr>
        <w:t>:</w:t>
      </w:r>
      <w:r w:rsidRPr="00ED3CFB">
        <w:rPr>
          <w:rFonts w:cs="Lohit Hindi"/>
        </w:rPr>
        <w:t xml:space="preserve"> are King </w:t>
      </w:r>
      <w:proofErr w:type="gramStart"/>
      <w:r w:rsidRPr="00ED3CFB">
        <w:rPr>
          <w:rFonts w:cs="Lohit Hindi"/>
        </w:rPr>
        <w:t>Penguins</w:t>
      </w:r>
      <w:proofErr w:type="gramEnd"/>
      <w:r w:rsidRPr="00ED3CFB">
        <w:rPr>
          <w:rFonts w:cs="Lohit Hindi"/>
        </w:rPr>
        <w:t xml:space="preserve"> biennial breeders? - Ibis 136: 279–284.</w:t>
      </w:r>
    </w:p>
    <w:p w14:paraId="065CFC7D" w14:textId="77777777" w:rsidR="007D0F9E" w:rsidRPr="00ED3CFB" w:rsidRDefault="007D0F9E" w:rsidP="007D0F9E">
      <w:pPr>
        <w:widowControl w:val="0"/>
        <w:spacing w:line="100" w:lineRule="atLeast"/>
        <w:ind w:left="720" w:hanging="720"/>
      </w:pPr>
      <w:r w:rsidRPr="00ED3CFB">
        <w:t>Holmes, W. G. 1984</w:t>
      </w:r>
      <w:r>
        <w:t xml:space="preserve">. </w:t>
      </w:r>
      <w:proofErr w:type="gramStart"/>
      <w:r>
        <w:t>The ecological basis of monogamy in Alaskan hoary marmots.</w:t>
      </w:r>
      <w:proofErr w:type="gramEnd"/>
      <w:r>
        <w:t xml:space="preserve"> –In: </w:t>
      </w:r>
      <w:proofErr w:type="spellStart"/>
      <w:r>
        <w:t>Murie</w:t>
      </w:r>
      <w:proofErr w:type="spellEnd"/>
      <w:r>
        <w:t>, O. and Michener, G. R. (eds.), University of Nebraska Press, pp. 250-274.</w:t>
      </w:r>
    </w:p>
    <w:p w14:paraId="384EFC4F" w14:textId="77777777" w:rsidR="007D0F9E" w:rsidRPr="00ED3CFB" w:rsidRDefault="007D0F9E" w:rsidP="007D0F9E">
      <w:pPr>
        <w:widowControl w:val="0"/>
        <w:spacing w:line="100" w:lineRule="atLeast"/>
        <w:ind w:left="720" w:hanging="720"/>
      </w:pPr>
    </w:p>
    <w:p w14:paraId="493245AE" w14:textId="77777777" w:rsidR="007D0F9E" w:rsidRPr="00ED3CFB" w:rsidRDefault="007D0F9E" w:rsidP="007D0F9E">
      <w:pPr>
        <w:widowControl w:val="0"/>
        <w:suppressLineNumbers/>
        <w:spacing w:after="240" w:line="100" w:lineRule="atLeast"/>
        <w:ind w:left="720" w:hanging="720"/>
        <w:rPr>
          <w:rFonts w:cs="Lohit Hindi"/>
        </w:rPr>
      </w:pPr>
      <w:proofErr w:type="spellStart"/>
      <w:proofErr w:type="gramStart"/>
      <w:r w:rsidRPr="00ED3CFB">
        <w:rPr>
          <w:rFonts w:cs="Lohit Hindi"/>
        </w:rPr>
        <w:t>Jiguet</w:t>
      </w:r>
      <w:proofErr w:type="spellEnd"/>
      <w:r w:rsidRPr="00ED3CFB">
        <w:rPr>
          <w:rFonts w:cs="Lohit Hindi"/>
        </w:rPr>
        <w:t xml:space="preserve">, F., </w:t>
      </w:r>
      <w:proofErr w:type="spellStart"/>
      <w:r w:rsidRPr="00ED3CFB">
        <w:rPr>
          <w:rFonts w:cs="Lohit Hindi"/>
        </w:rPr>
        <w:t>Gadot</w:t>
      </w:r>
      <w:proofErr w:type="spellEnd"/>
      <w:r w:rsidRPr="00ED3CFB">
        <w:rPr>
          <w:rFonts w:cs="Lohit Hindi"/>
        </w:rPr>
        <w:t xml:space="preserve">, A. S., Julliard, R., </w:t>
      </w:r>
      <w:proofErr w:type="spellStart"/>
      <w:r w:rsidRPr="00ED3CFB">
        <w:rPr>
          <w:rFonts w:cs="Lohit Hindi"/>
        </w:rPr>
        <w:t>Newson</w:t>
      </w:r>
      <w:proofErr w:type="spellEnd"/>
      <w:r w:rsidRPr="00ED3CFB">
        <w:rPr>
          <w:rFonts w:cs="Lohit Hindi"/>
        </w:rPr>
        <w:t xml:space="preserve">, S. E. and </w:t>
      </w:r>
      <w:proofErr w:type="spellStart"/>
      <w:r w:rsidRPr="00ED3CFB">
        <w:rPr>
          <w:rFonts w:cs="Lohit Hindi"/>
        </w:rPr>
        <w:t>Couvet</w:t>
      </w:r>
      <w:proofErr w:type="spellEnd"/>
      <w:r w:rsidRPr="00ED3CFB">
        <w:rPr>
          <w:rFonts w:cs="Lohit Hindi"/>
        </w:rPr>
        <w:t>, D. 2007.</w:t>
      </w:r>
      <w:proofErr w:type="gramEnd"/>
      <w:r w:rsidRPr="00ED3CFB">
        <w:rPr>
          <w:rFonts w:cs="Lohit Hindi"/>
        </w:rPr>
        <w:t xml:space="preserve"> </w:t>
      </w:r>
      <w:proofErr w:type="gramStart"/>
      <w:r w:rsidRPr="00ED3CFB">
        <w:rPr>
          <w:rFonts w:cs="Lohit Hindi"/>
        </w:rPr>
        <w:t>Climate envelope, life history traits and the resilience of bird</w:t>
      </w:r>
      <w:r>
        <w:rPr>
          <w:rFonts w:cs="Lohit Hindi"/>
        </w:rPr>
        <w:t>s facing global change.</w:t>
      </w:r>
      <w:proofErr w:type="gramEnd"/>
      <w:r>
        <w:rPr>
          <w:rFonts w:cs="Lohit Hindi"/>
        </w:rPr>
        <w:t xml:space="preserve"> – Glob. Change Biol.</w:t>
      </w:r>
      <w:r w:rsidRPr="00ED3CFB">
        <w:rPr>
          <w:rFonts w:cs="Lohit Hindi"/>
        </w:rPr>
        <w:t xml:space="preserve"> 13: 1672–1684.</w:t>
      </w:r>
    </w:p>
    <w:p w14:paraId="28A7FC07" w14:textId="77777777" w:rsidR="007D0F9E" w:rsidRPr="00ED3CFB" w:rsidRDefault="007D0F9E" w:rsidP="007D0F9E">
      <w:pPr>
        <w:widowControl w:val="0"/>
        <w:spacing w:line="100" w:lineRule="atLeast"/>
        <w:ind w:left="720" w:hanging="720"/>
      </w:pPr>
      <w:proofErr w:type="spellStart"/>
      <w:r w:rsidRPr="00ED3CFB">
        <w:t>Jouventin</w:t>
      </w:r>
      <w:proofErr w:type="spellEnd"/>
      <w:r w:rsidRPr="00ED3CFB">
        <w:t xml:space="preserve">, P. and Dobson, F. S. 2002. Why breed every other year? </w:t>
      </w:r>
      <w:proofErr w:type="gramStart"/>
      <w:r w:rsidRPr="00ED3CFB">
        <w:t>The case of albatrosses.</w:t>
      </w:r>
      <w:proofErr w:type="gramEnd"/>
      <w:r w:rsidRPr="00ED3CFB">
        <w:t xml:space="preserve"> – </w:t>
      </w:r>
      <w:r>
        <w:t xml:space="preserve">Proc. Roy. Soc. </w:t>
      </w:r>
      <w:proofErr w:type="spellStart"/>
      <w:r>
        <w:t>Lond</w:t>
      </w:r>
      <w:proofErr w:type="spellEnd"/>
      <w:r>
        <w:t xml:space="preserve">. </w:t>
      </w:r>
      <w:r w:rsidRPr="00ED3CFB">
        <w:t>B</w:t>
      </w:r>
      <w:r>
        <w:t>. Biol</w:t>
      </w:r>
      <w:r w:rsidRPr="00ED3CFB">
        <w:t>. 269: 1955-1961.</w:t>
      </w:r>
    </w:p>
    <w:p w14:paraId="4F7C6DE3" w14:textId="77777777" w:rsidR="007D0F9E" w:rsidRPr="00ED3CFB" w:rsidRDefault="007D0F9E" w:rsidP="007D0F9E">
      <w:pPr>
        <w:widowControl w:val="0"/>
        <w:spacing w:line="100" w:lineRule="atLeast"/>
        <w:ind w:left="720" w:hanging="720"/>
      </w:pPr>
    </w:p>
    <w:p w14:paraId="73907308" w14:textId="77777777" w:rsidR="007D0F9E" w:rsidRPr="00ED3CFB" w:rsidRDefault="007D0F9E" w:rsidP="007D0F9E">
      <w:pPr>
        <w:widowControl w:val="0"/>
        <w:spacing w:line="100" w:lineRule="atLeast"/>
        <w:ind w:left="720" w:hanging="720"/>
      </w:pPr>
      <w:proofErr w:type="spellStart"/>
      <w:r w:rsidRPr="00ED3CFB">
        <w:t>Kenward</w:t>
      </w:r>
      <w:proofErr w:type="spellEnd"/>
      <w:r w:rsidRPr="00ED3CFB">
        <w:t xml:space="preserve">, R. and </w:t>
      </w:r>
      <w:proofErr w:type="spellStart"/>
      <w:r w:rsidRPr="00ED3CFB">
        <w:t>Hodder</w:t>
      </w:r>
      <w:proofErr w:type="spellEnd"/>
      <w:r w:rsidRPr="00ED3CFB">
        <w:t xml:space="preserve">, K. 1996. </w:t>
      </w:r>
      <w:proofErr w:type="gramStart"/>
      <w:r w:rsidRPr="00ED3CFB">
        <w:t>Ranges V: an analysis system for biological location data.</w:t>
      </w:r>
      <w:proofErr w:type="gramEnd"/>
      <w:r w:rsidRPr="00ED3CFB">
        <w:t xml:space="preserve"> - Dorset: Institute of Terrestrial Ecology.</w:t>
      </w:r>
    </w:p>
    <w:p w14:paraId="0799E462" w14:textId="77777777" w:rsidR="007D0F9E" w:rsidRPr="00ED3CFB" w:rsidRDefault="007D0F9E" w:rsidP="007D0F9E">
      <w:pPr>
        <w:widowControl w:val="0"/>
        <w:spacing w:line="100" w:lineRule="atLeast"/>
        <w:ind w:left="720" w:hanging="720"/>
      </w:pPr>
    </w:p>
    <w:p w14:paraId="35DB3B6D" w14:textId="77777777" w:rsidR="007D0F9E" w:rsidRPr="00ED3CFB" w:rsidRDefault="007D0F9E" w:rsidP="007D0F9E">
      <w:pPr>
        <w:widowControl w:val="0"/>
        <w:suppressLineNumbers/>
        <w:spacing w:after="240" w:line="100" w:lineRule="atLeast"/>
        <w:ind w:left="720" w:hanging="720"/>
        <w:rPr>
          <w:rFonts w:cs="Lohit Hindi"/>
        </w:rPr>
      </w:pPr>
      <w:proofErr w:type="gramStart"/>
      <w:r w:rsidRPr="00ED3CFB">
        <w:rPr>
          <w:rFonts w:cs="Lohit Hindi"/>
        </w:rPr>
        <w:t xml:space="preserve">Kyle, C. J., </w:t>
      </w:r>
      <w:proofErr w:type="spellStart"/>
      <w:r w:rsidRPr="00ED3CFB">
        <w:rPr>
          <w:rFonts w:cs="Lohit Hindi"/>
        </w:rPr>
        <w:t>Karels</w:t>
      </w:r>
      <w:proofErr w:type="spellEnd"/>
      <w:r w:rsidRPr="00ED3CFB">
        <w:rPr>
          <w:rFonts w:cs="Lohit Hindi"/>
        </w:rPr>
        <w:t xml:space="preserve">, T. J., Davis, C. S., </w:t>
      </w:r>
      <w:proofErr w:type="spellStart"/>
      <w:r w:rsidRPr="00ED3CFB">
        <w:rPr>
          <w:rFonts w:cs="Lohit Hindi"/>
        </w:rPr>
        <w:t>Mebs</w:t>
      </w:r>
      <w:proofErr w:type="spellEnd"/>
      <w:r w:rsidRPr="00ED3CFB">
        <w:rPr>
          <w:rFonts w:cs="Lohit Hindi"/>
        </w:rPr>
        <w:t xml:space="preserve">, S., Clark, B., </w:t>
      </w:r>
      <w:proofErr w:type="spellStart"/>
      <w:r w:rsidRPr="00ED3CFB">
        <w:rPr>
          <w:rFonts w:cs="Lohit Hindi"/>
        </w:rPr>
        <w:t>Strobeck</w:t>
      </w:r>
      <w:proofErr w:type="spellEnd"/>
      <w:r w:rsidRPr="00ED3CFB">
        <w:rPr>
          <w:rFonts w:cs="Lohit Hindi"/>
        </w:rPr>
        <w:t xml:space="preserve">, C. and </w:t>
      </w:r>
      <w:proofErr w:type="spellStart"/>
      <w:r w:rsidRPr="00ED3CFB">
        <w:rPr>
          <w:rFonts w:cs="Lohit Hindi"/>
        </w:rPr>
        <w:t>Hik</w:t>
      </w:r>
      <w:proofErr w:type="spellEnd"/>
      <w:r w:rsidRPr="00ED3CFB">
        <w:rPr>
          <w:rFonts w:cs="Lohit Hindi"/>
        </w:rPr>
        <w:t>, D. S. 2007.</w:t>
      </w:r>
      <w:proofErr w:type="gramEnd"/>
      <w:r w:rsidRPr="00ED3CFB">
        <w:rPr>
          <w:rFonts w:cs="Lohit Hindi"/>
        </w:rPr>
        <w:t xml:space="preserve"> </w:t>
      </w:r>
      <w:proofErr w:type="gramStart"/>
      <w:r w:rsidRPr="00ED3CFB">
        <w:rPr>
          <w:rFonts w:cs="Lohit Hindi"/>
        </w:rPr>
        <w:t>Social structure and facultative mating systems of hoary marmots</w:t>
      </w:r>
      <w:r>
        <w:rPr>
          <w:rFonts w:cs="Lohit Hindi"/>
        </w:rPr>
        <w:t xml:space="preserve"> (</w:t>
      </w:r>
      <w:proofErr w:type="spellStart"/>
      <w:r w:rsidRPr="00B37D33">
        <w:rPr>
          <w:rFonts w:cs="Lohit Hindi"/>
          <w:i/>
        </w:rPr>
        <w:t>Marmota</w:t>
      </w:r>
      <w:proofErr w:type="spellEnd"/>
      <w:r w:rsidRPr="00B37D33">
        <w:rPr>
          <w:rFonts w:cs="Lohit Hindi"/>
          <w:i/>
        </w:rPr>
        <w:t xml:space="preserve"> </w:t>
      </w:r>
      <w:proofErr w:type="spellStart"/>
      <w:r w:rsidRPr="00B37D33">
        <w:rPr>
          <w:rFonts w:cs="Lohit Hindi"/>
          <w:i/>
        </w:rPr>
        <w:t>caligata</w:t>
      </w:r>
      <w:proofErr w:type="spellEnd"/>
      <w:r>
        <w:rPr>
          <w:rFonts w:cs="Lohit Hindi"/>
        </w:rPr>
        <w:t>).</w:t>
      </w:r>
      <w:proofErr w:type="gramEnd"/>
      <w:r>
        <w:rPr>
          <w:rFonts w:cs="Lohit Hindi"/>
        </w:rPr>
        <w:t xml:space="preserve"> – Mol. Ecol.</w:t>
      </w:r>
      <w:r w:rsidRPr="00ED3CFB">
        <w:rPr>
          <w:rFonts w:cs="Lohit Hindi"/>
        </w:rPr>
        <w:t xml:space="preserve"> 16: 1245–1255.</w:t>
      </w:r>
    </w:p>
    <w:p w14:paraId="36838470" w14:textId="77777777" w:rsidR="007D0F9E" w:rsidRPr="00ED3CFB" w:rsidRDefault="007D0F9E" w:rsidP="007D0F9E">
      <w:pPr>
        <w:widowControl w:val="0"/>
        <w:spacing w:line="100" w:lineRule="atLeast"/>
        <w:ind w:left="720" w:hanging="720"/>
      </w:pPr>
      <w:proofErr w:type="spellStart"/>
      <w:proofErr w:type="gramStart"/>
      <w:r w:rsidRPr="00ED3CFB">
        <w:t>Laake</w:t>
      </w:r>
      <w:proofErr w:type="spellEnd"/>
      <w:r w:rsidRPr="00ED3CFB">
        <w:t xml:space="preserve">, J. and </w:t>
      </w:r>
      <w:proofErr w:type="spellStart"/>
      <w:r w:rsidRPr="00ED3CFB">
        <w:t>Rexstad</w:t>
      </w:r>
      <w:proofErr w:type="spellEnd"/>
      <w:r w:rsidRPr="00ED3CFB">
        <w:t>, E. 2007.</w:t>
      </w:r>
      <w:proofErr w:type="gramEnd"/>
      <w:r w:rsidRPr="00ED3CFB">
        <w:t xml:space="preserve"> </w:t>
      </w:r>
      <w:proofErr w:type="spellStart"/>
      <w:r w:rsidRPr="00ED3CFB">
        <w:t>RMark</w:t>
      </w:r>
      <w:proofErr w:type="spellEnd"/>
      <w:r w:rsidRPr="00ED3CFB">
        <w:t xml:space="preserve">—an alternative approach to building linear models. - Appendix C in Cooch, E. and G. White, editors. Program MARK: a gentle introduction http://www. </w:t>
      </w:r>
      <w:proofErr w:type="spellStart"/>
      <w:proofErr w:type="gramStart"/>
      <w:r w:rsidRPr="00ED3CFB">
        <w:t>phidot</w:t>
      </w:r>
      <w:proofErr w:type="spellEnd"/>
      <w:proofErr w:type="gramEnd"/>
      <w:r w:rsidRPr="00ED3CFB">
        <w:t xml:space="preserve">. </w:t>
      </w:r>
      <w:proofErr w:type="gramStart"/>
      <w:r w:rsidRPr="00ED3CFB">
        <w:t>org/software/mark/docs/book</w:t>
      </w:r>
      <w:proofErr w:type="gramEnd"/>
      <w:r w:rsidRPr="00ED3CFB">
        <w:t>.</w:t>
      </w:r>
    </w:p>
    <w:p w14:paraId="6E7C8D3C" w14:textId="77777777" w:rsidR="007D0F9E" w:rsidRPr="00ED3CFB" w:rsidRDefault="007D0F9E" w:rsidP="007D0F9E">
      <w:pPr>
        <w:widowControl w:val="0"/>
        <w:spacing w:line="100" w:lineRule="atLeast"/>
        <w:ind w:left="720" w:hanging="720"/>
      </w:pPr>
    </w:p>
    <w:p w14:paraId="3B431AC0" w14:textId="77777777" w:rsidR="007D0F9E" w:rsidRPr="00ED3CFB" w:rsidRDefault="007D0F9E" w:rsidP="007D0F9E">
      <w:pPr>
        <w:widowControl w:val="0"/>
        <w:suppressLineNumbers/>
        <w:spacing w:after="240" w:line="100" w:lineRule="atLeast"/>
        <w:ind w:left="720" w:hanging="720"/>
        <w:rPr>
          <w:rFonts w:cs="Lohit Hindi"/>
        </w:rPr>
      </w:pPr>
      <w:proofErr w:type="spellStart"/>
      <w:r w:rsidRPr="00ED3CFB">
        <w:rPr>
          <w:rFonts w:cs="Lohit Hindi"/>
        </w:rPr>
        <w:t>Lebreton</w:t>
      </w:r>
      <w:proofErr w:type="spellEnd"/>
      <w:r w:rsidRPr="00ED3CFB">
        <w:rPr>
          <w:rFonts w:cs="Lohit Hindi"/>
        </w:rPr>
        <w:t xml:space="preserve">, J.-D., Burnham, K. P., </w:t>
      </w:r>
      <w:proofErr w:type="spellStart"/>
      <w:r w:rsidRPr="00ED3CFB">
        <w:rPr>
          <w:rFonts w:cs="Lohit Hindi"/>
        </w:rPr>
        <w:t>Clobert</w:t>
      </w:r>
      <w:proofErr w:type="spellEnd"/>
      <w:r w:rsidRPr="00ED3CFB">
        <w:rPr>
          <w:rFonts w:cs="Lohit Hindi"/>
        </w:rPr>
        <w:t xml:space="preserve">, J. and </w:t>
      </w:r>
      <w:r>
        <w:rPr>
          <w:rFonts w:cs="Lohit Hindi"/>
        </w:rPr>
        <w:t>Anderson, D. R. 1992. Modeling survival and testing biological hypotheses using marked animals: A unified a</w:t>
      </w:r>
      <w:r w:rsidRPr="00ED3CFB">
        <w:rPr>
          <w:rFonts w:cs="Lohit Hindi"/>
        </w:rPr>
        <w:t>pproach</w:t>
      </w:r>
      <w:r>
        <w:rPr>
          <w:rFonts w:cs="Lohit Hindi"/>
        </w:rPr>
        <w:t xml:space="preserve"> with case studies. – Ecol. </w:t>
      </w:r>
      <w:proofErr w:type="spellStart"/>
      <w:r>
        <w:rPr>
          <w:rFonts w:cs="Lohit Hindi"/>
        </w:rPr>
        <w:t>Monogr</w:t>
      </w:r>
      <w:proofErr w:type="spellEnd"/>
      <w:r>
        <w:rPr>
          <w:rFonts w:cs="Lohit Hindi"/>
        </w:rPr>
        <w:t>.</w:t>
      </w:r>
      <w:r w:rsidRPr="00ED3CFB">
        <w:rPr>
          <w:rFonts w:cs="Lohit Hindi"/>
        </w:rPr>
        <w:t xml:space="preserve"> </w:t>
      </w:r>
      <w:proofErr w:type="gramStart"/>
      <w:r w:rsidRPr="00ED3CFB">
        <w:rPr>
          <w:rFonts w:cs="Lohit Hindi"/>
        </w:rPr>
        <w:t>62: 67.</w:t>
      </w:r>
      <w:proofErr w:type="gramEnd"/>
    </w:p>
    <w:p w14:paraId="18661D6E" w14:textId="77777777" w:rsidR="007D0F9E" w:rsidRPr="00ED3CFB" w:rsidRDefault="007D0F9E" w:rsidP="007D0F9E">
      <w:pPr>
        <w:widowControl w:val="0"/>
        <w:suppressLineNumbers/>
        <w:spacing w:after="240" w:line="100" w:lineRule="atLeast"/>
        <w:ind w:left="720" w:hanging="720"/>
        <w:rPr>
          <w:rFonts w:cs="Lohit Hindi"/>
        </w:rPr>
      </w:pPr>
      <w:proofErr w:type="gramStart"/>
      <w:r w:rsidRPr="00ED3CFB">
        <w:rPr>
          <w:rFonts w:cs="Lohit Hindi"/>
        </w:rPr>
        <w:t>Mantua, N. J., Hare, S. R., Zhang, Y., Wallace, J. M. and Francis, R. C. 1997.</w:t>
      </w:r>
      <w:proofErr w:type="gramEnd"/>
      <w:r w:rsidRPr="00ED3CFB">
        <w:rPr>
          <w:rFonts w:cs="Lohit Hindi"/>
        </w:rPr>
        <w:t xml:space="preserve"> </w:t>
      </w:r>
      <w:proofErr w:type="gramStart"/>
      <w:r w:rsidRPr="00ED3CFB">
        <w:rPr>
          <w:rFonts w:cs="Lohit Hindi"/>
        </w:rPr>
        <w:t xml:space="preserve">A Pacific </w:t>
      </w:r>
      <w:proofErr w:type="spellStart"/>
      <w:r w:rsidRPr="00ED3CFB">
        <w:rPr>
          <w:rFonts w:cs="Lohit Hindi"/>
        </w:rPr>
        <w:t>interdecadal</w:t>
      </w:r>
      <w:proofErr w:type="spellEnd"/>
      <w:r w:rsidRPr="00ED3CFB">
        <w:rPr>
          <w:rFonts w:cs="Lohit Hindi"/>
        </w:rPr>
        <w:t xml:space="preserve"> climate oscillation with impacts on salmon production.</w:t>
      </w:r>
      <w:proofErr w:type="gramEnd"/>
      <w:r w:rsidRPr="00ED3CFB">
        <w:rPr>
          <w:rFonts w:cs="Lohit Hindi"/>
        </w:rPr>
        <w:t xml:space="preserve"> </w:t>
      </w:r>
      <w:r>
        <w:rPr>
          <w:rFonts w:cs="Lohit Hindi"/>
        </w:rPr>
        <w:t>–</w:t>
      </w:r>
      <w:r w:rsidRPr="00ED3CFB">
        <w:rPr>
          <w:rFonts w:cs="Lohit Hindi"/>
        </w:rPr>
        <w:t xml:space="preserve"> </w:t>
      </w:r>
      <w:r>
        <w:rPr>
          <w:rFonts w:cs="Lohit Hindi"/>
        </w:rPr>
        <w:t>Bull.</w:t>
      </w:r>
      <w:r w:rsidRPr="00ED3CFB">
        <w:rPr>
          <w:rFonts w:cs="Lohit Hindi"/>
        </w:rPr>
        <w:t xml:space="preserve"> Am</w:t>
      </w:r>
      <w:r>
        <w:rPr>
          <w:rFonts w:cs="Lohit Hindi"/>
        </w:rPr>
        <w:t xml:space="preserve">. </w:t>
      </w:r>
      <w:proofErr w:type="spellStart"/>
      <w:r>
        <w:rPr>
          <w:rFonts w:cs="Lohit Hindi"/>
        </w:rPr>
        <w:t>Meteorol</w:t>
      </w:r>
      <w:proofErr w:type="spellEnd"/>
      <w:r>
        <w:rPr>
          <w:rFonts w:cs="Lohit Hindi"/>
        </w:rPr>
        <w:t>. Soc.</w:t>
      </w:r>
      <w:r w:rsidRPr="00ED3CFB">
        <w:rPr>
          <w:rFonts w:cs="Lohit Hindi"/>
        </w:rPr>
        <w:t xml:space="preserve"> 78: 1069–1079.</w:t>
      </w:r>
    </w:p>
    <w:p w14:paraId="2083CB19" w14:textId="77777777" w:rsidR="007D0F9E" w:rsidRPr="00ED3CFB" w:rsidRDefault="007D0F9E" w:rsidP="007D0F9E">
      <w:pPr>
        <w:widowControl w:val="0"/>
        <w:spacing w:line="100" w:lineRule="atLeast"/>
        <w:ind w:left="720" w:hanging="720"/>
      </w:pPr>
      <w:r w:rsidRPr="00ED3CFB">
        <w:t xml:space="preserve">Mantua, N. and Hare, S. 2002. </w:t>
      </w:r>
      <w:proofErr w:type="gramStart"/>
      <w:r w:rsidRPr="00ED3CFB">
        <w:t>The Pacific Decadal Oscillation.</w:t>
      </w:r>
      <w:proofErr w:type="gramEnd"/>
      <w:r w:rsidRPr="00ED3CFB">
        <w:t xml:space="preserve"> – J. </w:t>
      </w:r>
      <w:proofErr w:type="spellStart"/>
      <w:r w:rsidRPr="00ED3CFB">
        <w:t>Oceanogr</w:t>
      </w:r>
      <w:proofErr w:type="spellEnd"/>
      <w:r w:rsidRPr="00ED3CFB">
        <w:t>. 58: 35-44.</w:t>
      </w:r>
    </w:p>
    <w:p w14:paraId="7B133227" w14:textId="77777777" w:rsidR="007D0F9E" w:rsidRPr="00ED3CFB" w:rsidRDefault="007D0F9E" w:rsidP="007D0F9E">
      <w:pPr>
        <w:widowControl w:val="0"/>
        <w:spacing w:line="100" w:lineRule="atLeast"/>
        <w:ind w:left="720" w:hanging="720"/>
      </w:pPr>
    </w:p>
    <w:p w14:paraId="2A780B97" w14:textId="77777777" w:rsidR="007D0F9E" w:rsidRPr="00ED3CFB" w:rsidRDefault="007D0F9E" w:rsidP="007D0F9E">
      <w:pPr>
        <w:widowControl w:val="0"/>
        <w:spacing w:line="100" w:lineRule="atLeast"/>
        <w:ind w:left="720" w:hanging="720"/>
      </w:pPr>
      <w:proofErr w:type="gramStart"/>
      <w:r w:rsidRPr="00ED3CFB">
        <w:t xml:space="preserve">Martin, K. and </w:t>
      </w:r>
      <w:proofErr w:type="spellStart"/>
      <w:r w:rsidRPr="00ED3CFB">
        <w:t>Wiebe</w:t>
      </w:r>
      <w:proofErr w:type="spellEnd"/>
      <w:r w:rsidRPr="00ED3CFB">
        <w:t>, K. L. 2004.</w:t>
      </w:r>
      <w:proofErr w:type="gramEnd"/>
      <w:r w:rsidRPr="00ED3CFB">
        <w:t xml:space="preserve"> Coping mechanisms of alpine and arctic breeding birds: extreme weather and limitations to reproductive resilience. - </w:t>
      </w:r>
      <w:proofErr w:type="spellStart"/>
      <w:r w:rsidRPr="00ED3CFB">
        <w:t>Integr</w:t>
      </w:r>
      <w:proofErr w:type="spellEnd"/>
      <w:r w:rsidRPr="00ED3CFB">
        <w:t>. Comp. Biol. 44: 177-185.</w:t>
      </w:r>
    </w:p>
    <w:p w14:paraId="5A615846" w14:textId="77777777" w:rsidR="007D0F9E" w:rsidRPr="00ED3CFB" w:rsidRDefault="007D0F9E" w:rsidP="007D0F9E">
      <w:pPr>
        <w:widowControl w:val="0"/>
        <w:spacing w:line="100" w:lineRule="atLeast"/>
        <w:ind w:left="720" w:hanging="720"/>
      </w:pPr>
    </w:p>
    <w:p w14:paraId="63846D03"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lastRenderedPageBreak/>
        <w:t xml:space="preserve">Moore, G. W. K., </w:t>
      </w:r>
      <w:proofErr w:type="spellStart"/>
      <w:r w:rsidRPr="00ED3CFB">
        <w:rPr>
          <w:rFonts w:cs="Lohit Hindi"/>
        </w:rPr>
        <w:t>Holdsworth</w:t>
      </w:r>
      <w:proofErr w:type="spellEnd"/>
      <w:r w:rsidRPr="00ED3CFB">
        <w:rPr>
          <w:rFonts w:cs="Lohit Hindi"/>
        </w:rPr>
        <w:t xml:space="preserve">, G. and </w:t>
      </w:r>
      <w:proofErr w:type="spellStart"/>
      <w:r w:rsidRPr="00ED3CFB">
        <w:rPr>
          <w:rFonts w:cs="Lohit Hindi"/>
        </w:rPr>
        <w:t>Alverson</w:t>
      </w:r>
      <w:proofErr w:type="spellEnd"/>
      <w:r w:rsidRPr="00ED3CFB">
        <w:rPr>
          <w:rFonts w:cs="Lohit Hindi"/>
        </w:rPr>
        <w:t xml:space="preserve">, K. 2002. </w:t>
      </w:r>
      <w:proofErr w:type="gramStart"/>
      <w:r w:rsidRPr="00ED3CFB">
        <w:rPr>
          <w:rFonts w:cs="Lohit Hindi"/>
        </w:rPr>
        <w:t>Climate change in the North Pacific region over the past three centuries.</w:t>
      </w:r>
      <w:proofErr w:type="gramEnd"/>
      <w:r w:rsidRPr="00ED3CFB">
        <w:rPr>
          <w:rFonts w:cs="Lohit Hindi"/>
        </w:rPr>
        <w:t xml:space="preserve"> - Nature 420: 401–403.</w:t>
      </w:r>
    </w:p>
    <w:p w14:paraId="6A570865" w14:textId="77777777" w:rsidR="007D0F9E" w:rsidRPr="00ED3CFB" w:rsidRDefault="007D0F9E" w:rsidP="007D0F9E">
      <w:pPr>
        <w:widowControl w:val="0"/>
        <w:spacing w:line="100" w:lineRule="atLeast"/>
        <w:ind w:left="720" w:hanging="720"/>
      </w:pPr>
      <w:r w:rsidRPr="00ED3CFB">
        <w:t xml:space="preserve">Morrison, S. F. and </w:t>
      </w:r>
      <w:proofErr w:type="spellStart"/>
      <w:r w:rsidRPr="00ED3CFB">
        <w:t>Hik</w:t>
      </w:r>
      <w:proofErr w:type="spellEnd"/>
      <w:r w:rsidRPr="00ED3CFB">
        <w:t xml:space="preserve">, D. S. 2007. Demographic analysis of a declining </w:t>
      </w:r>
      <w:proofErr w:type="spellStart"/>
      <w:r w:rsidRPr="00ED3CFB">
        <w:t>pika</w:t>
      </w:r>
      <w:proofErr w:type="spellEnd"/>
      <w:r w:rsidRPr="00ED3CFB">
        <w:t xml:space="preserve"> </w:t>
      </w:r>
      <w:proofErr w:type="spellStart"/>
      <w:r w:rsidRPr="00ED3CFB">
        <w:rPr>
          <w:i/>
        </w:rPr>
        <w:t>Ochotona</w:t>
      </w:r>
      <w:proofErr w:type="spellEnd"/>
      <w:r w:rsidRPr="00ED3CFB">
        <w:rPr>
          <w:i/>
        </w:rPr>
        <w:t xml:space="preserve"> </w:t>
      </w:r>
      <w:proofErr w:type="spellStart"/>
      <w:r w:rsidRPr="00ED3CFB">
        <w:rPr>
          <w:i/>
        </w:rPr>
        <w:t>collaris</w:t>
      </w:r>
      <w:proofErr w:type="spellEnd"/>
      <w:r w:rsidRPr="00ED3CFB">
        <w:t xml:space="preserve"> population: linking survival to broad-scale climate patterns via sp</w:t>
      </w:r>
      <w:r>
        <w:t xml:space="preserve">ring snowmelt patterns. – J. </w:t>
      </w:r>
      <w:r w:rsidRPr="00ED3CFB">
        <w:t>Anim. Ecol. 76: 899-907.</w:t>
      </w:r>
    </w:p>
    <w:p w14:paraId="27E9F1A5" w14:textId="77777777" w:rsidR="007D0F9E" w:rsidRPr="00ED3CFB" w:rsidRDefault="007D0F9E" w:rsidP="007D0F9E">
      <w:pPr>
        <w:widowControl w:val="0"/>
        <w:spacing w:line="100" w:lineRule="atLeast"/>
        <w:ind w:left="720" w:hanging="720"/>
      </w:pPr>
    </w:p>
    <w:p w14:paraId="54E81072"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Nichols, J. D., Hines, J. E., Pollock, K. H., </w:t>
      </w:r>
      <w:proofErr w:type="spellStart"/>
      <w:r w:rsidRPr="00ED3CFB">
        <w:rPr>
          <w:rFonts w:cs="Lohit Hindi"/>
        </w:rPr>
        <w:t>Hinz</w:t>
      </w:r>
      <w:proofErr w:type="spellEnd"/>
      <w:r w:rsidRPr="00ED3CFB">
        <w:rPr>
          <w:rFonts w:cs="Lohit Hindi"/>
        </w:rPr>
        <w:t>, R. L. and Link, W. A. 1994. Estimating Breeding Proportions and Testing Hypotheses about Costs of Reproduction with Capture-Recapture Data. - Ecology 75: 2052.</w:t>
      </w:r>
    </w:p>
    <w:p w14:paraId="65CBC685" w14:textId="77777777" w:rsidR="007D0F9E" w:rsidRPr="00ED3CFB" w:rsidRDefault="007D0F9E" w:rsidP="007D0F9E">
      <w:pPr>
        <w:widowControl w:val="0"/>
        <w:spacing w:line="100" w:lineRule="atLeast"/>
        <w:ind w:left="720" w:hanging="720"/>
      </w:pPr>
      <w:proofErr w:type="spellStart"/>
      <w:r w:rsidRPr="00ED3CFB">
        <w:t>Orzack</w:t>
      </w:r>
      <w:proofErr w:type="spellEnd"/>
      <w:r>
        <w:t xml:space="preserve">, S. H. and </w:t>
      </w:r>
      <w:proofErr w:type="spellStart"/>
      <w:r>
        <w:t>Tuljapurkar</w:t>
      </w:r>
      <w:proofErr w:type="spellEnd"/>
      <w:r>
        <w:t>, S. 2001</w:t>
      </w:r>
      <w:r w:rsidRPr="00ED3CFB">
        <w:t xml:space="preserve">. Reproductive effort in variable </w:t>
      </w:r>
      <w:proofErr w:type="gramStart"/>
      <w:r w:rsidRPr="00ED3CFB">
        <w:t>environments,</w:t>
      </w:r>
      <w:proofErr w:type="gramEnd"/>
      <w:r w:rsidRPr="00ED3CFB">
        <w:t xml:space="preserve"> or environmental variation is for the birds. Ecology 82: 2659-2665.</w:t>
      </w:r>
    </w:p>
    <w:p w14:paraId="558BC5BD" w14:textId="77777777" w:rsidR="007D0F9E" w:rsidRPr="00ED3CFB" w:rsidRDefault="007D0F9E" w:rsidP="007D0F9E">
      <w:pPr>
        <w:widowControl w:val="0"/>
        <w:spacing w:line="100" w:lineRule="atLeast"/>
        <w:ind w:left="720" w:hanging="720"/>
      </w:pPr>
    </w:p>
    <w:p w14:paraId="6E2DD34D" w14:textId="77777777" w:rsidR="007D0F9E" w:rsidRPr="00ED3CFB" w:rsidRDefault="007D0F9E" w:rsidP="007D0F9E">
      <w:pPr>
        <w:widowControl w:val="0"/>
        <w:suppressLineNumbers/>
        <w:spacing w:after="240" w:line="100" w:lineRule="atLeast"/>
        <w:ind w:left="720" w:hanging="720"/>
        <w:rPr>
          <w:rFonts w:cs="Lohit Hindi"/>
        </w:rPr>
      </w:pPr>
      <w:proofErr w:type="spellStart"/>
      <w:proofErr w:type="gramStart"/>
      <w:r w:rsidRPr="00ED3CFB">
        <w:rPr>
          <w:rFonts w:cs="Lohit Hindi"/>
        </w:rPr>
        <w:t>Ozgul</w:t>
      </w:r>
      <w:proofErr w:type="spellEnd"/>
      <w:r w:rsidRPr="00ED3CFB">
        <w:rPr>
          <w:rFonts w:cs="Lohit Hindi"/>
        </w:rPr>
        <w:t xml:space="preserve">, A., </w:t>
      </w:r>
      <w:proofErr w:type="spellStart"/>
      <w:r w:rsidRPr="00ED3CFB">
        <w:rPr>
          <w:rFonts w:cs="Lohit Hindi"/>
        </w:rPr>
        <w:t>Oli</w:t>
      </w:r>
      <w:proofErr w:type="spellEnd"/>
      <w:r w:rsidRPr="00ED3CFB">
        <w:rPr>
          <w:rFonts w:cs="Lohit Hindi"/>
        </w:rPr>
        <w:t xml:space="preserve">, M., Olson, L., Blumstein, D. and </w:t>
      </w:r>
      <w:proofErr w:type="spellStart"/>
      <w:r w:rsidRPr="00ED3CFB">
        <w:rPr>
          <w:rFonts w:cs="Lohit Hindi"/>
        </w:rPr>
        <w:t>Armitage</w:t>
      </w:r>
      <w:proofErr w:type="spellEnd"/>
      <w:r w:rsidRPr="00ED3CFB">
        <w:rPr>
          <w:rFonts w:cs="Lohit Hindi"/>
        </w:rPr>
        <w:t>, K. 2007.</w:t>
      </w:r>
      <w:proofErr w:type="gramEnd"/>
      <w:r w:rsidRPr="00ED3CFB">
        <w:rPr>
          <w:rFonts w:cs="Lohit Hindi"/>
        </w:rPr>
        <w:t xml:space="preserve"> </w:t>
      </w:r>
      <w:proofErr w:type="gramStart"/>
      <w:r w:rsidRPr="00ED3CFB">
        <w:rPr>
          <w:rFonts w:cs="Lohit Hindi"/>
        </w:rPr>
        <w:t>Spatiotemporal variation in reproductive parameters of yellow-bellied marmots.</w:t>
      </w:r>
      <w:proofErr w:type="gramEnd"/>
      <w:r w:rsidRPr="00ED3CFB">
        <w:rPr>
          <w:rFonts w:cs="Lohit Hindi"/>
        </w:rPr>
        <w:t xml:space="preserve"> - </w:t>
      </w:r>
      <w:proofErr w:type="spellStart"/>
      <w:r w:rsidRPr="00ED3CFB">
        <w:rPr>
          <w:rFonts w:cs="Lohit Hindi"/>
        </w:rPr>
        <w:t>Oecologia</w:t>
      </w:r>
      <w:proofErr w:type="spellEnd"/>
      <w:r w:rsidRPr="00ED3CFB">
        <w:rPr>
          <w:rFonts w:cs="Lohit Hindi"/>
        </w:rPr>
        <w:t xml:space="preserve"> 154:</w:t>
      </w:r>
      <w:r w:rsidRPr="00ED3CFB">
        <w:rPr>
          <w:rFonts w:cs="Lohit Hindi"/>
          <w:kern w:val="24"/>
        </w:rPr>
        <w:t xml:space="preserve"> 95</w:t>
      </w:r>
      <w:r w:rsidRPr="00ED3CFB">
        <w:rPr>
          <w:rFonts w:cs="Lohit Hindi"/>
        </w:rPr>
        <w:t>–106.</w:t>
      </w:r>
    </w:p>
    <w:p w14:paraId="6F102389" w14:textId="77777777" w:rsidR="007D0F9E" w:rsidRPr="00ED3CFB" w:rsidRDefault="007D0F9E" w:rsidP="007D0F9E">
      <w:pPr>
        <w:pStyle w:val="Bibliography"/>
        <w:ind w:left="720" w:hanging="720"/>
        <w:rPr>
          <w:rFonts w:ascii="Times New Roman" w:hAnsi="Times New Roman" w:cs="Times New Roman"/>
          <w:sz w:val="24"/>
          <w:szCs w:val="24"/>
        </w:rPr>
      </w:pPr>
      <w:proofErr w:type="spellStart"/>
      <w:r w:rsidRPr="001859B3">
        <w:rPr>
          <w:rFonts w:ascii="Times New Roman" w:hAnsi="Times New Roman" w:cs="Times New Roman"/>
          <w:sz w:val="24"/>
          <w:szCs w:val="24"/>
        </w:rPr>
        <w:t>Patil</w:t>
      </w:r>
      <w:proofErr w:type="spellEnd"/>
      <w:r w:rsidRPr="001859B3">
        <w:rPr>
          <w:rFonts w:ascii="Times New Roman" w:hAnsi="Times New Roman" w:cs="Times New Roman"/>
          <w:sz w:val="24"/>
          <w:szCs w:val="24"/>
        </w:rPr>
        <w:t xml:space="preserve">, V. P. et al. </w:t>
      </w:r>
      <w:proofErr w:type="gramStart"/>
      <w:r w:rsidRPr="001859B3">
        <w:rPr>
          <w:rFonts w:ascii="Times New Roman" w:hAnsi="Times New Roman" w:cs="Times New Roman"/>
          <w:sz w:val="24"/>
          <w:szCs w:val="24"/>
        </w:rPr>
        <w:t>In Press.</w:t>
      </w:r>
      <w:proofErr w:type="gramEnd"/>
      <w:r w:rsidRPr="001859B3">
        <w:rPr>
          <w:rFonts w:ascii="Times New Roman" w:hAnsi="Times New Roman" w:cs="Times New Roman"/>
          <w:sz w:val="24"/>
          <w:szCs w:val="24"/>
        </w:rPr>
        <w:t xml:space="preserve"> Winter weather versus group thermoregulation: what determines survival in hibernating mammals? - </w:t>
      </w:r>
      <w:proofErr w:type="spellStart"/>
      <w:r w:rsidRPr="001859B3">
        <w:rPr>
          <w:rFonts w:ascii="Times New Roman" w:hAnsi="Times New Roman" w:cs="Times New Roman"/>
          <w:sz w:val="24"/>
          <w:szCs w:val="24"/>
        </w:rPr>
        <w:t>Oecologia</w:t>
      </w:r>
      <w:proofErr w:type="spellEnd"/>
      <w:r w:rsidRPr="001859B3">
        <w:rPr>
          <w:rFonts w:ascii="Times New Roman" w:hAnsi="Times New Roman" w:cs="Times New Roman"/>
          <w:sz w:val="24"/>
          <w:szCs w:val="24"/>
        </w:rPr>
        <w:t xml:space="preserve">: 1–11. </w:t>
      </w:r>
      <w:proofErr w:type="gramStart"/>
      <w:r w:rsidRPr="001859B3">
        <w:rPr>
          <w:rFonts w:ascii="Times New Roman" w:hAnsi="Times New Roman" w:cs="Times New Roman"/>
          <w:sz w:val="24"/>
          <w:szCs w:val="24"/>
        </w:rPr>
        <w:t>doi:</w:t>
      </w:r>
      <w:proofErr w:type="gramEnd"/>
      <w:r w:rsidRPr="001859B3">
        <w:rPr>
          <w:rFonts w:ascii="Times New Roman" w:hAnsi="Times New Roman" w:cs="Times New Roman"/>
          <w:sz w:val="24"/>
          <w:szCs w:val="24"/>
        </w:rPr>
        <w:t>10.1007/s00442-013-2612-0</w:t>
      </w:r>
      <w:r>
        <w:rPr>
          <w:rFonts w:ascii="Times New Roman" w:hAnsi="Times New Roman" w:cs="Times New Roman"/>
          <w:sz w:val="24"/>
          <w:szCs w:val="24"/>
        </w:rPr>
        <w:t>.</w:t>
      </w:r>
    </w:p>
    <w:p w14:paraId="593034A1" w14:textId="77777777" w:rsidR="007D0F9E" w:rsidRPr="00ED3CFB" w:rsidRDefault="007D0F9E" w:rsidP="007D0F9E">
      <w:pPr>
        <w:widowControl w:val="0"/>
        <w:spacing w:line="100" w:lineRule="atLeast"/>
        <w:ind w:left="720" w:hanging="720"/>
      </w:pPr>
      <w:proofErr w:type="gramStart"/>
      <w:r w:rsidRPr="00ED3CFB">
        <w:t>R Development Core Team (2011).</w:t>
      </w:r>
      <w:proofErr w:type="gramEnd"/>
      <w:r w:rsidRPr="00ED3CFB">
        <w:t xml:space="preserve"> R: A language and environment for statistical computing. </w:t>
      </w:r>
      <w:proofErr w:type="gramStart"/>
      <w:r w:rsidRPr="00ED3CFB">
        <w:t>R Foundation for Statistical Computing, Vienna, Austria.</w:t>
      </w:r>
      <w:proofErr w:type="gramEnd"/>
      <w:r w:rsidRPr="00ED3CFB">
        <w:t xml:space="preserve"> ISBN 3-900051-07-0, URL http://www.R-project.org/.</w:t>
      </w:r>
    </w:p>
    <w:p w14:paraId="295FFA0D" w14:textId="77777777" w:rsidR="007D0F9E" w:rsidRPr="00ED3CFB" w:rsidRDefault="007D0F9E" w:rsidP="007D0F9E">
      <w:pPr>
        <w:widowControl w:val="0"/>
        <w:spacing w:line="100" w:lineRule="atLeast"/>
        <w:ind w:left="720" w:hanging="720"/>
      </w:pPr>
    </w:p>
    <w:p w14:paraId="62089E56" w14:textId="77777777" w:rsidR="007D0F9E" w:rsidRPr="00ED3CFB" w:rsidRDefault="007D0F9E" w:rsidP="007D0F9E">
      <w:pPr>
        <w:widowControl w:val="0"/>
        <w:spacing w:line="100" w:lineRule="atLeast"/>
        <w:ind w:left="720" w:hanging="720"/>
      </w:pPr>
      <w:proofErr w:type="gramStart"/>
      <w:r w:rsidRPr="00ED3CFB">
        <w:t xml:space="preserve">Schwartz, O. A. and </w:t>
      </w:r>
      <w:proofErr w:type="spellStart"/>
      <w:r w:rsidRPr="00ED3CFB">
        <w:t>Armitage</w:t>
      </w:r>
      <w:proofErr w:type="spellEnd"/>
      <w:r w:rsidRPr="00ED3CFB">
        <w:t>, K. B. 2004.</w:t>
      </w:r>
      <w:proofErr w:type="gramEnd"/>
      <w:r w:rsidRPr="00ED3CFB">
        <w:t xml:space="preserve"> Weather influences on demography of the yellow-bellied marmot (</w:t>
      </w:r>
      <w:proofErr w:type="spellStart"/>
      <w:r w:rsidRPr="00ED3CFB">
        <w:rPr>
          <w:i/>
        </w:rPr>
        <w:t>Marmota</w:t>
      </w:r>
      <w:proofErr w:type="spellEnd"/>
      <w:r w:rsidRPr="00ED3CFB">
        <w:rPr>
          <w:i/>
        </w:rPr>
        <w:t xml:space="preserve"> </w:t>
      </w:r>
      <w:proofErr w:type="spellStart"/>
      <w:r w:rsidRPr="00ED3CFB">
        <w:rPr>
          <w:i/>
        </w:rPr>
        <w:t>flaviventris</w:t>
      </w:r>
      <w:proofErr w:type="spellEnd"/>
      <w:r w:rsidRPr="00ED3CFB">
        <w:t>). – J. Zool. 265: 779.</w:t>
      </w:r>
    </w:p>
    <w:p w14:paraId="7FAF2C5E" w14:textId="77777777" w:rsidR="007D0F9E" w:rsidRPr="00ED3CFB" w:rsidRDefault="007D0F9E" w:rsidP="007D0F9E">
      <w:pPr>
        <w:widowControl w:val="0"/>
        <w:spacing w:line="100" w:lineRule="atLeast"/>
        <w:ind w:left="720" w:hanging="720"/>
      </w:pPr>
    </w:p>
    <w:p w14:paraId="7E461E43" w14:textId="77777777" w:rsidR="007D0F9E" w:rsidRPr="00ED3CFB" w:rsidRDefault="007D0F9E" w:rsidP="007D0F9E">
      <w:pPr>
        <w:widowControl w:val="0"/>
        <w:spacing w:line="100" w:lineRule="atLeast"/>
        <w:ind w:left="720" w:hanging="720"/>
      </w:pPr>
      <w:proofErr w:type="spellStart"/>
      <w:r w:rsidRPr="00ED3CFB">
        <w:t>Scrucca</w:t>
      </w:r>
      <w:proofErr w:type="spellEnd"/>
      <w:r w:rsidRPr="00ED3CFB">
        <w:t xml:space="preserve">, L. 2004. </w:t>
      </w:r>
      <w:proofErr w:type="spellStart"/>
      <w:proofErr w:type="gramStart"/>
      <w:r w:rsidRPr="00ED3CFB">
        <w:t>qcc</w:t>
      </w:r>
      <w:proofErr w:type="spellEnd"/>
      <w:proofErr w:type="gramEnd"/>
      <w:r w:rsidRPr="00ED3CFB">
        <w:t>: an R package for quality control charting and statistical process control. - R News 4/1: 11–17.</w:t>
      </w:r>
    </w:p>
    <w:p w14:paraId="6303E3CD" w14:textId="77777777" w:rsidR="007D0F9E" w:rsidRPr="00ED3CFB" w:rsidRDefault="007D0F9E" w:rsidP="007D0F9E">
      <w:pPr>
        <w:widowControl w:val="0"/>
        <w:spacing w:line="100" w:lineRule="atLeast"/>
        <w:ind w:left="720" w:hanging="720"/>
      </w:pPr>
    </w:p>
    <w:p w14:paraId="27472C3B" w14:textId="77777777" w:rsidR="007D0F9E" w:rsidRPr="00ED3CFB" w:rsidRDefault="007D0F9E" w:rsidP="007D0F9E">
      <w:pPr>
        <w:widowControl w:val="0"/>
        <w:suppressLineNumbers/>
        <w:spacing w:after="240" w:line="100" w:lineRule="atLeast"/>
        <w:ind w:left="720" w:hanging="720"/>
        <w:rPr>
          <w:rFonts w:cs="Lohit Hindi"/>
        </w:rPr>
      </w:pPr>
      <w:r w:rsidRPr="00ED3CFB">
        <w:rPr>
          <w:rFonts w:cs="Lohit Hindi"/>
        </w:rPr>
        <w:t xml:space="preserve">Sheriff, M. J., Krebs, C. J. and </w:t>
      </w:r>
      <w:proofErr w:type="spellStart"/>
      <w:r w:rsidRPr="00ED3CFB">
        <w:rPr>
          <w:rFonts w:cs="Lohit Hindi"/>
        </w:rPr>
        <w:t>Boonstra</w:t>
      </w:r>
      <w:proofErr w:type="spellEnd"/>
      <w:r w:rsidRPr="00ED3CFB">
        <w:rPr>
          <w:rFonts w:cs="Lohit Hindi"/>
        </w:rPr>
        <w:t xml:space="preserve">, R. 2009. The sensitive hare: </w:t>
      </w:r>
      <w:proofErr w:type="spellStart"/>
      <w:r w:rsidRPr="00ED3CFB">
        <w:rPr>
          <w:rFonts w:cs="Lohit Hindi"/>
        </w:rPr>
        <w:t>sublethal</w:t>
      </w:r>
      <w:proofErr w:type="spellEnd"/>
      <w:r w:rsidRPr="00ED3CFB">
        <w:rPr>
          <w:rFonts w:cs="Lohit Hindi"/>
        </w:rPr>
        <w:t xml:space="preserve"> effects of predator stress on reproduction in snowshoe hares. </w:t>
      </w:r>
      <w:r>
        <w:rPr>
          <w:rFonts w:cs="Lohit Hindi"/>
        </w:rPr>
        <w:t>–</w:t>
      </w:r>
      <w:r w:rsidRPr="00ED3CFB">
        <w:rPr>
          <w:rFonts w:cs="Lohit Hindi"/>
        </w:rPr>
        <w:t xml:space="preserve"> </w:t>
      </w:r>
      <w:r>
        <w:rPr>
          <w:rFonts w:cs="Lohit Hindi"/>
        </w:rPr>
        <w:t>J. Anim. Ecol.</w:t>
      </w:r>
      <w:r w:rsidRPr="00ED3CFB">
        <w:rPr>
          <w:rFonts w:cs="Lohit Hindi"/>
        </w:rPr>
        <w:t xml:space="preserve"> 78: 1249–1258.</w:t>
      </w:r>
    </w:p>
    <w:p w14:paraId="70789777" w14:textId="77777777" w:rsidR="007D0F9E" w:rsidRPr="00ED3CFB" w:rsidRDefault="007D0F9E" w:rsidP="007D0F9E">
      <w:pPr>
        <w:widowControl w:val="0"/>
        <w:suppressLineNumbers/>
        <w:spacing w:after="240" w:line="100" w:lineRule="atLeast"/>
        <w:ind w:left="720" w:hanging="720"/>
        <w:rPr>
          <w:rFonts w:cs="Lohit Hindi"/>
        </w:rPr>
      </w:pPr>
      <w:proofErr w:type="gramStart"/>
      <w:r w:rsidRPr="00ED3CFB">
        <w:rPr>
          <w:rFonts w:cs="Lohit Hindi"/>
        </w:rPr>
        <w:t>Stephens, P. A., Frey-</w:t>
      </w:r>
      <w:proofErr w:type="spellStart"/>
      <w:r w:rsidRPr="00ED3CFB">
        <w:rPr>
          <w:rFonts w:cs="Lohit Hindi"/>
        </w:rPr>
        <w:t>Roos</w:t>
      </w:r>
      <w:proofErr w:type="spellEnd"/>
      <w:r w:rsidRPr="00ED3CFB">
        <w:rPr>
          <w:rFonts w:cs="Lohit Hindi"/>
        </w:rPr>
        <w:t>, F., Arnold, W. and Sutherland, W.</w:t>
      </w:r>
      <w:r>
        <w:rPr>
          <w:rFonts w:cs="Lohit Hindi"/>
        </w:rPr>
        <w:t xml:space="preserve"> J. 2002.</w:t>
      </w:r>
      <w:proofErr w:type="gramEnd"/>
      <w:r>
        <w:rPr>
          <w:rFonts w:cs="Lohit Hindi"/>
        </w:rPr>
        <w:t xml:space="preserve"> </w:t>
      </w:r>
      <w:proofErr w:type="gramStart"/>
      <w:r>
        <w:rPr>
          <w:rFonts w:cs="Lohit Hindi"/>
        </w:rPr>
        <w:t>Model complexity and population predictions.</w:t>
      </w:r>
      <w:proofErr w:type="gramEnd"/>
      <w:r>
        <w:rPr>
          <w:rFonts w:cs="Lohit Hindi"/>
        </w:rPr>
        <w:t xml:space="preserve"> </w:t>
      </w:r>
      <w:proofErr w:type="gramStart"/>
      <w:r>
        <w:rPr>
          <w:rFonts w:cs="Lohit Hindi"/>
        </w:rPr>
        <w:t>The alpine marmot as a case s</w:t>
      </w:r>
      <w:r w:rsidRPr="00ED3CFB">
        <w:rPr>
          <w:rFonts w:cs="Lohit Hindi"/>
        </w:rPr>
        <w:t>tudy.</w:t>
      </w:r>
      <w:proofErr w:type="gramEnd"/>
      <w:r w:rsidRPr="00ED3CFB">
        <w:rPr>
          <w:rFonts w:cs="Lohit Hindi"/>
        </w:rPr>
        <w:t xml:space="preserve"> - </w:t>
      </w:r>
      <w:r>
        <w:rPr>
          <w:rFonts w:cs="Lohit Hindi"/>
        </w:rPr>
        <w:t xml:space="preserve">J. Anim. Ecol. </w:t>
      </w:r>
      <w:r w:rsidRPr="00ED3CFB">
        <w:rPr>
          <w:rFonts w:cs="Lohit Hindi"/>
        </w:rPr>
        <w:t>71: 343–361.</w:t>
      </w:r>
    </w:p>
    <w:p w14:paraId="5D57ADBC" w14:textId="77777777" w:rsidR="007D0F9E" w:rsidRPr="00ED3CFB" w:rsidRDefault="007D0F9E" w:rsidP="007D0F9E">
      <w:pPr>
        <w:widowControl w:val="0"/>
        <w:spacing w:line="100" w:lineRule="atLeast"/>
        <w:ind w:left="720" w:hanging="720"/>
      </w:pPr>
      <w:proofErr w:type="spellStart"/>
      <w:r w:rsidRPr="00ED3CFB">
        <w:t>Wasser</w:t>
      </w:r>
      <w:proofErr w:type="spellEnd"/>
      <w:r w:rsidRPr="00ED3CFB">
        <w:t xml:space="preserve">, S. K. and </w:t>
      </w:r>
      <w:proofErr w:type="spellStart"/>
      <w:r w:rsidRPr="00ED3CFB">
        <w:t>Barash</w:t>
      </w:r>
      <w:proofErr w:type="spellEnd"/>
      <w:r w:rsidRPr="00ED3CFB">
        <w:t>, D. P. 1983. Reproductive suppression among female mammals: implications for biomedicine and sexual selection theory. – Quart. Rev. Biol. 58: 51</w:t>
      </w:r>
      <w:r>
        <w:t>3-</w:t>
      </w:r>
      <w:r w:rsidRPr="00ED3CFB">
        <w:t>538.</w:t>
      </w:r>
    </w:p>
    <w:p w14:paraId="07B0E8BB" w14:textId="77777777" w:rsidR="007D0F9E" w:rsidRPr="00ED3CFB" w:rsidRDefault="007D0F9E" w:rsidP="007D0F9E">
      <w:pPr>
        <w:widowControl w:val="0"/>
        <w:spacing w:line="100" w:lineRule="atLeast"/>
        <w:ind w:left="720" w:hanging="720"/>
      </w:pPr>
    </w:p>
    <w:p w14:paraId="28DD02D6" w14:textId="77777777" w:rsidR="007D0F9E" w:rsidRPr="00ED3CFB" w:rsidRDefault="007D0F9E" w:rsidP="007D0F9E">
      <w:pPr>
        <w:widowControl w:val="0"/>
        <w:suppressLineNumbers/>
        <w:spacing w:after="240" w:line="100" w:lineRule="atLeast"/>
        <w:ind w:left="720" w:hanging="720"/>
        <w:rPr>
          <w:rFonts w:cs="Lohit Hindi"/>
        </w:rPr>
      </w:pPr>
      <w:proofErr w:type="spellStart"/>
      <w:r w:rsidRPr="00ED3CFB">
        <w:rPr>
          <w:rFonts w:cs="Lohit Hindi"/>
        </w:rPr>
        <w:t>Weimerskirch</w:t>
      </w:r>
      <w:proofErr w:type="spellEnd"/>
      <w:r w:rsidRPr="00ED3CFB">
        <w:rPr>
          <w:rFonts w:cs="Lohit Hindi"/>
        </w:rPr>
        <w:t xml:space="preserve">, H., </w:t>
      </w:r>
      <w:proofErr w:type="spellStart"/>
      <w:r w:rsidRPr="00ED3CFB">
        <w:rPr>
          <w:rFonts w:cs="Lohit Hindi"/>
        </w:rPr>
        <w:t>Clobert</w:t>
      </w:r>
      <w:proofErr w:type="spellEnd"/>
      <w:r w:rsidRPr="00ED3CFB">
        <w:rPr>
          <w:rFonts w:cs="Lohit Hindi"/>
        </w:rPr>
        <w:t xml:space="preserve">, J. and </w:t>
      </w:r>
      <w:proofErr w:type="spellStart"/>
      <w:r w:rsidRPr="00ED3CFB">
        <w:rPr>
          <w:rFonts w:cs="Lohit Hindi"/>
        </w:rPr>
        <w:t>J</w:t>
      </w:r>
      <w:r>
        <w:rPr>
          <w:rFonts w:cs="Lohit Hindi"/>
        </w:rPr>
        <w:t>ouventin</w:t>
      </w:r>
      <w:proofErr w:type="spellEnd"/>
      <w:r>
        <w:rPr>
          <w:rFonts w:cs="Lohit Hindi"/>
        </w:rPr>
        <w:t xml:space="preserve">, P. 1987. </w:t>
      </w:r>
      <w:proofErr w:type="gramStart"/>
      <w:r>
        <w:rPr>
          <w:rFonts w:cs="Lohit Hindi"/>
        </w:rPr>
        <w:t>Survival in five southern albatrosses and its relationship with their life h</w:t>
      </w:r>
      <w:r w:rsidRPr="00ED3CFB">
        <w:rPr>
          <w:rFonts w:cs="Lohit Hindi"/>
        </w:rPr>
        <w:t>istory.</w:t>
      </w:r>
      <w:proofErr w:type="gramEnd"/>
      <w:r w:rsidRPr="00ED3CFB">
        <w:rPr>
          <w:rFonts w:cs="Lohit Hindi"/>
        </w:rPr>
        <w:t xml:space="preserve"> - </w:t>
      </w:r>
      <w:r>
        <w:rPr>
          <w:rFonts w:cs="Lohit Hindi"/>
        </w:rPr>
        <w:t xml:space="preserve">J. Anim. Ecol. </w:t>
      </w:r>
      <w:r w:rsidRPr="00ED3CFB">
        <w:rPr>
          <w:rFonts w:cs="Lohit Hindi"/>
        </w:rPr>
        <w:t>56: 1043–1055.</w:t>
      </w:r>
    </w:p>
    <w:p w14:paraId="41C2885C" w14:textId="77777777" w:rsidR="007D0F9E" w:rsidRPr="00ED3CFB" w:rsidRDefault="007D0F9E" w:rsidP="007D0F9E">
      <w:pPr>
        <w:widowControl w:val="0"/>
        <w:suppressLineNumbers/>
        <w:spacing w:after="240" w:line="100" w:lineRule="atLeast"/>
        <w:ind w:left="720" w:hanging="720"/>
        <w:rPr>
          <w:rFonts w:cs="Lohit Hindi"/>
        </w:rPr>
      </w:pPr>
      <w:proofErr w:type="spellStart"/>
      <w:proofErr w:type="gramStart"/>
      <w:r w:rsidRPr="00ED3CFB">
        <w:rPr>
          <w:rFonts w:cs="Lohit Hindi"/>
        </w:rPr>
        <w:t>Wingfield</w:t>
      </w:r>
      <w:proofErr w:type="spellEnd"/>
      <w:r w:rsidRPr="00ED3CFB">
        <w:rPr>
          <w:rFonts w:cs="Lohit Hindi"/>
        </w:rPr>
        <w:t xml:space="preserve">, J. C. and </w:t>
      </w:r>
      <w:proofErr w:type="spellStart"/>
      <w:r w:rsidRPr="00ED3CFB">
        <w:rPr>
          <w:rFonts w:cs="Lohit Hindi"/>
        </w:rPr>
        <w:t>Kita</w:t>
      </w:r>
      <w:r>
        <w:rPr>
          <w:rFonts w:cs="Lohit Hindi"/>
        </w:rPr>
        <w:t>ysky</w:t>
      </w:r>
      <w:proofErr w:type="spellEnd"/>
      <w:r>
        <w:rPr>
          <w:rFonts w:cs="Lohit Hindi"/>
        </w:rPr>
        <w:t>, A. S. 2002.</w:t>
      </w:r>
      <w:proofErr w:type="gramEnd"/>
      <w:r>
        <w:rPr>
          <w:rFonts w:cs="Lohit Hindi"/>
        </w:rPr>
        <w:t xml:space="preserve"> Endocrine responses to unpredictable environmental events: stress or anti-stress h</w:t>
      </w:r>
      <w:r w:rsidRPr="00ED3CFB">
        <w:rPr>
          <w:rFonts w:cs="Lohit Hindi"/>
        </w:rPr>
        <w:t xml:space="preserve">ormones? - </w:t>
      </w:r>
      <w:proofErr w:type="spellStart"/>
      <w:r w:rsidRPr="00ED3CFB">
        <w:rPr>
          <w:rFonts w:cs="Lohit Hindi"/>
        </w:rPr>
        <w:t>Integr</w:t>
      </w:r>
      <w:proofErr w:type="spellEnd"/>
      <w:r w:rsidRPr="00ED3CFB">
        <w:rPr>
          <w:rFonts w:cs="Lohit Hindi"/>
        </w:rPr>
        <w:t>. Comp. Biol. 42: 600–609.</w:t>
      </w:r>
    </w:p>
    <w:p w14:paraId="5EF6093C" w14:textId="77777777" w:rsidR="007D0F9E" w:rsidRPr="00ED3CFB" w:rsidRDefault="007D0F9E" w:rsidP="007D0F9E">
      <w:pPr>
        <w:widowControl w:val="0"/>
        <w:suppressLineNumbers/>
        <w:spacing w:after="240" w:line="100" w:lineRule="atLeast"/>
        <w:ind w:left="720" w:hanging="720"/>
        <w:rPr>
          <w:rFonts w:cs="Lohit Hindi"/>
        </w:rPr>
      </w:pPr>
      <w:proofErr w:type="gramStart"/>
      <w:r w:rsidRPr="00ED3CFB">
        <w:rPr>
          <w:rFonts w:cs="Lohit Hindi"/>
        </w:rPr>
        <w:t>Winkler, D. W., Dunn, P. O. and McCulloch, C. E. 2002.</w:t>
      </w:r>
      <w:proofErr w:type="gramEnd"/>
      <w:r w:rsidRPr="00ED3CFB">
        <w:rPr>
          <w:rFonts w:cs="Lohit Hindi"/>
        </w:rPr>
        <w:t xml:space="preserve"> </w:t>
      </w:r>
      <w:proofErr w:type="gramStart"/>
      <w:r w:rsidRPr="00ED3CFB">
        <w:rPr>
          <w:rFonts w:cs="Lohit Hindi"/>
        </w:rPr>
        <w:t>Predicting the effects of climate change on avian life-history traits.</w:t>
      </w:r>
      <w:proofErr w:type="gramEnd"/>
      <w:r w:rsidRPr="00ED3CFB">
        <w:rPr>
          <w:rFonts w:cs="Lohit Hindi"/>
        </w:rPr>
        <w:t xml:space="preserve"> - </w:t>
      </w:r>
      <w:r w:rsidRPr="00ED3CFB">
        <w:t>Proc. Natl. Acad. Sci. USA</w:t>
      </w:r>
      <w:r w:rsidRPr="00ED3CFB">
        <w:rPr>
          <w:rFonts w:cs="Lohit Hindi"/>
        </w:rPr>
        <w:t xml:space="preserve"> 99: 13595.</w:t>
      </w:r>
    </w:p>
    <w:p w14:paraId="1FCD3E81" w14:textId="77777777" w:rsidR="007D0F9E" w:rsidRPr="00ED3CFB" w:rsidRDefault="007D0F9E" w:rsidP="007D0F9E">
      <w:pPr>
        <w:widowControl w:val="0"/>
        <w:spacing w:line="100" w:lineRule="atLeast"/>
        <w:ind w:left="720" w:hanging="720"/>
      </w:pPr>
      <w:proofErr w:type="spellStart"/>
      <w:r w:rsidRPr="00ED3CFB">
        <w:lastRenderedPageBreak/>
        <w:t>Worton</w:t>
      </w:r>
      <w:proofErr w:type="spellEnd"/>
      <w:r w:rsidRPr="00ED3CFB">
        <w:t>, B. J. 1989. Kernel methods for estimating the utilization distribution in home range studies. - Ecology 70: 164-168.</w:t>
      </w:r>
    </w:p>
    <w:p w14:paraId="39633BBA" w14:textId="77777777" w:rsidR="009355C7" w:rsidRDefault="009355C7" w:rsidP="009355C7">
      <w:pPr>
        <w:spacing w:line="100" w:lineRule="atLeast"/>
        <w:ind w:left="720" w:hanging="720"/>
      </w:pPr>
    </w:p>
    <w:p w14:paraId="233D37B4" w14:textId="77777777" w:rsidR="009355C7" w:rsidRDefault="009355C7">
      <w:pPr>
        <w:pageBreakBefore/>
      </w:pPr>
      <w:proofErr w:type="gramStart"/>
      <w:r>
        <w:lastRenderedPageBreak/>
        <w:t>Table 1.</w:t>
      </w:r>
      <w:proofErr w:type="gramEnd"/>
      <w:r>
        <w:t xml:space="preserve"> Abbreviations and descriptions of covariates used in analyses of female hoary marmot reproductive parameters. </w:t>
      </w:r>
    </w:p>
    <w:p w14:paraId="7E8EC60F" w14:textId="77777777" w:rsidR="009355C7" w:rsidRDefault="009355C7"/>
    <w:tbl>
      <w:tblPr>
        <w:tblW w:w="0" w:type="auto"/>
        <w:tblLayout w:type="fixed"/>
        <w:tblCellMar>
          <w:left w:w="0" w:type="dxa"/>
          <w:right w:w="0" w:type="dxa"/>
        </w:tblCellMar>
        <w:tblLook w:val="0000" w:firstRow="0" w:lastRow="0" w:firstColumn="0" w:lastColumn="0" w:noHBand="0" w:noVBand="0"/>
      </w:tblPr>
      <w:tblGrid>
        <w:gridCol w:w="1467"/>
        <w:gridCol w:w="4665"/>
      </w:tblGrid>
      <w:tr w:rsidR="009355C7" w14:paraId="373B1486" w14:textId="77777777">
        <w:trPr>
          <w:trHeight w:val="300"/>
        </w:trPr>
        <w:tc>
          <w:tcPr>
            <w:tcW w:w="1467" w:type="dxa"/>
            <w:tcBorders>
              <w:top w:val="single" w:sz="4" w:space="0" w:color="000000"/>
              <w:bottom w:val="single" w:sz="4" w:space="0" w:color="000000"/>
            </w:tcBorders>
            <w:shd w:val="clear" w:color="auto" w:fill="FFFFFF"/>
          </w:tcPr>
          <w:p w14:paraId="46512D34" w14:textId="77777777" w:rsidR="009355C7" w:rsidRDefault="009355C7">
            <w:pPr>
              <w:rPr>
                <w:b/>
              </w:rPr>
            </w:pPr>
            <w:r>
              <w:rPr>
                <w:b/>
              </w:rPr>
              <w:t>Abbreviation</w:t>
            </w:r>
          </w:p>
        </w:tc>
        <w:tc>
          <w:tcPr>
            <w:tcW w:w="4665" w:type="dxa"/>
            <w:tcBorders>
              <w:top w:val="single" w:sz="4" w:space="0" w:color="000000"/>
              <w:bottom w:val="single" w:sz="4" w:space="0" w:color="000000"/>
            </w:tcBorders>
            <w:shd w:val="clear" w:color="auto" w:fill="FFFFFF"/>
            <w:vAlign w:val="bottom"/>
          </w:tcPr>
          <w:p w14:paraId="333FF231" w14:textId="77777777" w:rsidR="009355C7" w:rsidRDefault="009355C7">
            <w:r>
              <w:rPr>
                <w:b/>
              </w:rPr>
              <w:t>Definition and Description</w:t>
            </w:r>
          </w:p>
        </w:tc>
      </w:tr>
      <w:tr w:rsidR="009355C7" w14:paraId="56C7228A" w14:textId="77777777">
        <w:trPr>
          <w:trHeight w:val="600"/>
        </w:trPr>
        <w:tc>
          <w:tcPr>
            <w:tcW w:w="1467" w:type="dxa"/>
            <w:shd w:val="clear" w:color="auto" w:fill="FFFFFF"/>
          </w:tcPr>
          <w:p w14:paraId="708F2089" w14:textId="77777777" w:rsidR="009355C7" w:rsidRDefault="009355C7">
            <w:r>
              <w:t>PDO</w:t>
            </w:r>
          </w:p>
        </w:tc>
        <w:tc>
          <w:tcPr>
            <w:tcW w:w="4665" w:type="dxa"/>
            <w:shd w:val="clear" w:color="auto" w:fill="FFFFFF"/>
          </w:tcPr>
          <w:p w14:paraId="3DE00907" w14:textId="77777777" w:rsidR="009355C7" w:rsidRDefault="009355C7">
            <w:r>
              <w:t>Mean Pacific Decadal Oscillation from November to May  during the most recent winter</w:t>
            </w:r>
          </w:p>
        </w:tc>
      </w:tr>
      <w:tr w:rsidR="009355C7" w14:paraId="768EAC96" w14:textId="77777777">
        <w:trPr>
          <w:trHeight w:val="600"/>
        </w:trPr>
        <w:tc>
          <w:tcPr>
            <w:tcW w:w="1467" w:type="dxa"/>
            <w:shd w:val="clear" w:color="auto" w:fill="FFFFFF"/>
          </w:tcPr>
          <w:p w14:paraId="3084EF89" w14:textId="77777777" w:rsidR="009355C7" w:rsidRDefault="009355C7">
            <w:proofErr w:type="spellStart"/>
            <w:r>
              <w:t>PDO</w:t>
            </w:r>
            <w:r>
              <w:rPr>
                <w:vertAlign w:val="subscript"/>
              </w:rPr>
              <w:t>lag</w:t>
            </w:r>
            <w:proofErr w:type="spellEnd"/>
          </w:p>
        </w:tc>
        <w:tc>
          <w:tcPr>
            <w:tcW w:w="4665" w:type="dxa"/>
            <w:shd w:val="clear" w:color="auto" w:fill="FFFFFF"/>
          </w:tcPr>
          <w:p w14:paraId="76E627B8" w14:textId="77777777" w:rsidR="009355C7" w:rsidRDefault="009355C7">
            <w:r>
              <w:t>Mean Pacific Decadal Oscillation from November to May during the previous year</w:t>
            </w:r>
          </w:p>
        </w:tc>
      </w:tr>
      <w:tr w:rsidR="009355C7" w14:paraId="5EE23276" w14:textId="77777777">
        <w:trPr>
          <w:trHeight w:val="300"/>
        </w:trPr>
        <w:tc>
          <w:tcPr>
            <w:tcW w:w="1467" w:type="dxa"/>
            <w:shd w:val="clear" w:color="auto" w:fill="FFFFFF"/>
          </w:tcPr>
          <w:p w14:paraId="5A7FE22A" w14:textId="77777777" w:rsidR="009355C7" w:rsidRDefault="009355C7">
            <w:r>
              <w:t>Age</w:t>
            </w:r>
          </w:p>
        </w:tc>
        <w:tc>
          <w:tcPr>
            <w:tcW w:w="4665" w:type="dxa"/>
            <w:shd w:val="clear" w:color="auto" w:fill="FFFFFF"/>
          </w:tcPr>
          <w:p w14:paraId="77143FD8" w14:textId="77777777" w:rsidR="009355C7" w:rsidRDefault="009355C7">
            <w:r>
              <w:t>Two age classes: Young (3 years old), and Old (&gt;3 years)</w:t>
            </w:r>
          </w:p>
        </w:tc>
      </w:tr>
      <w:tr w:rsidR="009355C7" w14:paraId="07274ACD" w14:textId="77777777">
        <w:trPr>
          <w:trHeight w:val="300"/>
        </w:trPr>
        <w:tc>
          <w:tcPr>
            <w:tcW w:w="1467" w:type="dxa"/>
            <w:shd w:val="clear" w:color="auto" w:fill="FFFFFF"/>
          </w:tcPr>
          <w:p w14:paraId="26B6AF69" w14:textId="77777777" w:rsidR="009355C7" w:rsidRDefault="009355C7">
            <w:r>
              <w:t>Mother Age</w:t>
            </w:r>
          </w:p>
        </w:tc>
        <w:tc>
          <w:tcPr>
            <w:tcW w:w="4665" w:type="dxa"/>
            <w:shd w:val="clear" w:color="auto" w:fill="FFFFFF"/>
          </w:tcPr>
          <w:p w14:paraId="4974211E" w14:textId="77777777" w:rsidR="009355C7" w:rsidRDefault="009355C7">
            <w:r>
              <w:t>Minimum mother age in years, for litter size analysis only</w:t>
            </w:r>
          </w:p>
        </w:tc>
      </w:tr>
      <w:tr w:rsidR="009355C7" w14:paraId="5A2ED2B0" w14:textId="77777777">
        <w:trPr>
          <w:trHeight w:val="300"/>
        </w:trPr>
        <w:tc>
          <w:tcPr>
            <w:tcW w:w="1467" w:type="dxa"/>
            <w:shd w:val="clear" w:color="auto" w:fill="FFFFFF"/>
          </w:tcPr>
          <w:p w14:paraId="096D5838" w14:textId="77777777" w:rsidR="009355C7" w:rsidRDefault="009355C7">
            <w:r>
              <w:t>Group</w:t>
            </w:r>
          </w:p>
        </w:tc>
        <w:tc>
          <w:tcPr>
            <w:tcW w:w="4665" w:type="dxa"/>
            <w:shd w:val="clear" w:color="auto" w:fill="FFFFFF"/>
          </w:tcPr>
          <w:p w14:paraId="42DE033B" w14:textId="77777777" w:rsidR="009355C7" w:rsidRDefault="009355C7">
            <w:r>
              <w:t>Total number of non-juvenile marmots within social group</w:t>
            </w:r>
          </w:p>
        </w:tc>
      </w:tr>
      <w:tr w:rsidR="009355C7" w14:paraId="49AF6127" w14:textId="77777777">
        <w:trPr>
          <w:trHeight w:val="600"/>
        </w:trPr>
        <w:tc>
          <w:tcPr>
            <w:tcW w:w="1467" w:type="dxa"/>
            <w:shd w:val="clear" w:color="auto" w:fill="FFFFFF"/>
          </w:tcPr>
          <w:p w14:paraId="51558520" w14:textId="77777777" w:rsidR="009355C7" w:rsidRDefault="009355C7">
            <w:r>
              <w:t xml:space="preserve">Ad. </w:t>
            </w:r>
            <w:proofErr w:type="spellStart"/>
            <w:r>
              <w:t>fems</w:t>
            </w:r>
            <w:proofErr w:type="spellEnd"/>
          </w:p>
        </w:tc>
        <w:tc>
          <w:tcPr>
            <w:tcW w:w="4665" w:type="dxa"/>
            <w:shd w:val="clear" w:color="auto" w:fill="FFFFFF"/>
          </w:tcPr>
          <w:p w14:paraId="58E0F8A3" w14:textId="77777777" w:rsidR="009355C7" w:rsidRDefault="009355C7">
            <w:r>
              <w:t>Number of reproductively mature adult females in a social group</w:t>
            </w:r>
          </w:p>
        </w:tc>
      </w:tr>
      <w:tr w:rsidR="009355C7" w14:paraId="25BFCC8E" w14:textId="77777777">
        <w:trPr>
          <w:trHeight w:val="300"/>
        </w:trPr>
        <w:tc>
          <w:tcPr>
            <w:tcW w:w="1467" w:type="dxa"/>
            <w:shd w:val="clear" w:color="auto" w:fill="FFFFFF"/>
          </w:tcPr>
          <w:p w14:paraId="682EEA22" w14:textId="77777777" w:rsidR="009355C7" w:rsidRDefault="009355C7">
            <w:r>
              <w:t>Time</w:t>
            </w:r>
          </w:p>
        </w:tc>
        <w:tc>
          <w:tcPr>
            <w:tcW w:w="4665" w:type="dxa"/>
            <w:shd w:val="clear" w:color="auto" w:fill="FFFFFF"/>
          </w:tcPr>
          <w:p w14:paraId="6AD919CD" w14:textId="77777777" w:rsidR="009355C7" w:rsidRDefault="009355C7">
            <w:r>
              <w:t xml:space="preserve">Random annual variation </w:t>
            </w:r>
          </w:p>
        </w:tc>
      </w:tr>
      <w:tr w:rsidR="009355C7" w14:paraId="5BB9B4F0" w14:textId="77777777">
        <w:trPr>
          <w:trHeight w:val="300"/>
        </w:trPr>
        <w:tc>
          <w:tcPr>
            <w:tcW w:w="1467" w:type="dxa"/>
            <w:shd w:val="clear" w:color="auto" w:fill="FFFFFF"/>
          </w:tcPr>
          <w:p w14:paraId="4A171976" w14:textId="77777777" w:rsidR="009355C7" w:rsidRDefault="009355C7">
            <w:proofErr w:type="spellStart"/>
            <w:r>
              <w:t>Brd</w:t>
            </w:r>
            <w:proofErr w:type="spellEnd"/>
            <w:r>
              <w:t>. State</w:t>
            </w:r>
          </w:p>
        </w:tc>
        <w:tc>
          <w:tcPr>
            <w:tcW w:w="4665" w:type="dxa"/>
            <w:shd w:val="clear" w:color="auto" w:fill="FFFFFF"/>
          </w:tcPr>
          <w:p w14:paraId="73388E58" w14:textId="77777777" w:rsidR="009355C7" w:rsidRDefault="009355C7">
            <w:r>
              <w:t xml:space="preserve">Factor variable. 1 = females that bred during the previous year, 0 = previous </w:t>
            </w:r>
            <w:proofErr w:type="spellStart"/>
            <w:r>
              <w:t>nonbreeders</w:t>
            </w:r>
            <w:proofErr w:type="spellEnd"/>
          </w:p>
        </w:tc>
      </w:tr>
      <w:tr w:rsidR="009355C7" w14:paraId="219AD5B7" w14:textId="77777777">
        <w:trPr>
          <w:trHeight w:val="300"/>
        </w:trPr>
        <w:tc>
          <w:tcPr>
            <w:tcW w:w="1467" w:type="dxa"/>
            <w:shd w:val="clear" w:color="auto" w:fill="FFFFFF"/>
          </w:tcPr>
          <w:p w14:paraId="7E5F3579" w14:textId="77777777" w:rsidR="009355C7" w:rsidRDefault="009355C7">
            <w:r>
              <w:t>1</w:t>
            </w:r>
          </w:p>
        </w:tc>
        <w:tc>
          <w:tcPr>
            <w:tcW w:w="4665" w:type="dxa"/>
            <w:shd w:val="clear" w:color="auto" w:fill="FFFFFF"/>
          </w:tcPr>
          <w:p w14:paraId="25935E71" w14:textId="77777777" w:rsidR="009355C7" w:rsidRDefault="009355C7">
            <w:r>
              <w:t>No time variation (constant)</w:t>
            </w:r>
          </w:p>
        </w:tc>
      </w:tr>
      <w:tr w:rsidR="009355C7" w14:paraId="4A98C1EC" w14:textId="77777777">
        <w:trPr>
          <w:trHeight w:val="600"/>
        </w:trPr>
        <w:tc>
          <w:tcPr>
            <w:tcW w:w="1467" w:type="dxa"/>
            <w:shd w:val="clear" w:color="auto" w:fill="FFFFFF"/>
          </w:tcPr>
          <w:p w14:paraId="4C059DF4" w14:textId="77777777" w:rsidR="009355C7" w:rsidRDefault="009355C7">
            <w:r>
              <w:t>Young</w:t>
            </w:r>
          </w:p>
        </w:tc>
        <w:tc>
          <w:tcPr>
            <w:tcW w:w="4665" w:type="dxa"/>
            <w:shd w:val="clear" w:color="auto" w:fill="FFFFFF"/>
          </w:tcPr>
          <w:p w14:paraId="0E8976A1" w14:textId="77777777" w:rsidR="009355C7" w:rsidRDefault="009355C7">
            <w:r>
              <w:t>Denotes a linear covariate applied only to female marmots 3 years of age.</w:t>
            </w:r>
          </w:p>
        </w:tc>
      </w:tr>
      <w:tr w:rsidR="009355C7" w14:paraId="1745689E" w14:textId="77777777">
        <w:trPr>
          <w:trHeight w:val="300"/>
        </w:trPr>
        <w:tc>
          <w:tcPr>
            <w:tcW w:w="1467" w:type="dxa"/>
            <w:shd w:val="clear" w:color="auto" w:fill="FFFFFF"/>
          </w:tcPr>
          <w:p w14:paraId="615466DB" w14:textId="77777777" w:rsidR="009355C7" w:rsidRDefault="009355C7">
            <w:r>
              <w:t>Old</w:t>
            </w:r>
          </w:p>
        </w:tc>
        <w:tc>
          <w:tcPr>
            <w:tcW w:w="4665" w:type="dxa"/>
            <w:shd w:val="clear" w:color="auto" w:fill="FFFFFF"/>
          </w:tcPr>
          <w:p w14:paraId="7DFABD84" w14:textId="77777777" w:rsidR="009355C7" w:rsidRDefault="009355C7">
            <w:r>
              <w:t>Covariates applied only to female marmots &gt;3 years old.</w:t>
            </w:r>
          </w:p>
        </w:tc>
      </w:tr>
      <w:tr w:rsidR="009355C7" w14:paraId="25326429" w14:textId="77777777">
        <w:trPr>
          <w:trHeight w:val="300"/>
        </w:trPr>
        <w:tc>
          <w:tcPr>
            <w:tcW w:w="1467" w:type="dxa"/>
            <w:tcBorders>
              <w:bottom w:val="single" w:sz="4" w:space="0" w:color="000000"/>
            </w:tcBorders>
            <w:shd w:val="clear" w:color="auto" w:fill="FFFFFF"/>
          </w:tcPr>
          <w:p w14:paraId="5CCB2C05" w14:textId="77777777" w:rsidR="009355C7" w:rsidRDefault="009355C7">
            <w:r>
              <w:t> </w:t>
            </w:r>
          </w:p>
        </w:tc>
        <w:tc>
          <w:tcPr>
            <w:tcW w:w="4665" w:type="dxa"/>
            <w:tcBorders>
              <w:bottom w:val="single" w:sz="4" w:space="0" w:color="000000"/>
            </w:tcBorders>
            <w:shd w:val="clear" w:color="auto" w:fill="FFFFFF"/>
          </w:tcPr>
          <w:p w14:paraId="7964A59D" w14:textId="77777777" w:rsidR="009355C7" w:rsidRDefault="009355C7">
            <w:r>
              <w:t> </w:t>
            </w:r>
          </w:p>
        </w:tc>
      </w:tr>
    </w:tbl>
    <w:p w14:paraId="19393092" w14:textId="77777777" w:rsidR="009355C7" w:rsidRDefault="009355C7"/>
    <w:p w14:paraId="420902F1" w14:textId="77777777" w:rsidR="009355C7" w:rsidRDefault="009355C7"/>
    <w:p w14:paraId="6EC2B057" w14:textId="77777777" w:rsidR="009355C7" w:rsidRDefault="009355C7"/>
    <w:p w14:paraId="3DF3DCD0" w14:textId="77777777" w:rsidR="009355C7" w:rsidRDefault="009355C7"/>
    <w:p w14:paraId="4F6ADDEB" w14:textId="77777777" w:rsidR="009355C7" w:rsidRDefault="009355C7"/>
    <w:p w14:paraId="51D06FB7" w14:textId="77777777" w:rsidR="009355C7" w:rsidRDefault="009355C7"/>
    <w:p w14:paraId="445A962C" w14:textId="77777777" w:rsidR="009355C7" w:rsidRDefault="009355C7"/>
    <w:p w14:paraId="623FF5E4" w14:textId="77777777" w:rsidR="009355C7" w:rsidRDefault="009355C7">
      <w:pPr>
        <w:sectPr w:rsidR="009355C7">
          <w:pgSz w:w="12240" w:h="15840"/>
          <w:pgMar w:top="1693" w:right="1134" w:bottom="1134" w:left="1134" w:header="720" w:footer="720" w:gutter="0"/>
          <w:lnNumType w:countBy="1" w:distance="283" w:restart="continuous"/>
          <w:cols w:space="720"/>
          <w:docGrid w:linePitch="360"/>
        </w:sectPr>
      </w:pPr>
    </w:p>
    <w:p w14:paraId="4AC918D9" w14:textId="77777777" w:rsidR="009355C7" w:rsidRDefault="009355C7">
      <w:pPr>
        <w:pageBreakBefore/>
      </w:pPr>
      <w:proofErr w:type="gramStart"/>
      <w:r>
        <w:lastRenderedPageBreak/>
        <w:t>Table 2.</w:t>
      </w:r>
      <w:proofErr w:type="gramEnd"/>
      <w:r>
        <w:t xml:space="preserve"> Results of Poisson </w:t>
      </w:r>
      <w:proofErr w:type="spellStart"/>
      <w:r>
        <w:t>overdispersion</w:t>
      </w:r>
      <w:proofErr w:type="spellEnd"/>
      <w:r>
        <w:t xml:space="preserve"> tests (</w:t>
      </w:r>
      <w:proofErr w:type="spellStart"/>
      <w:r>
        <w:t>Scrucca</w:t>
      </w:r>
      <w:proofErr w:type="spellEnd"/>
      <w:r>
        <w:t xml:space="preserve">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w:t>
      </w:r>
      <w:proofErr w:type="spellStart"/>
      <w:r>
        <w:t>overdispersion</w:t>
      </w:r>
      <w:proofErr w:type="spellEnd"/>
      <w:r>
        <w:t xml:space="preserve"> was present, negative binomial generalized linear models were used. If Poisson </w:t>
      </w:r>
      <w:proofErr w:type="spellStart"/>
      <w:r>
        <w:t>underdispersion</w:t>
      </w:r>
      <w:proofErr w:type="spellEnd"/>
      <w:r>
        <w:t xml:space="preserve"> was detected, Gaussian errors were used. Random effects (Social Group affiliation, and interaction between Social Group interaction and fixed effect slopes) were included based on likelihood-ratio tests using the most parameterized fixed-effect model in each model set (</w:t>
      </w:r>
      <w:proofErr w:type="spellStart"/>
      <w:r>
        <w:t>Bolker</w:t>
      </w:r>
      <w:proofErr w:type="spellEnd"/>
      <w:r>
        <w:t xml:space="preserve"> et al. 2009).</w:t>
      </w:r>
    </w:p>
    <w:p w14:paraId="1FCB21B0" w14:textId="77777777" w:rsidR="009355C7" w:rsidRDefault="009355C7"/>
    <w:tbl>
      <w:tblPr>
        <w:tblW w:w="0" w:type="auto"/>
        <w:tblInd w:w="93" w:type="dxa"/>
        <w:tblLayout w:type="fixed"/>
        <w:tblLook w:val="0000" w:firstRow="0" w:lastRow="0" w:firstColumn="0" w:lastColumn="0" w:noHBand="0" w:noVBand="0"/>
      </w:tblPr>
      <w:tblGrid>
        <w:gridCol w:w="2299"/>
        <w:gridCol w:w="1843"/>
        <w:gridCol w:w="1349"/>
        <w:gridCol w:w="789"/>
        <w:gridCol w:w="2699"/>
        <w:gridCol w:w="2735"/>
      </w:tblGrid>
      <w:tr w:rsidR="009355C7" w14:paraId="1D986937" w14:textId="77777777">
        <w:trPr>
          <w:trHeight w:val="255"/>
        </w:trPr>
        <w:tc>
          <w:tcPr>
            <w:tcW w:w="2299" w:type="dxa"/>
            <w:tcBorders>
              <w:top w:val="single" w:sz="4" w:space="0" w:color="000000"/>
              <w:bottom w:val="single" w:sz="4" w:space="0" w:color="000000"/>
            </w:tcBorders>
            <w:shd w:val="clear" w:color="auto" w:fill="FFFFFF"/>
            <w:vAlign w:val="bottom"/>
          </w:tcPr>
          <w:p w14:paraId="4ED82325" w14:textId="77777777" w:rsidR="009355C7" w:rsidRDefault="009355C7">
            <w:pPr>
              <w:jc w:val="center"/>
              <w:rPr>
                <w:b/>
                <w:bCs/>
              </w:rPr>
            </w:pPr>
            <w:r>
              <w:rPr>
                <w:b/>
                <w:bCs/>
              </w:rPr>
              <w:t>Response Variable</w:t>
            </w:r>
          </w:p>
        </w:tc>
        <w:tc>
          <w:tcPr>
            <w:tcW w:w="1843" w:type="dxa"/>
            <w:tcBorders>
              <w:top w:val="single" w:sz="4" w:space="0" w:color="000000"/>
              <w:bottom w:val="single" w:sz="4" w:space="0" w:color="000000"/>
            </w:tcBorders>
            <w:shd w:val="clear" w:color="auto" w:fill="FFFFFF"/>
            <w:vAlign w:val="bottom"/>
          </w:tcPr>
          <w:p w14:paraId="54C923D9" w14:textId="77777777" w:rsidR="009355C7" w:rsidRDefault="009355C7">
            <w:pPr>
              <w:jc w:val="center"/>
              <w:rPr>
                <w:b/>
                <w:bCs/>
              </w:rPr>
            </w:pPr>
            <w:r>
              <w:rPr>
                <w:b/>
                <w:bCs/>
              </w:rPr>
              <w:t>Obs./</w:t>
            </w:r>
            <w:proofErr w:type="spellStart"/>
            <w:r>
              <w:rPr>
                <w:b/>
                <w:bCs/>
              </w:rPr>
              <w:t>Theor.Var</w:t>
            </w:r>
            <w:proofErr w:type="spellEnd"/>
          </w:p>
        </w:tc>
        <w:tc>
          <w:tcPr>
            <w:tcW w:w="1349" w:type="dxa"/>
            <w:tcBorders>
              <w:top w:val="single" w:sz="4" w:space="0" w:color="000000"/>
              <w:bottom w:val="single" w:sz="4" w:space="0" w:color="000000"/>
            </w:tcBorders>
            <w:shd w:val="clear" w:color="auto" w:fill="FFFFFF"/>
            <w:vAlign w:val="bottom"/>
          </w:tcPr>
          <w:p w14:paraId="43711AC4" w14:textId="77777777" w:rsidR="009355C7" w:rsidRDefault="009355C7">
            <w:pPr>
              <w:jc w:val="center"/>
              <w:rPr>
                <w:b/>
                <w:bCs/>
              </w:rPr>
            </w:pPr>
            <w:r>
              <w:rPr>
                <w:b/>
                <w:bCs/>
              </w:rPr>
              <w:t>Statistic</w:t>
            </w:r>
          </w:p>
        </w:tc>
        <w:tc>
          <w:tcPr>
            <w:tcW w:w="789" w:type="dxa"/>
            <w:tcBorders>
              <w:top w:val="single" w:sz="4" w:space="0" w:color="000000"/>
              <w:bottom w:val="single" w:sz="4" w:space="0" w:color="000000"/>
            </w:tcBorders>
            <w:shd w:val="clear" w:color="auto" w:fill="FFFFFF"/>
            <w:vAlign w:val="bottom"/>
          </w:tcPr>
          <w:p w14:paraId="651CB05C" w14:textId="77777777" w:rsidR="009355C7" w:rsidRDefault="009355C7">
            <w:pPr>
              <w:jc w:val="center"/>
              <w:rPr>
                <w:b/>
                <w:bCs/>
              </w:rPr>
            </w:pPr>
            <w:r>
              <w:rPr>
                <w:b/>
                <w:bCs/>
              </w:rPr>
              <w:t>p</w:t>
            </w:r>
          </w:p>
        </w:tc>
        <w:tc>
          <w:tcPr>
            <w:tcW w:w="2699" w:type="dxa"/>
            <w:tcBorders>
              <w:top w:val="single" w:sz="4" w:space="0" w:color="000000"/>
              <w:bottom w:val="single" w:sz="4" w:space="0" w:color="000000"/>
            </w:tcBorders>
            <w:shd w:val="clear" w:color="auto" w:fill="FFFFFF"/>
            <w:vAlign w:val="bottom"/>
          </w:tcPr>
          <w:p w14:paraId="18A6AD7D" w14:textId="77777777" w:rsidR="009355C7" w:rsidRDefault="009355C7">
            <w:pPr>
              <w:jc w:val="center"/>
              <w:rPr>
                <w:b/>
                <w:bCs/>
              </w:rPr>
            </w:pPr>
            <w:r>
              <w:rPr>
                <w:b/>
                <w:bCs/>
              </w:rPr>
              <w:t>Error Distribution</w:t>
            </w:r>
          </w:p>
        </w:tc>
        <w:tc>
          <w:tcPr>
            <w:tcW w:w="2735" w:type="dxa"/>
            <w:tcBorders>
              <w:top w:val="single" w:sz="4" w:space="0" w:color="000000"/>
              <w:bottom w:val="single" w:sz="4" w:space="0" w:color="000000"/>
            </w:tcBorders>
            <w:shd w:val="clear" w:color="auto" w:fill="FFFFFF"/>
            <w:vAlign w:val="bottom"/>
          </w:tcPr>
          <w:p w14:paraId="4D5A55BF" w14:textId="77777777" w:rsidR="009355C7" w:rsidRDefault="009355C7">
            <w:pPr>
              <w:jc w:val="center"/>
            </w:pPr>
            <w:r>
              <w:rPr>
                <w:b/>
                <w:bCs/>
              </w:rPr>
              <w:t>Random Effects</w:t>
            </w:r>
          </w:p>
        </w:tc>
      </w:tr>
      <w:tr w:rsidR="009355C7" w14:paraId="5D276A27" w14:textId="77777777">
        <w:trPr>
          <w:trHeight w:val="260"/>
        </w:trPr>
        <w:tc>
          <w:tcPr>
            <w:tcW w:w="2299" w:type="dxa"/>
            <w:shd w:val="clear" w:color="auto" w:fill="FFFFFF"/>
            <w:vAlign w:val="bottom"/>
          </w:tcPr>
          <w:p w14:paraId="7B091AE0" w14:textId="77777777" w:rsidR="009355C7" w:rsidRDefault="009355C7">
            <w:pPr>
              <w:jc w:val="center"/>
            </w:pPr>
            <w:r>
              <w:t>Juveniles/Group</w:t>
            </w:r>
          </w:p>
        </w:tc>
        <w:tc>
          <w:tcPr>
            <w:tcW w:w="1843" w:type="dxa"/>
            <w:shd w:val="clear" w:color="auto" w:fill="FFFFFF"/>
            <w:vAlign w:val="bottom"/>
          </w:tcPr>
          <w:p w14:paraId="2758F08C" w14:textId="77777777" w:rsidR="009355C7" w:rsidRDefault="009355C7">
            <w:pPr>
              <w:jc w:val="center"/>
            </w:pPr>
            <w:r>
              <w:t>3.83</w:t>
            </w:r>
          </w:p>
        </w:tc>
        <w:tc>
          <w:tcPr>
            <w:tcW w:w="1349" w:type="dxa"/>
            <w:shd w:val="clear" w:color="auto" w:fill="FFFFFF"/>
            <w:vAlign w:val="bottom"/>
          </w:tcPr>
          <w:p w14:paraId="1A10F75D" w14:textId="77777777" w:rsidR="009355C7" w:rsidRDefault="009355C7">
            <w:pPr>
              <w:jc w:val="center"/>
            </w:pPr>
            <w:r>
              <w:t>248.64</w:t>
            </w:r>
          </w:p>
        </w:tc>
        <w:tc>
          <w:tcPr>
            <w:tcW w:w="789" w:type="dxa"/>
            <w:shd w:val="clear" w:color="auto" w:fill="FFFFFF"/>
            <w:vAlign w:val="bottom"/>
          </w:tcPr>
          <w:p w14:paraId="17EE6FB9" w14:textId="77777777" w:rsidR="009355C7" w:rsidRDefault="009355C7">
            <w:pPr>
              <w:jc w:val="center"/>
            </w:pPr>
            <w:r>
              <w:t>0.00</w:t>
            </w:r>
          </w:p>
        </w:tc>
        <w:tc>
          <w:tcPr>
            <w:tcW w:w="2699" w:type="dxa"/>
            <w:shd w:val="clear" w:color="auto" w:fill="FFFFFF"/>
            <w:vAlign w:val="bottom"/>
          </w:tcPr>
          <w:p w14:paraId="3140C3E1" w14:textId="77777777" w:rsidR="009355C7" w:rsidRDefault="009355C7">
            <w:pPr>
              <w:jc w:val="center"/>
            </w:pPr>
            <w:r>
              <w:t>Neg. Binomial</w:t>
            </w:r>
          </w:p>
        </w:tc>
        <w:tc>
          <w:tcPr>
            <w:tcW w:w="2735" w:type="dxa"/>
            <w:shd w:val="clear" w:color="auto" w:fill="FFFFFF"/>
            <w:vAlign w:val="bottom"/>
          </w:tcPr>
          <w:p w14:paraId="1CA76702" w14:textId="77777777" w:rsidR="009355C7" w:rsidRDefault="009355C7">
            <w:pPr>
              <w:jc w:val="center"/>
            </w:pPr>
            <w:r>
              <w:t>None</w:t>
            </w:r>
          </w:p>
        </w:tc>
      </w:tr>
      <w:tr w:rsidR="009355C7" w14:paraId="02487EF6" w14:textId="77777777">
        <w:trPr>
          <w:trHeight w:val="255"/>
        </w:trPr>
        <w:tc>
          <w:tcPr>
            <w:tcW w:w="2299" w:type="dxa"/>
            <w:shd w:val="clear" w:color="auto" w:fill="FFFFFF"/>
            <w:vAlign w:val="center"/>
          </w:tcPr>
          <w:p w14:paraId="4C203D5F" w14:textId="77777777" w:rsidR="009355C7" w:rsidRDefault="009355C7">
            <w:pPr>
              <w:jc w:val="center"/>
            </w:pPr>
            <w:r>
              <w:t>Juveniles/Female</w:t>
            </w:r>
          </w:p>
        </w:tc>
        <w:tc>
          <w:tcPr>
            <w:tcW w:w="1843" w:type="dxa"/>
            <w:shd w:val="clear" w:color="auto" w:fill="FFFFFF"/>
            <w:vAlign w:val="center"/>
          </w:tcPr>
          <w:p w14:paraId="0BDF523C" w14:textId="77777777" w:rsidR="009355C7" w:rsidRDefault="009355C7">
            <w:pPr>
              <w:jc w:val="center"/>
            </w:pPr>
            <w:r>
              <w:t>1.29</w:t>
            </w:r>
          </w:p>
        </w:tc>
        <w:tc>
          <w:tcPr>
            <w:tcW w:w="1349" w:type="dxa"/>
            <w:shd w:val="clear" w:color="auto" w:fill="FFFFFF"/>
            <w:vAlign w:val="center"/>
          </w:tcPr>
          <w:p w14:paraId="116290C8" w14:textId="77777777" w:rsidR="009355C7" w:rsidRDefault="009355C7">
            <w:pPr>
              <w:jc w:val="center"/>
            </w:pPr>
            <w:r>
              <w:t>84.14</w:t>
            </w:r>
          </w:p>
        </w:tc>
        <w:tc>
          <w:tcPr>
            <w:tcW w:w="789" w:type="dxa"/>
            <w:shd w:val="clear" w:color="auto" w:fill="FFFFFF"/>
            <w:vAlign w:val="center"/>
          </w:tcPr>
          <w:p w14:paraId="0D58F8FD" w14:textId="77777777" w:rsidR="009355C7" w:rsidRDefault="009355C7">
            <w:pPr>
              <w:jc w:val="center"/>
            </w:pPr>
            <w:r>
              <w:t>0.06</w:t>
            </w:r>
          </w:p>
        </w:tc>
        <w:tc>
          <w:tcPr>
            <w:tcW w:w="2699" w:type="dxa"/>
            <w:shd w:val="clear" w:color="auto" w:fill="FFFFFF"/>
            <w:vAlign w:val="center"/>
          </w:tcPr>
          <w:p w14:paraId="2954BB75" w14:textId="77777777" w:rsidR="009355C7" w:rsidRDefault="009355C7">
            <w:pPr>
              <w:jc w:val="center"/>
            </w:pPr>
            <w:r>
              <w:t>Poisson</w:t>
            </w:r>
          </w:p>
        </w:tc>
        <w:tc>
          <w:tcPr>
            <w:tcW w:w="2735" w:type="dxa"/>
            <w:shd w:val="clear" w:color="auto" w:fill="FFFFFF"/>
            <w:vAlign w:val="center"/>
          </w:tcPr>
          <w:p w14:paraId="32A83E2A" w14:textId="77777777" w:rsidR="009355C7" w:rsidRDefault="009355C7">
            <w:pPr>
              <w:jc w:val="center"/>
            </w:pPr>
            <w:r>
              <w:t>Social Group,</w:t>
            </w:r>
          </w:p>
          <w:p w14:paraId="7B658FBF" w14:textId="77777777" w:rsidR="009355C7" w:rsidRDefault="009355C7">
            <w:pPr>
              <w:jc w:val="center"/>
            </w:pPr>
            <w:r>
              <w:t>Social Group*PDO</w:t>
            </w:r>
          </w:p>
        </w:tc>
      </w:tr>
      <w:tr w:rsidR="009355C7" w14:paraId="058CD974" w14:textId="77777777">
        <w:trPr>
          <w:trHeight w:val="255"/>
        </w:trPr>
        <w:tc>
          <w:tcPr>
            <w:tcW w:w="2299" w:type="dxa"/>
            <w:tcBorders>
              <w:bottom w:val="single" w:sz="4" w:space="0" w:color="000000"/>
            </w:tcBorders>
            <w:shd w:val="clear" w:color="auto" w:fill="FFFFFF"/>
            <w:vAlign w:val="bottom"/>
          </w:tcPr>
          <w:p w14:paraId="323B5E7D" w14:textId="77777777" w:rsidR="009355C7" w:rsidRDefault="009355C7">
            <w:pPr>
              <w:jc w:val="center"/>
            </w:pPr>
            <w:r>
              <w:t>Known Litter Size</w:t>
            </w:r>
          </w:p>
        </w:tc>
        <w:tc>
          <w:tcPr>
            <w:tcW w:w="1843" w:type="dxa"/>
            <w:tcBorders>
              <w:bottom w:val="single" w:sz="4" w:space="0" w:color="000000"/>
            </w:tcBorders>
            <w:shd w:val="clear" w:color="auto" w:fill="FFFFFF"/>
            <w:vAlign w:val="bottom"/>
          </w:tcPr>
          <w:p w14:paraId="2AA4A0F4" w14:textId="77777777" w:rsidR="009355C7" w:rsidRDefault="009355C7">
            <w:pPr>
              <w:jc w:val="center"/>
            </w:pPr>
            <w:r>
              <w:t>0.57</w:t>
            </w:r>
          </w:p>
        </w:tc>
        <w:tc>
          <w:tcPr>
            <w:tcW w:w="1349" w:type="dxa"/>
            <w:tcBorders>
              <w:bottom w:val="single" w:sz="4" w:space="0" w:color="000000"/>
            </w:tcBorders>
            <w:shd w:val="clear" w:color="auto" w:fill="FFFFFF"/>
            <w:vAlign w:val="bottom"/>
          </w:tcPr>
          <w:p w14:paraId="08BF7C52" w14:textId="77777777" w:rsidR="009355C7" w:rsidRDefault="009355C7">
            <w:pPr>
              <w:jc w:val="center"/>
            </w:pPr>
            <w:r>
              <w:t>23.33</w:t>
            </w:r>
          </w:p>
        </w:tc>
        <w:tc>
          <w:tcPr>
            <w:tcW w:w="789" w:type="dxa"/>
            <w:tcBorders>
              <w:bottom w:val="single" w:sz="4" w:space="0" w:color="000000"/>
            </w:tcBorders>
            <w:shd w:val="clear" w:color="auto" w:fill="FFFFFF"/>
            <w:vAlign w:val="bottom"/>
          </w:tcPr>
          <w:p w14:paraId="35111ACD" w14:textId="77777777" w:rsidR="009355C7" w:rsidRDefault="009355C7">
            <w:pPr>
              <w:jc w:val="center"/>
            </w:pPr>
            <w:r>
              <w:t>0.99</w:t>
            </w:r>
          </w:p>
        </w:tc>
        <w:tc>
          <w:tcPr>
            <w:tcW w:w="2699" w:type="dxa"/>
            <w:tcBorders>
              <w:bottom w:val="single" w:sz="4" w:space="0" w:color="000000"/>
            </w:tcBorders>
            <w:shd w:val="clear" w:color="auto" w:fill="FFFFFF"/>
            <w:vAlign w:val="bottom"/>
          </w:tcPr>
          <w:p w14:paraId="6C3DE91C" w14:textId="77777777" w:rsidR="009355C7" w:rsidRDefault="009355C7">
            <w:pPr>
              <w:jc w:val="center"/>
            </w:pPr>
            <w:r>
              <w:t>Gaussian</w:t>
            </w:r>
          </w:p>
        </w:tc>
        <w:tc>
          <w:tcPr>
            <w:tcW w:w="2735" w:type="dxa"/>
            <w:tcBorders>
              <w:bottom w:val="single" w:sz="4" w:space="0" w:color="000000"/>
            </w:tcBorders>
            <w:shd w:val="clear" w:color="auto" w:fill="FFFFFF"/>
            <w:vAlign w:val="bottom"/>
          </w:tcPr>
          <w:p w14:paraId="1E24D1AF" w14:textId="77777777" w:rsidR="009355C7" w:rsidRDefault="009355C7">
            <w:pPr>
              <w:jc w:val="center"/>
            </w:pPr>
            <w:r>
              <w:t>None</w:t>
            </w:r>
          </w:p>
        </w:tc>
      </w:tr>
    </w:tbl>
    <w:p w14:paraId="077EF76F" w14:textId="77777777" w:rsidR="009355C7" w:rsidRDefault="009355C7"/>
    <w:p w14:paraId="2CE70AF5" w14:textId="77777777" w:rsidR="009355C7" w:rsidRDefault="009355C7"/>
    <w:p w14:paraId="369C243C" w14:textId="77777777" w:rsidR="009355C7" w:rsidRDefault="009355C7"/>
    <w:p w14:paraId="1F26D35D" w14:textId="77777777" w:rsidR="009355C7" w:rsidRDefault="009355C7"/>
    <w:p w14:paraId="2F8747CA" w14:textId="77777777" w:rsidR="009355C7" w:rsidRDefault="009355C7"/>
    <w:p w14:paraId="73D9E247" w14:textId="77777777" w:rsidR="009355C7" w:rsidRDefault="009355C7"/>
    <w:p w14:paraId="08CAAC17" w14:textId="77777777" w:rsidR="009355C7" w:rsidRDefault="009355C7"/>
    <w:p w14:paraId="6238B037" w14:textId="77777777" w:rsidR="009355C7" w:rsidRDefault="009355C7"/>
    <w:p w14:paraId="33CD2139" w14:textId="77777777" w:rsidR="009355C7" w:rsidRDefault="009355C7"/>
    <w:p w14:paraId="5F80491E" w14:textId="77777777" w:rsidR="009355C7" w:rsidRDefault="009355C7"/>
    <w:p w14:paraId="5781F3B1" w14:textId="77777777" w:rsidR="009355C7" w:rsidRDefault="009355C7"/>
    <w:p w14:paraId="2F6EA771" w14:textId="77777777" w:rsidR="009355C7" w:rsidRDefault="009355C7"/>
    <w:p w14:paraId="431A613C" w14:textId="77777777" w:rsidR="009355C7" w:rsidRDefault="009355C7"/>
    <w:p w14:paraId="661103B3" w14:textId="77777777" w:rsidR="009355C7" w:rsidRDefault="009355C7"/>
    <w:p w14:paraId="35C7E01E" w14:textId="77777777" w:rsidR="009355C7" w:rsidRDefault="009355C7">
      <w:pPr>
        <w:sectPr w:rsidR="009355C7" w:rsidSect="009355C7">
          <w:pgSz w:w="15840" w:h="12240" w:orient="landscape"/>
          <w:pgMar w:top="1134" w:right="1693" w:bottom="1134" w:left="1134" w:header="720" w:footer="720" w:gutter="0"/>
          <w:lnNumType w:countBy="1" w:distance="283" w:restart="continuous"/>
          <w:cols w:space="720"/>
          <w:docGrid w:linePitch="360"/>
        </w:sectPr>
      </w:pPr>
    </w:p>
    <w:p w14:paraId="4FED9C90" w14:textId="77777777" w:rsidR="009355C7" w:rsidRDefault="009355C7">
      <w:pPr>
        <w:pageBreakBefore/>
        <w:tabs>
          <w:tab w:val="left" w:pos="0"/>
        </w:tabs>
      </w:pPr>
      <w:proofErr w:type="gramStart"/>
      <w:r>
        <w:lastRenderedPageBreak/>
        <w:t>Table 3.</w:t>
      </w:r>
      <w:proofErr w:type="gramEnd"/>
      <w:r>
        <w:t xml:space="preserve">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vertAlign w:val="subscript"/>
        </w:rPr>
        <w:t xml:space="preserve"> </w:t>
      </w:r>
      <w:r>
        <w:t>is the model’s AIC weight.</w:t>
      </w:r>
    </w:p>
    <w:p w14:paraId="699C2CF5" w14:textId="77777777" w:rsidR="009355C7" w:rsidRDefault="009355C7"/>
    <w:tbl>
      <w:tblPr>
        <w:tblW w:w="0" w:type="auto"/>
        <w:jc w:val="center"/>
        <w:tblLayout w:type="fixed"/>
        <w:tblCellMar>
          <w:left w:w="0" w:type="dxa"/>
          <w:right w:w="0" w:type="dxa"/>
        </w:tblCellMar>
        <w:tblLook w:val="0000" w:firstRow="0" w:lastRow="0" w:firstColumn="0" w:lastColumn="0" w:noHBand="0" w:noVBand="0"/>
      </w:tblPr>
      <w:tblGrid>
        <w:gridCol w:w="3600"/>
        <w:gridCol w:w="559"/>
        <w:gridCol w:w="1100"/>
        <w:gridCol w:w="959"/>
        <w:gridCol w:w="880"/>
        <w:gridCol w:w="72"/>
      </w:tblGrid>
      <w:tr w:rsidR="009355C7" w14:paraId="1AAEE74E" w14:textId="77777777">
        <w:trPr>
          <w:trHeight w:val="260"/>
          <w:jc w:val="center"/>
        </w:trPr>
        <w:tc>
          <w:tcPr>
            <w:tcW w:w="3600" w:type="dxa"/>
            <w:tcBorders>
              <w:top w:val="single" w:sz="4" w:space="0" w:color="000000"/>
              <w:bottom w:val="single" w:sz="4" w:space="0" w:color="000000"/>
            </w:tcBorders>
            <w:shd w:val="clear" w:color="auto" w:fill="FFFFFF"/>
            <w:vAlign w:val="bottom"/>
          </w:tcPr>
          <w:p w14:paraId="27759B61" w14:textId="77777777" w:rsidR="009355C7" w:rsidRDefault="009355C7">
            <w:pPr>
              <w:rPr>
                <w:b/>
              </w:rPr>
            </w:pPr>
            <w:r>
              <w:rPr>
                <w:b/>
              </w:rPr>
              <w:t>Model</w:t>
            </w:r>
          </w:p>
        </w:tc>
        <w:tc>
          <w:tcPr>
            <w:tcW w:w="559" w:type="dxa"/>
            <w:tcBorders>
              <w:top w:val="single" w:sz="4" w:space="0" w:color="000000"/>
              <w:bottom w:val="single" w:sz="4" w:space="0" w:color="000000"/>
            </w:tcBorders>
            <w:shd w:val="clear" w:color="auto" w:fill="FFFFFF"/>
            <w:vAlign w:val="bottom"/>
          </w:tcPr>
          <w:p w14:paraId="65D6B30D" w14:textId="77777777" w:rsidR="009355C7" w:rsidRDefault="009355C7">
            <w:pPr>
              <w:jc w:val="center"/>
              <w:rPr>
                <w:b/>
                <w:bCs/>
              </w:rPr>
            </w:pPr>
            <w:r>
              <w:rPr>
                <w:b/>
              </w:rPr>
              <w:t>K</w:t>
            </w:r>
          </w:p>
        </w:tc>
        <w:tc>
          <w:tcPr>
            <w:tcW w:w="1100" w:type="dxa"/>
            <w:tcBorders>
              <w:top w:val="single" w:sz="4" w:space="0" w:color="000000"/>
              <w:bottom w:val="single" w:sz="4" w:space="0" w:color="000000"/>
            </w:tcBorders>
            <w:shd w:val="clear" w:color="auto" w:fill="FFFFFF"/>
            <w:vAlign w:val="bottom"/>
          </w:tcPr>
          <w:p w14:paraId="789FD941" w14:textId="77777777" w:rsidR="009355C7" w:rsidRDefault="009355C7">
            <w:pPr>
              <w:jc w:val="center"/>
              <w:rPr>
                <w:b/>
              </w:rPr>
            </w:pPr>
            <w:r>
              <w:rPr>
                <w:b/>
                <w:bCs/>
              </w:rPr>
              <w:t>AIC</w:t>
            </w:r>
            <w:r>
              <w:rPr>
                <w:b/>
                <w:bCs/>
                <w:vertAlign w:val="subscript"/>
              </w:rPr>
              <w:t>C</w:t>
            </w:r>
          </w:p>
        </w:tc>
        <w:tc>
          <w:tcPr>
            <w:tcW w:w="959" w:type="dxa"/>
            <w:tcBorders>
              <w:top w:val="single" w:sz="4" w:space="0" w:color="000000"/>
              <w:bottom w:val="single" w:sz="4" w:space="0" w:color="000000"/>
            </w:tcBorders>
            <w:shd w:val="clear" w:color="auto" w:fill="FFFFFF"/>
            <w:vAlign w:val="bottom"/>
          </w:tcPr>
          <w:p w14:paraId="275E8328" w14:textId="77777777" w:rsidR="009355C7" w:rsidRDefault="009355C7">
            <w:pPr>
              <w:jc w:val="center"/>
              <w:rPr>
                <w:b/>
              </w:rPr>
            </w:pPr>
            <w:r>
              <w:rPr>
                <w:b/>
              </w:rPr>
              <w:t xml:space="preserve">∆ </w:t>
            </w:r>
            <w:proofErr w:type="spellStart"/>
            <w:r>
              <w:rPr>
                <w:b/>
              </w:rPr>
              <w:t>AICc</w:t>
            </w:r>
            <w:proofErr w:type="spellEnd"/>
          </w:p>
        </w:tc>
        <w:tc>
          <w:tcPr>
            <w:tcW w:w="880" w:type="dxa"/>
            <w:tcBorders>
              <w:top w:val="single" w:sz="4" w:space="0" w:color="000000"/>
              <w:bottom w:val="single" w:sz="4" w:space="0" w:color="000000"/>
            </w:tcBorders>
            <w:shd w:val="clear" w:color="auto" w:fill="FFFFFF"/>
            <w:vAlign w:val="bottom"/>
          </w:tcPr>
          <w:p w14:paraId="6FDA68A0" w14:textId="77777777" w:rsidR="009355C7" w:rsidRDefault="009355C7">
            <w:pPr>
              <w:jc w:val="center"/>
            </w:pPr>
            <w:r>
              <w:rPr>
                <w:b/>
              </w:rPr>
              <w:t>ω</w:t>
            </w:r>
          </w:p>
        </w:tc>
        <w:tc>
          <w:tcPr>
            <w:tcW w:w="72" w:type="dxa"/>
            <w:tcBorders>
              <w:top w:val="single" w:sz="4" w:space="0" w:color="000000"/>
              <w:bottom w:val="single" w:sz="4" w:space="0" w:color="000000"/>
            </w:tcBorders>
            <w:shd w:val="clear" w:color="auto" w:fill="FFFFFF"/>
            <w:vAlign w:val="bottom"/>
          </w:tcPr>
          <w:p w14:paraId="28ECACD3" w14:textId="77777777" w:rsidR="009355C7" w:rsidRDefault="009355C7">
            <w:pPr>
              <w:snapToGrid w:val="0"/>
            </w:pPr>
          </w:p>
        </w:tc>
      </w:tr>
      <w:tr w:rsidR="009355C7" w14:paraId="186737B6" w14:textId="77777777">
        <w:trPr>
          <w:trHeight w:val="680"/>
          <w:jc w:val="center"/>
        </w:trPr>
        <w:tc>
          <w:tcPr>
            <w:tcW w:w="3600" w:type="dxa"/>
            <w:shd w:val="clear" w:color="auto" w:fill="FFFFFF"/>
          </w:tcPr>
          <w:p w14:paraId="42EC6E35" w14:textId="77777777" w:rsidR="009355C7" w:rsidRDefault="009355C7">
            <w:r>
              <w:rPr>
                <w:b/>
              </w:rPr>
              <w:t>S</w:t>
            </w:r>
            <w:r>
              <w:t xml:space="preserve"> PDO + </w:t>
            </w:r>
            <w:proofErr w:type="spellStart"/>
            <w:r>
              <w:t>PDO</w:t>
            </w:r>
            <w:r>
              <w:rPr>
                <w:vertAlign w:val="subscript"/>
              </w:rPr>
              <w:t>lag</w:t>
            </w:r>
            <w:proofErr w:type="spellEnd"/>
            <w:r>
              <w:t xml:space="preserve">                                 </w:t>
            </w:r>
            <w:r>
              <w:rPr>
                <w:b/>
              </w:rPr>
              <w:t>Ψ</w:t>
            </w:r>
            <w:r>
              <w:t xml:space="preserve"> Age</w:t>
            </w:r>
          </w:p>
        </w:tc>
        <w:tc>
          <w:tcPr>
            <w:tcW w:w="559" w:type="dxa"/>
            <w:shd w:val="clear" w:color="auto" w:fill="FFFFFF"/>
          </w:tcPr>
          <w:p w14:paraId="034CBD0D" w14:textId="77777777" w:rsidR="009355C7" w:rsidRDefault="009355C7">
            <w:pPr>
              <w:jc w:val="center"/>
            </w:pPr>
            <w:r>
              <w:t>6</w:t>
            </w:r>
          </w:p>
        </w:tc>
        <w:tc>
          <w:tcPr>
            <w:tcW w:w="1100" w:type="dxa"/>
            <w:shd w:val="clear" w:color="auto" w:fill="FFFFFF"/>
          </w:tcPr>
          <w:p w14:paraId="31FD4E60" w14:textId="77777777" w:rsidR="009355C7" w:rsidRDefault="009355C7">
            <w:pPr>
              <w:jc w:val="center"/>
            </w:pPr>
            <w:r>
              <w:t>384.19</w:t>
            </w:r>
          </w:p>
        </w:tc>
        <w:tc>
          <w:tcPr>
            <w:tcW w:w="959" w:type="dxa"/>
            <w:shd w:val="clear" w:color="auto" w:fill="FFFFFF"/>
          </w:tcPr>
          <w:p w14:paraId="5DB48A9F" w14:textId="77777777" w:rsidR="009355C7" w:rsidRDefault="009355C7">
            <w:pPr>
              <w:jc w:val="center"/>
            </w:pPr>
            <w:r>
              <w:t>0</w:t>
            </w:r>
          </w:p>
        </w:tc>
        <w:tc>
          <w:tcPr>
            <w:tcW w:w="880" w:type="dxa"/>
            <w:shd w:val="clear" w:color="auto" w:fill="FFFFFF"/>
          </w:tcPr>
          <w:p w14:paraId="7236ED1F" w14:textId="77777777" w:rsidR="009355C7" w:rsidRDefault="009355C7">
            <w:pPr>
              <w:jc w:val="center"/>
            </w:pPr>
            <w:r>
              <w:t>0.29</w:t>
            </w:r>
          </w:p>
        </w:tc>
        <w:tc>
          <w:tcPr>
            <w:tcW w:w="72" w:type="dxa"/>
            <w:shd w:val="clear" w:color="auto" w:fill="FFFFFF"/>
          </w:tcPr>
          <w:p w14:paraId="4033A5AA" w14:textId="77777777" w:rsidR="009355C7" w:rsidRDefault="009355C7">
            <w:pPr>
              <w:snapToGrid w:val="0"/>
            </w:pPr>
          </w:p>
        </w:tc>
      </w:tr>
      <w:tr w:rsidR="009355C7" w14:paraId="6DF0EB9F" w14:textId="77777777">
        <w:trPr>
          <w:trHeight w:val="680"/>
          <w:jc w:val="center"/>
        </w:trPr>
        <w:tc>
          <w:tcPr>
            <w:tcW w:w="3600" w:type="dxa"/>
            <w:shd w:val="clear" w:color="auto" w:fill="FFFFFF"/>
          </w:tcPr>
          <w:p w14:paraId="4AD1097F" w14:textId="77777777" w:rsidR="009355C7" w:rsidRDefault="009355C7">
            <w:r>
              <w:rPr>
                <w:b/>
              </w:rPr>
              <w:t xml:space="preserve">S </w:t>
            </w:r>
            <w:r>
              <w:t xml:space="preserve">PDO + </w:t>
            </w:r>
            <w:proofErr w:type="spellStart"/>
            <w:r>
              <w:t>PDO</w:t>
            </w:r>
            <w:r>
              <w:rPr>
                <w:vertAlign w:val="subscript"/>
              </w:rPr>
              <w:t>lag</w:t>
            </w:r>
            <w:proofErr w:type="spellEnd"/>
            <w:r>
              <w:t xml:space="preserve">                                  </w:t>
            </w:r>
            <w:r>
              <w:rPr>
                <w:b/>
              </w:rPr>
              <w:t>Ψ</w:t>
            </w:r>
            <w:r>
              <w:t xml:space="preserve"> Old: (</w:t>
            </w:r>
            <w:proofErr w:type="spellStart"/>
            <w:r>
              <w:t>Brd</w:t>
            </w:r>
            <w:proofErr w:type="spellEnd"/>
            <w:r>
              <w:t xml:space="preserve">. State + Group), </w:t>
            </w:r>
          </w:p>
          <w:p w14:paraId="506638CF" w14:textId="77777777" w:rsidR="009355C7" w:rsidRDefault="009355C7">
            <w:r>
              <w:t>Young: Group</w:t>
            </w:r>
          </w:p>
        </w:tc>
        <w:tc>
          <w:tcPr>
            <w:tcW w:w="559" w:type="dxa"/>
            <w:shd w:val="clear" w:color="auto" w:fill="FFFFFF"/>
          </w:tcPr>
          <w:p w14:paraId="7C9E37B6" w14:textId="77777777" w:rsidR="009355C7" w:rsidRDefault="009355C7">
            <w:pPr>
              <w:jc w:val="center"/>
            </w:pPr>
            <w:r>
              <w:t>8</w:t>
            </w:r>
          </w:p>
        </w:tc>
        <w:tc>
          <w:tcPr>
            <w:tcW w:w="1100" w:type="dxa"/>
            <w:shd w:val="clear" w:color="auto" w:fill="FFFFFF"/>
          </w:tcPr>
          <w:p w14:paraId="5CCC2B24" w14:textId="77777777" w:rsidR="009355C7" w:rsidRDefault="009355C7">
            <w:pPr>
              <w:jc w:val="center"/>
            </w:pPr>
            <w:r>
              <w:t>385.28</w:t>
            </w:r>
          </w:p>
        </w:tc>
        <w:tc>
          <w:tcPr>
            <w:tcW w:w="959" w:type="dxa"/>
            <w:shd w:val="clear" w:color="auto" w:fill="FFFFFF"/>
          </w:tcPr>
          <w:p w14:paraId="1F9FDED2" w14:textId="77777777" w:rsidR="009355C7" w:rsidRDefault="009355C7">
            <w:pPr>
              <w:jc w:val="center"/>
            </w:pPr>
            <w:r>
              <w:t>1.09</w:t>
            </w:r>
          </w:p>
        </w:tc>
        <w:tc>
          <w:tcPr>
            <w:tcW w:w="880" w:type="dxa"/>
            <w:shd w:val="clear" w:color="auto" w:fill="FFFFFF"/>
          </w:tcPr>
          <w:p w14:paraId="5333D07D" w14:textId="77777777" w:rsidR="009355C7" w:rsidRDefault="009355C7">
            <w:pPr>
              <w:jc w:val="center"/>
            </w:pPr>
            <w:r>
              <w:t>0.17</w:t>
            </w:r>
          </w:p>
        </w:tc>
        <w:tc>
          <w:tcPr>
            <w:tcW w:w="72" w:type="dxa"/>
            <w:shd w:val="clear" w:color="auto" w:fill="FFFFFF"/>
          </w:tcPr>
          <w:p w14:paraId="05D24014" w14:textId="77777777" w:rsidR="009355C7" w:rsidRDefault="009355C7">
            <w:pPr>
              <w:snapToGrid w:val="0"/>
            </w:pPr>
          </w:p>
        </w:tc>
      </w:tr>
      <w:tr w:rsidR="009355C7" w14:paraId="62783A18" w14:textId="77777777">
        <w:trPr>
          <w:trHeight w:val="680"/>
          <w:jc w:val="center"/>
        </w:trPr>
        <w:tc>
          <w:tcPr>
            <w:tcW w:w="3600" w:type="dxa"/>
            <w:shd w:val="clear" w:color="auto" w:fill="FFFFFF"/>
          </w:tcPr>
          <w:p w14:paraId="4E8C20FB" w14:textId="77777777" w:rsidR="009355C7" w:rsidRDefault="009355C7">
            <w:r>
              <w:rPr>
                <w:b/>
              </w:rPr>
              <w:t>S</w:t>
            </w:r>
            <w:r>
              <w:t xml:space="preserve"> PDO + </w:t>
            </w:r>
            <w:proofErr w:type="spellStart"/>
            <w:r>
              <w:t>PDO</w:t>
            </w:r>
            <w:r>
              <w:rPr>
                <w:vertAlign w:val="subscript"/>
              </w:rPr>
              <w:t>lag</w:t>
            </w:r>
            <w:proofErr w:type="spellEnd"/>
            <w:r>
              <w:rPr>
                <w:vertAlign w:val="subscript"/>
              </w:rPr>
              <w:t xml:space="preserve">  </w:t>
            </w:r>
            <w:r>
              <w:t xml:space="preserve">                                </w:t>
            </w:r>
            <w:r>
              <w:rPr>
                <w:b/>
              </w:rPr>
              <w:t>Ψ</w:t>
            </w:r>
            <w:r>
              <w:t xml:space="preserve"> Old: </w:t>
            </w:r>
            <w:proofErr w:type="spellStart"/>
            <w:r>
              <w:t>Brd</w:t>
            </w:r>
            <w:proofErr w:type="spellEnd"/>
            <w:r>
              <w:t>. State, Young: 1</w:t>
            </w:r>
          </w:p>
        </w:tc>
        <w:tc>
          <w:tcPr>
            <w:tcW w:w="559" w:type="dxa"/>
            <w:shd w:val="clear" w:color="auto" w:fill="FFFFFF"/>
          </w:tcPr>
          <w:p w14:paraId="70DA1E83" w14:textId="77777777" w:rsidR="009355C7" w:rsidRDefault="009355C7">
            <w:pPr>
              <w:jc w:val="center"/>
            </w:pPr>
            <w:r>
              <w:t>7</w:t>
            </w:r>
          </w:p>
        </w:tc>
        <w:tc>
          <w:tcPr>
            <w:tcW w:w="1100" w:type="dxa"/>
            <w:shd w:val="clear" w:color="auto" w:fill="FFFFFF"/>
          </w:tcPr>
          <w:p w14:paraId="7AD185EA" w14:textId="77777777" w:rsidR="009355C7" w:rsidRDefault="009355C7">
            <w:pPr>
              <w:jc w:val="center"/>
            </w:pPr>
            <w:r>
              <w:t>385.73</w:t>
            </w:r>
          </w:p>
        </w:tc>
        <w:tc>
          <w:tcPr>
            <w:tcW w:w="959" w:type="dxa"/>
            <w:shd w:val="clear" w:color="auto" w:fill="FFFFFF"/>
          </w:tcPr>
          <w:p w14:paraId="530B6BA6" w14:textId="77777777" w:rsidR="009355C7" w:rsidRDefault="009355C7">
            <w:pPr>
              <w:jc w:val="center"/>
            </w:pPr>
            <w:r>
              <w:t>1.55</w:t>
            </w:r>
          </w:p>
        </w:tc>
        <w:tc>
          <w:tcPr>
            <w:tcW w:w="880" w:type="dxa"/>
            <w:shd w:val="clear" w:color="auto" w:fill="FFFFFF"/>
          </w:tcPr>
          <w:p w14:paraId="782DB311" w14:textId="77777777" w:rsidR="009355C7" w:rsidRDefault="009355C7">
            <w:pPr>
              <w:jc w:val="center"/>
            </w:pPr>
            <w:r>
              <w:t>0.14</w:t>
            </w:r>
          </w:p>
        </w:tc>
        <w:tc>
          <w:tcPr>
            <w:tcW w:w="72" w:type="dxa"/>
            <w:shd w:val="clear" w:color="auto" w:fill="FFFFFF"/>
          </w:tcPr>
          <w:p w14:paraId="0C3B855F" w14:textId="77777777" w:rsidR="009355C7" w:rsidRDefault="009355C7">
            <w:pPr>
              <w:snapToGrid w:val="0"/>
            </w:pPr>
          </w:p>
        </w:tc>
      </w:tr>
      <w:tr w:rsidR="009355C7" w14:paraId="01FFDA21" w14:textId="77777777">
        <w:trPr>
          <w:trHeight w:val="680"/>
          <w:jc w:val="center"/>
        </w:trPr>
        <w:tc>
          <w:tcPr>
            <w:tcW w:w="3600" w:type="dxa"/>
            <w:shd w:val="clear" w:color="auto" w:fill="FFFFFF"/>
          </w:tcPr>
          <w:p w14:paraId="3959877B" w14:textId="77777777" w:rsidR="009355C7" w:rsidRDefault="009355C7">
            <w:r>
              <w:rPr>
                <w:b/>
              </w:rPr>
              <w:t>S</w:t>
            </w:r>
            <w:r>
              <w:t xml:space="preserve"> PDO + </w:t>
            </w:r>
            <w:proofErr w:type="spellStart"/>
            <w:r>
              <w:t>PDO</w:t>
            </w:r>
            <w:r>
              <w:rPr>
                <w:vertAlign w:val="subscript"/>
              </w:rPr>
              <w:t>lag</w:t>
            </w:r>
            <w:proofErr w:type="spellEnd"/>
            <w:r>
              <w:t xml:space="preserve"> + </w:t>
            </w:r>
            <w:proofErr w:type="spellStart"/>
            <w:r>
              <w:t>Brd</w:t>
            </w:r>
            <w:proofErr w:type="spellEnd"/>
            <w:r>
              <w:t xml:space="preserve">. State                            </w:t>
            </w:r>
            <w:r>
              <w:rPr>
                <w:b/>
              </w:rPr>
              <w:t>Ψ</w:t>
            </w:r>
            <w:r>
              <w:t xml:space="preserve"> Age</w:t>
            </w:r>
          </w:p>
        </w:tc>
        <w:tc>
          <w:tcPr>
            <w:tcW w:w="559" w:type="dxa"/>
            <w:shd w:val="clear" w:color="auto" w:fill="FFFFFF"/>
          </w:tcPr>
          <w:p w14:paraId="3AAF4E94" w14:textId="77777777" w:rsidR="009355C7" w:rsidRDefault="009355C7">
            <w:pPr>
              <w:jc w:val="center"/>
            </w:pPr>
            <w:r>
              <w:t>7</w:t>
            </w:r>
          </w:p>
        </w:tc>
        <w:tc>
          <w:tcPr>
            <w:tcW w:w="1100" w:type="dxa"/>
            <w:shd w:val="clear" w:color="auto" w:fill="FFFFFF"/>
          </w:tcPr>
          <w:p w14:paraId="726655E2" w14:textId="77777777" w:rsidR="009355C7" w:rsidRDefault="009355C7">
            <w:pPr>
              <w:jc w:val="center"/>
            </w:pPr>
            <w:r>
              <w:t>385.93</w:t>
            </w:r>
          </w:p>
        </w:tc>
        <w:tc>
          <w:tcPr>
            <w:tcW w:w="959" w:type="dxa"/>
            <w:shd w:val="clear" w:color="auto" w:fill="FFFFFF"/>
          </w:tcPr>
          <w:p w14:paraId="5AF9C24D" w14:textId="77777777" w:rsidR="009355C7" w:rsidRDefault="009355C7">
            <w:pPr>
              <w:jc w:val="center"/>
            </w:pPr>
            <w:r>
              <w:t>1.75</w:t>
            </w:r>
          </w:p>
        </w:tc>
        <w:tc>
          <w:tcPr>
            <w:tcW w:w="880" w:type="dxa"/>
            <w:shd w:val="clear" w:color="auto" w:fill="FFFFFF"/>
          </w:tcPr>
          <w:p w14:paraId="3A9FDFE9" w14:textId="77777777" w:rsidR="009355C7" w:rsidRDefault="009355C7">
            <w:pPr>
              <w:jc w:val="center"/>
            </w:pPr>
            <w:r>
              <w:t>0.12</w:t>
            </w:r>
          </w:p>
        </w:tc>
        <w:tc>
          <w:tcPr>
            <w:tcW w:w="72" w:type="dxa"/>
            <w:shd w:val="clear" w:color="auto" w:fill="FFFFFF"/>
          </w:tcPr>
          <w:p w14:paraId="225DC29E" w14:textId="77777777" w:rsidR="009355C7" w:rsidRDefault="009355C7">
            <w:pPr>
              <w:snapToGrid w:val="0"/>
            </w:pPr>
          </w:p>
        </w:tc>
      </w:tr>
      <w:tr w:rsidR="009355C7" w14:paraId="4CBDC6D5" w14:textId="77777777">
        <w:trPr>
          <w:trHeight w:val="680"/>
          <w:jc w:val="center"/>
        </w:trPr>
        <w:tc>
          <w:tcPr>
            <w:tcW w:w="3600" w:type="dxa"/>
            <w:shd w:val="clear" w:color="auto" w:fill="FFFFFF"/>
          </w:tcPr>
          <w:p w14:paraId="4F5FD657" w14:textId="77777777" w:rsidR="009355C7" w:rsidRDefault="009355C7">
            <w:r>
              <w:rPr>
                <w:b/>
              </w:rPr>
              <w:t>S</w:t>
            </w:r>
            <w:r>
              <w:t xml:space="preserve"> PDO + </w:t>
            </w:r>
            <w:proofErr w:type="spellStart"/>
            <w:r>
              <w:t>PDO</w:t>
            </w:r>
            <w:r>
              <w:rPr>
                <w:vertAlign w:val="subscript"/>
              </w:rPr>
              <w:t>lag</w:t>
            </w:r>
            <w:proofErr w:type="spellEnd"/>
            <w:r>
              <w:t xml:space="preserve"> + </w:t>
            </w:r>
            <w:proofErr w:type="spellStart"/>
            <w:r>
              <w:t>Brd</w:t>
            </w:r>
            <w:proofErr w:type="spellEnd"/>
            <w:r>
              <w:t xml:space="preserve">. State                             </w:t>
            </w:r>
            <w:r>
              <w:rPr>
                <w:b/>
              </w:rPr>
              <w:t>Ψ</w:t>
            </w:r>
            <w:r>
              <w:t xml:space="preserve"> Old: </w:t>
            </w:r>
            <w:proofErr w:type="spellStart"/>
            <w:r>
              <w:t>Brd</w:t>
            </w:r>
            <w:proofErr w:type="spellEnd"/>
            <w:r>
              <w:t>. State + Group, Young: Group</w:t>
            </w:r>
          </w:p>
        </w:tc>
        <w:tc>
          <w:tcPr>
            <w:tcW w:w="559" w:type="dxa"/>
            <w:shd w:val="clear" w:color="auto" w:fill="FFFFFF"/>
          </w:tcPr>
          <w:p w14:paraId="2AAEA3D9" w14:textId="77777777" w:rsidR="009355C7" w:rsidRDefault="009355C7">
            <w:pPr>
              <w:jc w:val="center"/>
            </w:pPr>
            <w:r>
              <w:t>9</w:t>
            </w:r>
          </w:p>
        </w:tc>
        <w:tc>
          <w:tcPr>
            <w:tcW w:w="1100" w:type="dxa"/>
            <w:shd w:val="clear" w:color="auto" w:fill="FFFFFF"/>
          </w:tcPr>
          <w:p w14:paraId="08D076F4" w14:textId="77777777" w:rsidR="009355C7" w:rsidRDefault="009355C7">
            <w:pPr>
              <w:jc w:val="center"/>
            </w:pPr>
            <w:r>
              <w:t>387.09</w:t>
            </w:r>
          </w:p>
        </w:tc>
        <w:tc>
          <w:tcPr>
            <w:tcW w:w="959" w:type="dxa"/>
            <w:shd w:val="clear" w:color="auto" w:fill="FFFFFF"/>
          </w:tcPr>
          <w:p w14:paraId="40702E2E" w14:textId="77777777" w:rsidR="009355C7" w:rsidRDefault="009355C7">
            <w:pPr>
              <w:jc w:val="center"/>
            </w:pPr>
            <w:r>
              <w:t>2.9</w:t>
            </w:r>
          </w:p>
        </w:tc>
        <w:tc>
          <w:tcPr>
            <w:tcW w:w="880" w:type="dxa"/>
            <w:shd w:val="clear" w:color="auto" w:fill="FFFFFF"/>
          </w:tcPr>
          <w:p w14:paraId="2AA875C0" w14:textId="77777777" w:rsidR="009355C7" w:rsidRDefault="009355C7">
            <w:pPr>
              <w:jc w:val="center"/>
            </w:pPr>
            <w:r>
              <w:t>0.07</w:t>
            </w:r>
          </w:p>
        </w:tc>
        <w:tc>
          <w:tcPr>
            <w:tcW w:w="72" w:type="dxa"/>
            <w:shd w:val="clear" w:color="auto" w:fill="FFFFFF"/>
          </w:tcPr>
          <w:p w14:paraId="1BBA14D4" w14:textId="77777777" w:rsidR="009355C7" w:rsidRDefault="009355C7">
            <w:pPr>
              <w:snapToGrid w:val="0"/>
            </w:pPr>
          </w:p>
        </w:tc>
      </w:tr>
      <w:tr w:rsidR="009355C7" w14:paraId="161EBD22" w14:textId="77777777">
        <w:trPr>
          <w:trHeight w:val="680"/>
          <w:jc w:val="center"/>
        </w:trPr>
        <w:tc>
          <w:tcPr>
            <w:tcW w:w="3600" w:type="dxa"/>
            <w:shd w:val="clear" w:color="auto" w:fill="FFFFFF"/>
          </w:tcPr>
          <w:p w14:paraId="2781AD9A" w14:textId="77777777" w:rsidR="009355C7" w:rsidRDefault="009355C7">
            <w:r>
              <w:rPr>
                <w:b/>
              </w:rPr>
              <w:t>S</w:t>
            </w:r>
            <w:r>
              <w:t xml:space="preserve"> PDO + </w:t>
            </w:r>
            <w:proofErr w:type="spellStart"/>
            <w:r>
              <w:t>PDO</w:t>
            </w:r>
            <w:r>
              <w:rPr>
                <w:vertAlign w:val="subscript"/>
              </w:rPr>
              <w:t>lag</w:t>
            </w:r>
            <w:proofErr w:type="spellEnd"/>
            <w:r>
              <w:t xml:space="preserve"> + </w:t>
            </w:r>
            <w:proofErr w:type="spellStart"/>
            <w:r>
              <w:t>Brd</w:t>
            </w:r>
            <w:proofErr w:type="spellEnd"/>
            <w:r>
              <w:t xml:space="preserve">. State                             </w:t>
            </w:r>
            <w:r>
              <w:rPr>
                <w:b/>
              </w:rPr>
              <w:t xml:space="preserve">Ψ </w:t>
            </w:r>
            <w:r>
              <w:t xml:space="preserve">Old: </w:t>
            </w:r>
            <w:proofErr w:type="spellStart"/>
            <w:r>
              <w:t>Brd</w:t>
            </w:r>
            <w:proofErr w:type="spellEnd"/>
            <w:r>
              <w:t>. State, Young: 1</w:t>
            </w:r>
          </w:p>
        </w:tc>
        <w:tc>
          <w:tcPr>
            <w:tcW w:w="559" w:type="dxa"/>
            <w:shd w:val="clear" w:color="auto" w:fill="FFFFFF"/>
          </w:tcPr>
          <w:p w14:paraId="34EDA6B7" w14:textId="77777777" w:rsidR="009355C7" w:rsidRDefault="009355C7">
            <w:pPr>
              <w:jc w:val="center"/>
            </w:pPr>
            <w:r>
              <w:t>8</w:t>
            </w:r>
          </w:p>
        </w:tc>
        <w:tc>
          <w:tcPr>
            <w:tcW w:w="1100" w:type="dxa"/>
            <w:shd w:val="clear" w:color="auto" w:fill="FFFFFF"/>
          </w:tcPr>
          <w:p w14:paraId="1C21960C" w14:textId="77777777" w:rsidR="009355C7" w:rsidRDefault="009355C7">
            <w:pPr>
              <w:jc w:val="center"/>
            </w:pPr>
            <w:r>
              <w:t>387.51</w:t>
            </w:r>
          </w:p>
        </w:tc>
        <w:tc>
          <w:tcPr>
            <w:tcW w:w="959" w:type="dxa"/>
            <w:shd w:val="clear" w:color="auto" w:fill="FFFFFF"/>
          </w:tcPr>
          <w:p w14:paraId="4F85FC7C" w14:textId="77777777" w:rsidR="009355C7" w:rsidRDefault="009355C7">
            <w:pPr>
              <w:jc w:val="center"/>
            </w:pPr>
            <w:r>
              <w:t>3.33</w:t>
            </w:r>
          </w:p>
        </w:tc>
        <w:tc>
          <w:tcPr>
            <w:tcW w:w="880" w:type="dxa"/>
            <w:shd w:val="clear" w:color="auto" w:fill="FFFFFF"/>
          </w:tcPr>
          <w:p w14:paraId="62340EBD" w14:textId="77777777" w:rsidR="009355C7" w:rsidRDefault="009355C7">
            <w:pPr>
              <w:jc w:val="center"/>
            </w:pPr>
            <w:r>
              <w:t>0.06</w:t>
            </w:r>
          </w:p>
        </w:tc>
        <w:tc>
          <w:tcPr>
            <w:tcW w:w="72" w:type="dxa"/>
            <w:shd w:val="clear" w:color="auto" w:fill="FFFFFF"/>
          </w:tcPr>
          <w:p w14:paraId="022665DF" w14:textId="77777777" w:rsidR="009355C7" w:rsidRDefault="009355C7">
            <w:pPr>
              <w:snapToGrid w:val="0"/>
            </w:pPr>
          </w:p>
        </w:tc>
      </w:tr>
      <w:tr w:rsidR="009355C7" w14:paraId="6CA083C6" w14:textId="77777777">
        <w:trPr>
          <w:trHeight w:val="680"/>
          <w:jc w:val="center"/>
        </w:trPr>
        <w:tc>
          <w:tcPr>
            <w:tcW w:w="3600" w:type="dxa"/>
            <w:shd w:val="clear" w:color="auto" w:fill="FFFFFF"/>
          </w:tcPr>
          <w:p w14:paraId="344A7FC5" w14:textId="77777777" w:rsidR="009355C7" w:rsidRDefault="009355C7">
            <w:r>
              <w:rPr>
                <w:b/>
              </w:rPr>
              <w:t>S</w:t>
            </w:r>
            <w:r>
              <w:t xml:space="preserve"> PDO + </w:t>
            </w:r>
            <w:proofErr w:type="spellStart"/>
            <w:r>
              <w:t>PDO</w:t>
            </w:r>
            <w:r>
              <w:rPr>
                <w:vertAlign w:val="subscript"/>
              </w:rPr>
              <w:t>lag</w:t>
            </w:r>
            <w:proofErr w:type="spellEnd"/>
            <w:r>
              <w:t xml:space="preserve">                                 </w:t>
            </w:r>
            <w:r>
              <w:rPr>
                <w:b/>
              </w:rPr>
              <w:t>Ψ</w:t>
            </w:r>
            <w:r>
              <w:t xml:space="preserve"> Old: Ad. </w:t>
            </w:r>
            <w:proofErr w:type="spellStart"/>
            <w:r>
              <w:t>Fems</w:t>
            </w:r>
            <w:proofErr w:type="spellEnd"/>
            <w:r>
              <w:t>, Young: 1</w:t>
            </w:r>
          </w:p>
        </w:tc>
        <w:tc>
          <w:tcPr>
            <w:tcW w:w="559" w:type="dxa"/>
            <w:shd w:val="clear" w:color="auto" w:fill="FFFFFF"/>
          </w:tcPr>
          <w:p w14:paraId="29147ED0" w14:textId="77777777" w:rsidR="009355C7" w:rsidRDefault="009355C7">
            <w:pPr>
              <w:jc w:val="center"/>
            </w:pPr>
            <w:r>
              <w:t>6</w:t>
            </w:r>
          </w:p>
        </w:tc>
        <w:tc>
          <w:tcPr>
            <w:tcW w:w="1100" w:type="dxa"/>
            <w:shd w:val="clear" w:color="auto" w:fill="FFFFFF"/>
          </w:tcPr>
          <w:p w14:paraId="1251A7AA" w14:textId="77777777" w:rsidR="009355C7" w:rsidRDefault="009355C7">
            <w:pPr>
              <w:jc w:val="center"/>
            </w:pPr>
            <w:r>
              <w:t>387.91</w:t>
            </w:r>
          </w:p>
        </w:tc>
        <w:tc>
          <w:tcPr>
            <w:tcW w:w="959" w:type="dxa"/>
            <w:shd w:val="clear" w:color="auto" w:fill="FFFFFF"/>
          </w:tcPr>
          <w:p w14:paraId="6199DDC7" w14:textId="77777777" w:rsidR="009355C7" w:rsidRDefault="009355C7">
            <w:pPr>
              <w:jc w:val="center"/>
            </w:pPr>
            <w:r>
              <w:t>3.73</w:t>
            </w:r>
          </w:p>
        </w:tc>
        <w:tc>
          <w:tcPr>
            <w:tcW w:w="880" w:type="dxa"/>
            <w:shd w:val="clear" w:color="auto" w:fill="FFFFFF"/>
          </w:tcPr>
          <w:p w14:paraId="66DDFDE6" w14:textId="77777777" w:rsidR="009355C7" w:rsidRDefault="009355C7">
            <w:pPr>
              <w:jc w:val="center"/>
            </w:pPr>
            <w:r>
              <w:t>0.05</w:t>
            </w:r>
          </w:p>
        </w:tc>
        <w:tc>
          <w:tcPr>
            <w:tcW w:w="72" w:type="dxa"/>
            <w:shd w:val="clear" w:color="auto" w:fill="FFFFFF"/>
          </w:tcPr>
          <w:p w14:paraId="6D623BE4" w14:textId="77777777" w:rsidR="009355C7" w:rsidRDefault="009355C7">
            <w:pPr>
              <w:snapToGrid w:val="0"/>
            </w:pPr>
          </w:p>
        </w:tc>
      </w:tr>
      <w:tr w:rsidR="009355C7" w14:paraId="402256B3" w14:textId="77777777">
        <w:trPr>
          <w:trHeight w:val="680"/>
          <w:jc w:val="center"/>
        </w:trPr>
        <w:tc>
          <w:tcPr>
            <w:tcW w:w="3600" w:type="dxa"/>
            <w:shd w:val="clear" w:color="auto" w:fill="FFFFFF"/>
          </w:tcPr>
          <w:p w14:paraId="64EC3CFC" w14:textId="77777777" w:rsidR="009355C7" w:rsidRDefault="009355C7">
            <w:r>
              <w:rPr>
                <w:b/>
              </w:rPr>
              <w:t>S</w:t>
            </w:r>
            <w:r>
              <w:t xml:space="preserve"> (PDO + </w:t>
            </w:r>
            <w:proofErr w:type="spellStart"/>
            <w:r>
              <w:t>PDO</w:t>
            </w:r>
            <w:r>
              <w:rPr>
                <w:vertAlign w:val="subscript"/>
              </w:rPr>
              <w:t>lag</w:t>
            </w:r>
            <w:proofErr w:type="spellEnd"/>
            <w:r>
              <w:t xml:space="preserve"> ) * </w:t>
            </w:r>
            <w:proofErr w:type="spellStart"/>
            <w:r>
              <w:t>Brd</w:t>
            </w:r>
            <w:proofErr w:type="spellEnd"/>
            <w:r>
              <w:t xml:space="preserve">. State                            </w:t>
            </w:r>
            <w:r>
              <w:rPr>
                <w:b/>
              </w:rPr>
              <w:t>Ψ</w:t>
            </w:r>
            <w:r>
              <w:t xml:space="preserve"> Age</w:t>
            </w:r>
          </w:p>
        </w:tc>
        <w:tc>
          <w:tcPr>
            <w:tcW w:w="559" w:type="dxa"/>
            <w:shd w:val="clear" w:color="auto" w:fill="FFFFFF"/>
          </w:tcPr>
          <w:p w14:paraId="55EC8BB4" w14:textId="77777777" w:rsidR="009355C7" w:rsidRDefault="009355C7">
            <w:pPr>
              <w:jc w:val="center"/>
            </w:pPr>
            <w:r>
              <w:t>9</w:t>
            </w:r>
          </w:p>
        </w:tc>
        <w:tc>
          <w:tcPr>
            <w:tcW w:w="1100" w:type="dxa"/>
            <w:shd w:val="clear" w:color="auto" w:fill="FFFFFF"/>
          </w:tcPr>
          <w:p w14:paraId="6EB85167" w14:textId="77777777" w:rsidR="009355C7" w:rsidRDefault="009355C7">
            <w:pPr>
              <w:jc w:val="center"/>
            </w:pPr>
            <w:r>
              <w:t>388.71</w:t>
            </w:r>
          </w:p>
        </w:tc>
        <w:tc>
          <w:tcPr>
            <w:tcW w:w="959" w:type="dxa"/>
            <w:shd w:val="clear" w:color="auto" w:fill="FFFFFF"/>
          </w:tcPr>
          <w:p w14:paraId="3017D488" w14:textId="77777777" w:rsidR="009355C7" w:rsidRDefault="009355C7">
            <w:pPr>
              <w:jc w:val="center"/>
            </w:pPr>
            <w:r>
              <w:t>4.53</w:t>
            </w:r>
          </w:p>
        </w:tc>
        <w:tc>
          <w:tcPr>
            <w:tcW w:w="880" w:type="dxa"/>
            <w:shd w:val="clear" w:color="auto" w:fill="FFFFFF"/>
          </w:tcPr>
          <w:p w14:paraId="1D411F7A" w14:textId="77777777" w:rsidR="009355C7" w:rsidRDefault="009355C7">
            <w:pPr>
              <w:jc w:val="center"/>
            </w:pPr>
            <w:r>
              <w:t>0.03</w:t>
            </w:r>
          </w:p>
        </w:tc>
        <w:tc>
          <w:tcPr>
            <w:tcW w:w="72" w:type="dxa"/>
            <w:shd w:val="clear" w:color="auto" w:fill="FFFFFF"/>
          </w:tcPr>
          <w:p w14:paraId="66615C64" w14:textId="77777777" w:rsidR="009355C7" w:rsidRDefault="009355C7">
            <w:pPr>
              <w:snapToGrid w:val="0"/>
            </w:pPr>
          </w:p>
        </w:tc>
      </w:tr>
      <w:tr w:rsidR="009355C7" w14:paraId="65F485AF" w14:textId="77777777">
        <w:trPr>
          <w:trHeight w:val="680"/>
          <w:jc w:val="center"/>
        </w:trPr>
        <w:tc>
          <w:tcPr>
            <w:tcW w:w="3600" w:type="dxa"/>
            <w:shd w:val="clear" w:color="auto" w:fill="FFFFFF"/>
          </w:tcPr>
          <w:p w14:paraId="0064D9DD" w14:textId="77777777" w:rsidR="009355C7" w:rsidRDefault="009355C7">
            <w:r>
              <w:rPr>
                <w:b/>
              </w:rPr>
              <w:t>S</w:t>
            </w:r>
            <w:r>
              <w:t xml:space="preserve"> PDO + </w:t>
            </w:r>
            <w:proofErr w:type="spellStart"/>
            <w:r>
              <w:t>PDO</w:t>
            </w:r>
            <w:r>
              <w:rPr>
                <w:vertAlign w:val="subscript"/>
              </w:rPr>
              <w:t>lag</w:t>
            </w:r>
            <w:proofErr w:type="spellEnd"/>
            <w:r>
              <w:t xml:space="preserve"> + </w:t>
            </w:r>
            <w:proofErr w:type="spellStart"/>
            <w:r>
              <w:t>Brd</w:t>
            </w:r>
            <w:proofErr w:type="spellEnd"/>
            <w:r>
              <w:t xml:space="preserve">. State                            </w:t>
            </w:r>
            <w:r>
              <w:rPr>
                <w:b/>
              </w:rPr>
              <w:t>Ψ</w:t>
            </w:r>
            <w:r>
              <w:t xml:space="preserve"> Old: Ad. </w:t>
            </w:r>
            <w:proofErr w:type="spellStart"/>
            <w:r>
              <w:t>Fems</w:t>
            </w:r>
            <w:proofErr w:type="spellEnd"/>
            <w:r>
              <w:t>, Young: 1</w:t>
            </w:r>
          </w:p>
        </w:tc>
        <w:tc>
          <w:tcPr>
            <w:tcW w:w="559" w:type="dxa"/>
            <w:shd w:val="clear" w:color="auto" w:fill="FFFFFF"/>
          </w:tcPr>
          <w:p w14:paraId="380695AE" w14:textId="77777777" w:rsidR="009355C7" w:rsidRDefault="009355C7">
            <w:pPr>
              <w:jc w:val="center"/>
            </w:pPr>
            <w:r>
              <w:t>7</w:t>
            </w:r>
          </w:p>
        </w:tc>
        <w:tc>
          <w:tcPr>
            <w:tcW w:w="1100" w:type="dxa"/>
            <w:shd w:val="clear" w:color="auto" w:fill="FFFFFF"/>
          </w:tcPr>
          <w:p w14:paraId="6FA8F5FF" w14:textId="77777777" w:rsidR="009355C7" w:rsidRDefault="009355C7">
            <w:pPr>
              <w:jc w:val="center"/>
            </w:pPr>
            <w:r>
              <w:t>389.66</w:t>
            </w:r>
          </w:p>
        </w:tc>
        <w:tc>
          <w:tcPr>
            <w:tcW w:w="959" w:type="dxa"/>
            <w:shd w:val="clear" w:color="auto" w:fill="FFFFFF"/>
          </w:tcPr>
          <w:p w14:paraId="3FF2324B" w14:textId="77777777" w:rsidR="009355C7" w:rsidRDefault="009355C7">
            <w:pPr>
              <w:jc w:val="center"/>
            </w:pPr>
            <w:r>
              <w:t>5.47</w:t>
            </w:r>
          </w:p>
        </w:tc>
        <w:tc>
          <w:tcPr>
            <w:tcW w:w="880" w:type="dxa"/>
            <w:shd w:val="clear" w:color="auto" w:fill="FFFFFF"/>
          </w:tcPr>
          <w:p w14:paraId="49804E6C" w14:textId="77777777" w:rsidR="009355C7" w:rsidRDefault="009355C7">
            <w:pPr>
              <w:jc w:val="center"/>
            </w:pPr>
            <w:r>
              <w:t>0.02</w:t>
            </w:r>
          </w:p>
        </w:tc>
        <w:tc>
          <w:tcPr>
            <w:tcW w:w="72" w:type="dxa"/>
            <w:shd w:val="clear" w:color="auto" w:fill="FFFFFF"/>
          </w:tcPr>
          <w:p w14:paraId="5A4D63A5" w14:textId="77777777" w:rsidR="009355C7" w:rsidRDefault="009355C7">
            <w:pPr>
              <w:snapToGrid w:val="0"/>
            </w:pPr>
          </w:p>
        </w:tc>
      </w:tr>
      <w:tr w:rsidR="009355C7" w14:paraId="304D1048" w14:textId="77777777">
        <w:trPr>
          <w:trHeight w:val="680"/>
          <w:jc w:val="center"/>
        </w:trPr>
        <w:tc>
          <w:tcPr>
            <w:tcW w:w="3600" w:type="dxa"/>
            <w:shd w:val="clear" w:color="auto" w:fill="FFFFFF"/>
          </w:tcPr>
          <w:p w14:paraId="70B9751F" w14:textId="77777777" w:rsidR="009355C7" w:rsidRDefault="009355C7">
            <w:r>
              <w:rPr>
                <w:b/>
              </w:rPr>
              <w:t>S</w:t>
            </w:r>
            <w:r>
              <w:t xml:space="preserve"> PDO + </w:t>
            </w:r>
            <w:proofErr w:type="spellStart"/>
            <w:r>
              <w:t>PDO</w:t>
            </w:r>
            <w:r>
              <w:rPr>
                <w:vertAlign w:val="subscript"/>
              </w:rPr>
              <w:t>lag</w:t>
            </w:r>
            <w:proofErr w:type="spellEnd"/>
            <w:r>
              <w:t xml:space="preserve">                                 </w:t>
            </w:r>
            <w:r>
              <w:rPr>
                <w:b/>
              </w:rPr>
              <w:t>Ψ</w:t>
            </w:r>
            <w:r>
              <w:t xml:space="preserve"> Old: Group, Young: 1</w:t>
            </w:r>
          </w:p>
        </w:tc>
        <w:tc>
          <w:tcPr>
            <w:tcW w:w="559" w:type="dxa"/>
            <w:shd w:val="clear" w:color="auto" w:fill="FFFFFF"/>
          </w:tcPr>
          <w:p w14:paraId="15CF0B58" w14:textId="77777777" w:rsidR="009355C7" w:rsidRDefault="009355C7">
            <w:pPr>
              <w:jc w:val="center"/>
            </w:pPr>
            <w:r>
              <w:t>6</w:t>
            </w:r>
          </w:p>
        </w:tc>
        <w:tc>
          <w:tcPr>
            <w:tcW w:w="1100" w:type="dxa"/>
            <w:shd w:val="clear" w:color="auto" w:fill="FFFFFF"/>
          </w:tcPr>
          <w:p w14:paraId="42F2E3CB" w14:textId="77777777" w:rsidR="009355C7" w:rsidRDefault="009355C7">
            <w:pPr>
              <w:jc w:val="center"/>
            </w:pPr>
            <w:r>
              <w:t>389.85</w:t>
            </w:r>
          </w:p>
        </w:tc>
        <w:tc>
          <w:tcPr>
            <w:tcW w:w="959" w:type="dxa"/>
            <w:shd w:val="clear" w:color="auto" w:fill="FFFFFF"/>
          </w:tcPr>
          <w:p w14:paraId="7B19BEC1" w14:textId="77777777" w:rsidR="009355C7" w:rsidRDefault="009355C7">
            <w:pPr>
              <w:jc w:val="center"/>
            </w:pPr>
            <w:r>
              <w:t>5.66</w:t>
            </w:r>
          </w:p>
        </w:tc>
        <w:tc>
          <w:tcPr>
            <w:tcW w:w="880" w:type="dxa"/>
            <w:shd w:val="clear" w:color="auto" w:fill="FFFFFF"/>
          </w:tcPr>
          <w:p w14:paraId="25B7F46A" w14:textId="77777777" w:rsidR="009355C7" w:rsidRDefault="009355C7">
            <w:pPr>
              <w:jc w:val="center"/>
            </w:pPr>
            <w:r>
              <w:t>0.02</w:t>
            </w:r>
          </w:p>
        </w:tc>
        <w:tc>
          <w:tcPr>
            <w:tcW w:w="72" w:type="dxa"/>
            <w:shd w:val="clear" w:color="auto" w:fill="FFFFFF"/>
          </w:tcPr>
          <w:p w14:paraId="1D285B8E" w14:textId="77777777" w:rsidR="009355C7" w:rsidRDefault="009355C7">
            <w:pPr>
              <w:snapToGrid w:val="0"/>
            </w:pPr>
          </w:p>
        </w:tc>
      </w:tr>
      <w:tr w:rsidR="009355C7" w14:paraId="0474E136" w14:textId="77777777">
        <w:trPr>
          <w:trHeight w:val="680"/>
          <w:jc w:val="center"/>
        </w:trPr>
        <w:tc>
          <w:tcPr>
            <w:tcW w:w="3600" w:type="dxa"/>
            <w:shd w:val="clear" w:color="auto" w:fill="FFFFFF"/>
          </w:tcPr>
          <w:p w14:paraId="17766EC1" w14:textId="77777777" w:rsidR="009355C7" w:rsidRDefault="009355C7">
            <w:r>
              <w:rPr>
                <w:b/>
              </w:rPr>
              <w:t>S</w:t>
            </w:r>
            <w:r>
              <w:t xml:space="preserve">  (PDO + </w:t>
            </w:r>
            <w:proofErr w:type="spellStart"/>
            <w:r>
              <w:t>PDO</w:t>
            </w:r>
            <w:r>
              <w:rPr>
                <w:vertAlign w:val="subscript"/>
              </w:rPr>
              <w:t>lag</w:t>
            </w:r>
            <w:proofErr w:type="spellEnd"/>
            <w:r>
              <w:t xml:space="preserve"> ) * </w:t>
            </w:r>
            <w:proofErr w:type="spellStart"/>
            <w:r>
              <w:t>Brd</w:t>
            </w:r>
            <w:proofErr w:type="spellEnd"/>
            <w:r>
              <w:t xml:space="preserve">. State                            </w:t>
            </w:r>
            <w:r>
              <w:rPr>
                <w:b/>
              </w:rPr>
              <w:t>Ψ</w:t>
            </w:r>
            <w:r>
              <w:t xml:space="preserve"> Old: (</w:t>
            </w:r>
            <w:proofErr w:type="spellStart"/>
            <w:r>
              <w:t>Brd</w:t>
            </w:r>
            <w:proofErr w:type="spellEnd"/>
            <w:r>
              <w:t>. State + Group) + Young: Group</w:t>
            </w:r>
          </w:p>
        </w:tc>
        <w:tc>
          <w:tcPr>
            <w:tcW w:w="559" w:type="dxa"/>
            <w:shd w:val="clear" w:color="auto" w:fill="FFFFFF"/>
          </w:tcPr>
          <w:p w14:paraId="3583985D" w14:textId="77777777" w:rsidR="009355C7" w:rsidRDefault="009355C7">
            <w:pPr>
              <w:jc w:val="center"/>
            </w:pPr>
            <w:r>
              <w:t>11</w:t>
            </w:r>
          </w:p>
        </w:tc>
        <w:tc>
          <w:tcPr>
            <w:tcW w:w="1100" w:type="dxa"/>
            <w:shd w:val="clear" w:color="auto" w:fill="FFFFFF"/>
          </w:tcPr>
          <w:p w14:paraId="1478EEBF" w14:textId="77777777" w:rsidR="009355C7" w:rsidRDefault="009355C7">
            <w:pPr>
              <w:jc w:val="center"/>
            </w:pPr>
            <w:r>
              <w:t>389.97</w:t>
            </w:r>
          </w:p>
        </w:tc>
        <w:tc>
          <w:tcPr>
            <w:tcW w:w="959" w:type="dxa"/>
            <w:shd w:val="clear" w:color="auto" w:fill="FFFFFF"/>
          </w:tcPr>
          <w:p w14:paraId="7E6BC962" w14:textId="77777777" w:rsidR="009355C7" w:rsidRDefault="009355C7">
            <w:pPr>
              <w:jc w:val="center"/>
            </w:pPr>
            <w:r>
              <w:t>5.79</w:t>
            </w:r>
          </w:p>
        </w:tc>
        <w:tc>
          <w:tcPr>
            <w:tcW w:w="880" w:type="dxa"/>
            <w:shd w:val="clear" w:color="auto" w:fill="FFFFFF"/>
          </w:tcPr>
          <w:p w14:paraId="0819B70E" w14:textId="77777777" w:rsidR="009355C7" w:rsidRDefault="009355C7">
            <w:pPr>
              <w:jc w:val="center"/>
            </w:pPr>
            <w:r>
              <w:t>0.02</w:t>
            </w:r>
          </w:p>
        </w:tc>
        <w:tc>
          <w:tcPr>
            <w:tcW w:w="72" w:type="dxa"/>
            <w:shd w:val="clear" w:color="auto" w:fill="FFFFFF"/>
          </w:tcPr>
          <w:p w14:paraId="5D9050B4" w14:textId="77777777" w:rsidR="009355C7" w:rsidRDefault="009355C7">
            <w:pPr>
              <w:snapToGrid w:val="0"/>
            </w:pPr>
          </w:p>
        </w:tc>
      </w:tr>
      <w:tr w:rsidR="009355C7" w14:paraId="6F7EC952" w14:textId="77777777">
        <w:trPr>
          <w:trHeight w:val="680"/>
          <w:jc w:val="center"/>
        </w:trPr>
        <w:tc>
          <w:tcPr>
            <w:tcW w:w="3600" w:type="dxa"/>
            <w:shd w:val="clear" w:color="auto" w:fill="FFFFFF"/>
          </w:tcPr>
          <w:p w14:paraId="12F0839A" w14:textId="77777777" w:rsidR="009355C7" w:rsidRDefault="009355C7">
            <w:r>
              <w:rPr>
                <w:b/>
              </w:rPr>
              <w:t>S</w:t>
            </w:r>
            <w:r>
              <w:t xml:space="preserve"> (PDO + </w:t>
            </w:r>
            <w:proofErr w:type="spellStart"/>
            <w:r>
              <w:t>PDO</w:t>
            </w:r>
            <w:r>
              <w:rPr>
                <w:vertAlign w:val="subscript"/>
              </w:rPr>
              <w:t>lag</w:t>
            </w:r>
            <w:proofErr w:type="spellEnd"/>
            <w:r>
              <w:t xml:space="preserve"> ) * </w:t>
            </w:r>
            <w:proofErr w:type="spellStart"/>
            <w:r>
              <w:t>Brd</w:t>
            </w:r>
            <w:proofErr w:type="spellEnd"/>
            <w:r>
              <w:t xml:space="preserve">. State                             </w:t>
            </w:r>
            <w:r>
              <w:rPr>
                <w:b/>
              </w:rPr>
              <w:t>Ψ</w:t>
            </w:r>
            <w:r>
              <w:t xml:space="preserve"> Old: </w:t>
            </w:r>
            <w:proofErr w:type="spellStart"/>
            <w:r>
              <w:t>Brd</w:t>
            </w:r>
            <w:proofErr w:type="spellEnd"/>
            <w:r>
              <w:t>. State, Young: 1</w:t>
            </w:r>
          </w:p>
        </w:tc>
        <w:tc>
          <w:tcPr>
            <w:tcW w:w="559" w:type="dxa"/>
            <w:shd w:val="clear" w:color="auto" w:fill="FFFFFF"/>
          </w:tcPr>
          <w:p w14:paraId="2FF55A27" w14:textId="77777777" w:rsidR="009355C7" w:rsidRDefault="009355C7">
            <w:pPr>
              <w:jc w:val="center"/>
            </w:pPr>
            <w:r>
              <w:t>10</w:t>
            </w:r>
          </w:p>
        </w:tc>
        <w:tc>
          <w:tcPr>
            <w:tcW w:w="1100" w:type="dxa"/>
            <w:shd w:val="clear" w:color="auto" w:fill="FFFFFF"/>
          </w:tcPr>
          <w:p w14:paraId="72904E46" w14:textId="77777777" w:rsidR="009355C7" w:rsidRDefault="009355C7">
            <w:pPr>
              <w:jc w:val="center"/>
            </w:pPr>
            <w:r>
              <w:t>390.36</w:t>
            </w:r>
          </w:p>
        </w:tc>
        <w:tc>
          <w:tcPr>
            <w:tcW w:w="959" w:type="dxa"/>
            <w:shd w:val="clear" w:color="auto" w:fill="FFFFFF"/>
          </w:tcPr>
          <w:p w14:paraId="2517D7E8" w14:textId="77777777" w:rsidR="009355C7" w:rsidRDefault="009355C7">
            <w:pPr>
              <w:jc w:val="center"/>
            </w:pPr>
            <w:r>
              <w:t>6.17</w:t>
            </w:r>
          </w:p>
        </w:tc>
        <w:tc>
          <w:tcPr>
            <w:tcW w:w="880" w:type="dxa"/>
            <w:shd w:val="clear" w:color="auto" w:fill="FFFFFF"/>
          </w:tcPr>
          <w:p w14:paraId="1EC29827" w14:textId="77777777" w:rsidR="009355C7" w:rsidRDefault="009355C7">
            <w:pPr>
              <w:jc w:val="center"/>
            </w:pPr>
            <w:r>
              <w:t>0.01</w:t>
            </w:r>
          </w:p>
        </w:tc>
        <w:tc>
          <w:tcPr>
            <w:tcW w:w="72" w:type="dxa"/>
            <w:shd w:val="clear" w:color="auto" w:fill="FFFFFF"/>
          </w:tcPr>
          <w:p w14:paraId="2A53E4D7" w14:textId="77777777" w:rsidR="009355C7" w:rsidRDefault="009355C7">
            <w:pPr>
              <w:snapToGrid w:val="0"/>
            </w:pPr>
          </w:p>
        </w:tc>
      </w:tr>
      <w:tr w:rsidR="009355C7" w14:paraId="4BC6EDC1" w14:textId="77777777">
        <w:trPr>
          <w:trHeight w:val="680"/>
          <w:jc w:val="center"/>
        </w:trPr>
        <w:tc>
          <w:tcPr>
            <w:tcW w:w="3600" w:type="dxa"/>
            <w:tcBorders>
              <w:bottom w:val="single" w:sz="4" w:space="0" w:color="000000"/>
            </w:tcBorders>
            <w:shd w:val="clear" w:color="auto" w:fill="FFFFFF"/>
          </w:tcPr>
          <w:p w14:paraId="6DFE37FC" w14:textId="77777777" w:rsidR="009355C7" w:rsidRDefault="009355C7">
            <w:r>
              <w:rPr>
                <w:b/>
              </w:rPr>
              <w:t>S</w:t>
            </w:r>
            <w:r>
              <w:t xml:space="preserve"> PDO + </w:t>
            </w:r>
            <w:proofErr w:type="spellStart"/>
            <w:r>
              <w:t>PDO</w:t>
            </w:r>
            <w:r>
              <w:rPr>
                <w:vertAlign w:val="subscript"/>
              </w:rPr>
              <w:t>lag</w:t>
            </w:r>
            <w:proofErr w:type="spellEnd"/>
            <w:r>
              <w:rPr>
                <w:vertAlign w:val="subscript"/>
              </w:rPr>
              <w:t xml:space="preserve"> </w:t>
            </w:r>
            <w:r>
              <w:t xml:space="preserve">                                 </w:t>
            </w:r>
            <w:r>
              <w:rPr>
                <w:b/>
              </w:rPr>
              <w:t>Ψ</w:t>
            </w:r>
            <w:r>
              <w:t xml:space="preserve"> Old: </w:t>
            </w:r>
            <w:proofErr w:type="spellStart"/>
            <w:r>
              <w:t>Brd</w:t>
            </w:r>
            <w:proofErr w:type="spellEnd"/>
            <w:r>
              <w:t xml:space="preserve">. State + PDO + </w:t>
            </w:r>
            <w:proofErr w:type="spellStart"/>
            <w:r>
              <w:t>PDO</w:t>
            </w:r>
            <w:r>
              <w:rPr>
                <w:vertAlign w:val="subscript"/>
              </w:rPr>
              <w:t>lag</w:t>
            </w:r>
            <w:proofErr w:type="spellEnd"/>
            <w:r>
              <w:t xml:space="preserve"> + Group,              </w:t>
            </w:r>
          </w:p>
          <w:p w14:paraId="4CB6BFA6" w14:textId="77777777" w:rsidR="009355C7" w:rsidRDefault="009355C7">
            <w:r>
              <w:t xml:space="preserve">Young: PDO + </w:t>
            </w:r>
            <w:proofErr w:type="spellStart"/>
            <w:r>
              <w:t>PDO</w:t>
            </w:r>
            <w:r>
              <w:rPr>
                <w:vertAlign w:val="subscript"/>
              </w:rPr>
              <w:t>lag</w:t>
            </w:r>
            <w:proofErr w:type="spellEnd"/>
            <w:r>
              <w:t xml:space="preserve"> + Group</w:t>
            </w:r>
          </w:p>
        </w:tc>
        <w:tc>
          <w:tcPr>
            <w:tcW w:w="559" w:type="dxa"/>
            <w:tcBorders>
              <w:bottom w:val="single" w:sz="4" w:space="0" w:color="000000"/>
            </w:tcBorders>
            <w:shd w:val="clear" w:color="auto" w:fill="FFFFFF"/>
          </w:tcPr>
          <w:p w14:paraId="19E31BF3" w14:textId="77777777" w:rsidR="009355C7" w:rsidRDefault="009355C7">
            <w:pPr>
              <w:jc w:val="center"/>
            </w:pPr>
            <w:r>
              <w:t>12</w:t>
            </w:r>
          </w:p>
        </w:tc>
        <w:tc>
          <w:tcPr>
            <w:tcW w:w="1100" w:type="dxa"/>
            <w:tcBorders>
              <w:bottom w:val="single" w:sz="4" w:space="0" w:color="000000"/>
            </w:tcBorders>
            <w:shd w:val="clear" w:color="auto" w:fill="FFFFFF"/>
          </w:tcPr>
          <w:p w14:paraId="38B3E82F" w14:textId="77777777" w:rsidR="009355C7" w:rsidRDefault="009355C7">
            <w:pPr>
              <w:jc w:val="center"/>
            </w:pPr>
            <w:r>
              <w:t>390.75</w:t>
            </w:r>
          </w:p>
        </w:tc>
        <w:tc>
          <w:tcPr>
            <w:tcW w:w="959" w:type="dxa"/>
            <w:tcBorders>
              <w:bottom w:val="single" w:sz="4" w:space="0" w:color="000000"/>
            </w:tcBorders>
            <w:shd w:val="clear" w:color="auto" w:fill="FFFFFF"/>
          </w:tcPr>
          <w:p w14:paraId="68DF21AC" w14:textId="77777777" w:rsidR="009355C7" w:rsidRDefault="009355C7">
            <w:pPr>
              <w:jc w:val="center"/>
            </w:pPr>
            <w:r>
              <w:t>6.57</w:t>
            </w:r>
          </w:p>
        </w:tc>
        <w:tc>
          <w:tcPr>
            <w:tcW w:w="880" w:type="dxa"/>
            <w:tcBorders>
              <w:bottom w:val="single" w:sz="4" w:space="0" w:color="000000"/>
            </w:tcBorders>
            <w:shd w:val="clear" w:color="auto" w:fill="FFFFFF"/>
          </w:tcPr>
          <w:p w14:paraId="531BB214" w14:textId="77777777" w:rsidR="009355C7" w:rsidRDefault="009355C7">
            <w:pPr>
              <w:jc w:val="center"/>
            </w:pPr>
            <w:r>
              <w:t>0.01</w:t>
            </w:r>
          </w:p>
        </w:tc>
        <w:tc>
          <w:tcPr>
            <w:tcW w:w="72" w:type="dxa"/>
            <w:tcBorders>
              <w:bottom w:val="single" w:sz="4" w:space="0" w:color="000000"/>
            </w:tcBorders>
            <w:shd w:val="clear" w:color="auto" w:fill="FFFFFF"/>
          </w:tcPr>
          <w:p w14:paraId="688B8700" w14:textId="77777777" w:rsidR="009355C7" w:rsidRDefault="009355C7">
            <w:pPr>
              <w:snapToGrid w:val="0"/>
            </w:pPr>
          </w:p>
        </w:tc>
      </w:tr>
    </w:tbl>
    <w:p w14:paraId="299BEE64" w14:textId="77777777" w:rsidR="009355C7" w:rsidRDefault="009355C7"/>
    <w:p w14:paraId="5E152DAB" w14:textId="77777777" w:rsidR="009355C7" w:rsidRDefault="009355C7"/>
    <w:p w14:paraId="6D85F3ED" w14:textId="77777777" w:rsidR="009355C7" w:rsidRDefault="009355C7">
      <w:pPr>
        <w:pageBreakBefore/>
      </w:pPr>
      <w:proofErr w:type="gramStart"/>
      <w:r>
        <w:lastRenderedPageBreak/>
        <w:t>Table 4.</w:t>
      </w:r>
      <w:proofErr w:type="gramEnd"/>
      <w:r>
        <w:t xml:space="preserve"> </w:t>
      </w:r>
      <w:proofErr w:type="gramStart"/>
      <w:r>
        <w:t>Summed AIC weights (ω) for all covariates in a multi-state CMR analysis of adult female hoary marmots in the Ruby Range, Yukon, 1999-2004.</w:t>
      </w:r>
      <w:proofErr w:type="gramEnd"/>
      <w:r>
        <w:t xml:space="preserve"> Covariates of both survival (S) and breeding probability (ψ) are shown. Covariate descriptions are in Table 1.</w:t>
      </w:r>
    </w:p>
    <w:p w14:paraId="46EBC023" w14:textId="77777777" w:rsidR="009355C7" w:rsidRDefault="009355C7"/>
    <w:tbl>
      <w:tblPr>
        <w:tblW w:w="3800" w:type="dxa"/>
        <w:jc w:val="center"/>
        <w:tblLook w:val="04A0" w:firstRow="1" w:lastRow="0" w:firstColumn="1" w:lastColumn="0" w:noHBand="0" w:noVBand="1"/>
      </w:tblPr>
      <w:tblGrid>
        <w:gridCol w:w="2840"/>
        <w:gridCol w:w="960"/>
      </w:tblGrid>
      <w:tr w:rsidR="009355C7" w:rsidRPr="008F235F" w14:paraId="30A8ADE5" w14:textId="77777777">
        <w:trPr>
          <w:trHeight w:val="645"/>
          <w:jc w:val="center"/>
        </w:trPr>
        <w:tc>
          <w:tcPr>
            <w:tcW w:w="2840" w:type="dxa"/>
            <w:tcBorders>
              <w:top w:val="single" w:sz="8" w:space="0" w:color="000000"/>
              <w:left w:val="nil"/>
              <w:bottom w:val="single" w:sz="8" w:space="0" w:color="000000"/>
              <w:right w:val="nil"/>
            </w:tcBorders>
            <w:shd w:val="clear" w:color="000000" w:fill="FFFFFF"/>
            <w:vAlign w:val="center"/>
          </w:tcPr>
          <w:p w14:paraId="5D36CDEA"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Covariate</w:t>
            </w:r>
          </w:p>
        </w:tc>
        <w:tc>
          <w:tcPr>
            <w:tcW w:w="960" w:type="dxa"/>
            <w:tcBorders>
              <w:top w:val="single" w:sz="8" w:space="0" w:color="000000"/>
              <w:left w:val="nil"/>
              <w:bottom w:val="single" w:sz="8" w:space="0" w:color="000000"/>
              <w:right w:val="nil"/>
            </w:tcBorders>
            <w:shd w:val="clear" w:color="000000" w:fill="FFFFFF"/>
            <w:vAlign w:val="center"/>
          </w:tcPr>
          <w:p w14:paraId="1A8663A0"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ω+</w:t>
            </w:r>
          </w:p>
        </w:tc>
      </w:tr>
      <w:tr w:rsidR="009355C7" w:rsidRPr="008F235F" w14:paraId="05F59BC1" w14:textId="77777777">
        <w:trPr>
          <w:trHeight w:val="315"/>
          <w:jc w:val="center"/>
        </w:trPr>
        <w:tc>
          <w:tcPr>
            <w:tcW w:w="2840" w:type="dxa"/>
            <w:tcBorders>
              <w:top w:val="nil"/>
              <w:left w:val="nil"/>
              <w:bottom w:val="nil"/>
              <w:right w:val="nil"/>
            </w:tcBorders>
            <w:shd w:val="clear" w:color="000000" w:fill="FFFFFF"/>
            <w:vAlign w:val="center"/>
          </w:tcPr>
          <w:p w14:paraId="5223E994" w14:textId="77777777" w:rsidR="009355C7" w:rsidRPr="008F235F" w:rsidRDefault="009355C7" w:rsidP="009355C7">
            <w:pPr>
              <w:suppressAutoHyphens w:val="0"/>
              <w:rPr>
                <w:b/>
                <w:bCs/>
                <w:color w:val="000000"/>
                <w:kern w:val="0"/>
                <w:lang w:eastAsia="en-US"/>
              </w:rPr>
            </w:pPr>
            <w:r w:rsidRPr="008F235F">
              <w:rPr>
                <w:b/>
                <w:bCs/>
                <w:color w:val="000000"/>
                <w:kern w:val="0"/>
                <w:lang w:eastAsia="en-US"/>
              </w:rPr>
              <w:t>Ѱ</w:t>
            </w:r>
          </w:p>
        </w:tc>
        <w:tc>
          <w:tcPr>
            <w:tcW w:w="960" w:type="dxa"/>
            <w:tcBorders>
              <w:top w:val="nil"/>
              <w:left w:val="nil"/>
              <w:bottom w:val="nil"/>
              <w:right w:val="nil"/>
            </w:tcBorders>
            <w:shd w:val="clear" w:color="000000" w:fill="FFFFFF"/>
            <w:vAlign w:val="center"/>
          </w:tcPr>
          <w:p w14:paraId="46C4C63B"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 </w:t>
            </w:r>
          </w:p>
        </w:tc>
      </w:tr>
      <w:tr w:rsidR="009355C7" w:rsidRPr="008F235F" w14:paraId="4C174E70" w14:textId="77777777">
        <w:trPr>
          <w:trHeight w:val="315"/>
          <w:jc w:val="center"/>
        </w:trPr>
        <w:tc>
          <w:tcPr>
            <w:tcW w:w="2840" w:type="dxa"/>
            <w:tcBorders>
              <w:top w:val="nil"/>
              <w:left w:val="nil"/>
              <w:bottom w:val="nil"/>
              <w:right w:val="nil"/>
            </w:tcBorders>
            <w:shd w:val="clear" w:color="000000" w:fill="FFFFFF"/>
            <w:vAlign w:val="center"/>
          </w:tcPr>
          <w:p w14:paraId="3A64F82E" w14:textId="77777777" w:rsidR="009355C7" w:rsidRPr="008F235F" w:rsidRDefault="009355C7" w:rsidP="009355C7">
            <w:pPr>
              <w:suppressAutoHyphens w:val="0"/>
              <w:rPr>
                <w:color w:val="000000"/>
                <w:kern w:val="0"/>
                <w:lang w:eastAsia="en-US"/>
              </w:rPr>
            </w:pPr>
            <w:r w:rsidRPr="008F235F">
              <w:rPr>
                <w:color w:val="000000"/>
                <w:kern w:val="0"/>
                <w:lang w:eastAsia="en-US"/>
              </w:rPr>
              <w:t>Age</w:t>
            </w:r>
          </w:p>
        </w:tc>
        <w:tc>
          <w:tcPr>
            <w:tcW w:w="960" w:type="dxa"/>
            <w:tcBorders>
              <w:top w:val="nil"/>
              <w:left w:val="nil"/>
              <w:bottom w:val="nil"/>
              <w:right w:val="nil"/>
            </w:tcBorders>
            <w:shd w:val="clear" w:color="000000" w:fill="FFFFFF"/>
            <w:vAlign w:val="center"/>
          </w:tcPr>
          <w:p w14:paraId="4E91D7F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40C72ED3" w14:textId="77777777">
        <w:trPr>
          <w:trHeight w:val="315"/>
          <w:jc w:val="center"/>
        </w:trPr>
        <w:tc>
          <w:tcPr>
            <w:tcW w:w="2840" w:type="dxa"/>
            <w:tcBorders>
              <w:top w:val="nil"/>
              <w:left w:val="nil"/>
              <w:bottom w:val="nil"/>
              <w:right w:val="nil"/>
            </w:tcBorders>
            <w:shd w:val="clear" w:color="000000" w:fill="FFFFFF"/>
            <w:vAlign w:val="center"/>
          </w:tcPr>
          <w:p w14:paraId="3528F681" w14:textId="77777777" w:rsidR="009355C7" w:rsidRPr="008F235F" w:rsidRDefault="009355C7" w:rsidP="009355C7">
            <w:pPr>
              <w:suppressAutoHyphens w:val="0"/>
              <w:rPr>
                <w:color w:val="000000"/>
                <w:kern w:val="0"/>
                <w:lang w:eastAsia="en-US"/>
              </w:rPr>
            </w:pPr>
            <w:proofErr w:type="spellStart"/>
            <w:r w:rsidRPr="008F235F">
              <w:rPr>
                <w:color w:val="000000"/>
                <w:kern w:val="0"/>
                <w:lang w:eastAsia="en-US"/>
              </w:rPr>
              <w:t>Brd</w:t>
            </w:r>
            <w:proofErr w:type="spellEnd"/>
            <w:r w:rsidRPr="008F235F">
              <w:rPr>
                <w:color w:val="000000"/>
                <w:kern w:val="0"/>
                <w:lang w:eastAsia="en-US"/>
              </w:rPr>
              <w:t>. State</w:t>
            </w:r>
          </w:p>
        </w:tc>
        <w:tc>
          <w:tcPr>
            <w:tcW w:w="960" w:type="dxa"/>
            <w:tcBorders>
              <w:top w:val="nil"/>
              <w:left w:val="nil"/>
              <w:bottom w:val="nil"/>
              <w:right w:val="nil"/>
            </w:tcBorders>
            <w:shd w:val="clear" w:color="000000" w:fill="FFFFFF"/>
            <w:vAlign w:val="center"/>
          </w:tcPr>
          <w:p w14:paraId="7F858834"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0.47</w:t>
            </w:r>
          </w:p>
        </w:tc>
      </w:tr>
      <w:tr w:rsidR="009355C7" w:rsidRPr="008F235F" w14:paraId="3AC61F83" w14:textId="77777777">
        <w:trPr>
          <w:trHeight w:val="315"/>
          <w:jc w:val="center"/>
        </w:trPr>
        <w:tc>
          <w:tcPr>
            <w:tcW w:w="2840" w:type="dxa"/>
            <w:tcBorders>
              <w:top w:val="nil"/>
              <w:left w:val="nil"/>
              <w:bottom w:val="nil"/>
              <w:right w:val="nil"/>
            </w:tcBorders>
            <w:shd w:val="clear" w:color="000000" w:fill="FFFFFF"/>
            <w:vAlign w:val="center"/>
          </w:tcPr>
          <w:p w14:paraId="345C18C3" w14:textId="77777777" w:rsidR="009355C7" w:rsidRPr="008F235F" w:rsidRDefault="009355C7" w:rsidP="009355C7">
            <w:pPr>
              <w:suppressAutoHyphens w:val="0"/>
              <w:rPr>
                <w:color w:val="000000"/>
                <w:kern w:val="0"/>
                <w:lang w:eastAsia="en-US"/>
              </w:rPr>
            </w:pPr>
            <w:r w:rsidRPr="008F235F">
              <w:rPr>
                <w:color w:val="000000"/>
                <w:kern w:val="0"/>
                <w:lang w:eastAsia="en-US"/>
              </w:rPr>
              <w:t>Age*</w:t>
            </w:r>
            <w:proofErr w:type="spellStart"/>
            <w:r w:rsidRPr="008F235F">
              <w:rPr>
                <w:color w:val="000000"/>
                <w:kern w:val="0"/>
                <w:lang w:eastAsia="en-US"/>
              </w:rPr>
              <w:t>Brd</w:t>
            </w:r>
            <w:proofErr w:type="spellEnd"/>
            <w:r w:rsidRPr="008F235F">
              <w:rPr>
                <w:color w:val="000000"/>
                <w:kern w:val="0"/>
                <w:lang w:eastAsia="en-US"/>
              </w:rPr>
              <w:t>. State</w:t>
            </w:r>
          </w:p>
        </w:tc>
        <w:tc>
          <w:tcPr>
            <w:tcW w:w="960" w:type="dxa"/>
            <w:tcBorders>
              <w:top w:val="nil"/>
              <w:left w:val="nil"/>
              <w:bottom w:val="nil"/>
              <w:right w:val="nil"/>
            </w:tcBorders>
            <w:shd w:val="clear" w:color="000000" w:fill="FFFFFF"/>
            <w:vAlign w:val="center"/>
          </w:tcPr>
          <w:p w14:paraId="4C2ECEF3"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0.47</w:t>
            </w:r>
          </w:p>
        </w:tc>
      </w:tr>
      <w:tr w:rsidR="009355C7" w:rsidRPr="008F235F" w14:paraId="1CA3BCCA" w14:textId="77777777">
        <w:trPr>
          <w:trHeight w:val="315"/>
          <w:jc w:val="center"/>
        </w:trPr>
        <w:tc>
          <w:tcPr>
            <w:tcW w:w="2840" w:type="dxa"/>
            <w:tcBorders>
              <w:top w:val="nil"/>
              <w:left w:val="nil"/>
              <w:bottom w:val="nil"/>
              <w:right w:val="nil"/>
            </w:tcBorders>
            <w:shd w:val="clear" w:color="000000" w:fill="FFFFFF"/>
            <w:vAlign w:val="center"/>
          </w:tcPr>
          <w:p w14:paraId="5DB3B942" w14:textId="77777777" w:rsidR="009355C7" w:rsidRPr="008F235F" w:rsidRDefault="009355C7" w:rsidP="009355C7">
            <w:pPr>
              <w:suppressAutoHyphens w:val="0"/>
              <w:rPr>
                <w:color w:val="000000"/>
                <w:kern w:val="0"/>
                <w:lang w:eastAsia="en-US"/>
              </w:rPr>
            </w:pPr>
            <w:r w:rsidRPr="008F235F">
              <w:rPr>
                <w:color w:val="000000"/>
                <w:kern w:val="0"/>
                <w:lang w:eastAsia="en-US"/>
              </w:rPr>
              <w:t>Group</w:t>
            </w:r>
          </w:p>
        </w:tc>
        <w:tc>
          <w:tcPr>
            <w:tcW w:w="960" w:type="dxa"/>
            <w:tcBorders>
              <w:top w:val="nil"/>
              <w:left w:val="nil"/>
              <w:bottom w:val="nil"/>
              <w:right w:val="nil"/>
            </w:tcBorders>
            <w:shd w:val="clear" w:color="000000" w:fill="FFFFFF"/>
            <w:vAlign w:val="center"/>
          </w:tcPr>
          <w:p w14:paraId="52D6FC8E"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0.28</w:t>
            </w:r>
          </w:p>
        </w:tc>
      </w:tr>
      <w:tr w:rsidR="009355C7" w:rsidRPr="008F235F" w14:paraId="75D0004B" w14:textId="77777777">
        <w:trPr>
          <w:trHeight w:val="315"/>
          <w:jc w:val="center"/>
        </w:trPr>
        <w:tc>
          <w:tcPr>
            <w:tcW w:w="2840" w:type="dxa"/>
            <w:tcBorders>
              <w:top w:val="nil"/>
              <w:left w:val="nil"/>
              <w:bottom w:val="nil"/>
              <w:right w:val="nil"/>
            </w:tcBorders>
            <w:shd w:val="clear" w:color="000000" w:fill="FFFFFF"/>
            <w:vAlign w:val="center"/>
          </w:tcPr>
          <w:p w14:paraId="508E45C2" w14:textId="77777777" w:rsidR="009355C7" w:rsidRPr="008F235F" w:rsidRDefault="009355C7" w:rsidP="009355C7">
            <w:pPr>
              <w:suppressAutoHyphens w:val="0"/>
              <w:rPr>
                <w:color w:val="000000"/>
                <w:kern w:val="0"/>
                <w:lang w:eastAsia="en-US"/>
              </w:rPr>
            </w:pPr>
            <w:r w:rsidRPr="008F235F">
              <w:rPr>
                <w:color w:val="000000"/>
                <w:kern w:val="0"/>
                <w:lang w:eastAsia="en-US"/>
              </w:rPr>
              <w:t>Age*Group</w:t>
            </w:r>
          </w:p>
        </w:tc>
        <w:tc>
          <w:tcPr>
            <w:tcW w:w="960" w:type="dxa"/>
            <w:tcBorders>
              <w:top w:val="nil"/>
              <w:left w:val="nil"/>
              <w:bottom w:val="nil"/>
              <w:right w:val="nil"/>
            </w:tcBorders>
            <w:shd w:val="clear" w:color="000000" w:fill="FFFFFF"/>
            <w:vAlign w:val="center"/>
          </w:tcPr>
          <w:p w14:paraId="7D16FC0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0.28</w:t>
            </w:r>
          </w:p>
        </w:tc>
      </w:tr>
      <w:tr w:rsidR="009355C7" w:rsidRPr="008F235F" w14:paraId="683FB150" w14:textId="77777777">
        <w:trPr>
          <w:trHeight w:val="315"/>
          <w:jc w:val="center"/>
        </w:trPr>
        <w:tc>
          <w:tcPr>
            <w:tcW w:w="2840" w:type="dxa"/>
            <w:tcBorders>
              <w:top w:val="nil"/>
              <w:left w:val="nil"/>
              <w:bottom w:val="nil"/>
              <w:right w:val="nil"/>
            </w:tcBorders>
            <w:shd w:val="clear" w:color="000000" w:fill="FFFFFF"/>
            <w:vAlign w:val="center"/>
          </w:tcPr>
          <w:p w14:paraId="47A83668" w14:textId="77777777" w:rsidR="009355C7" w:rsidRPr="008F235F" w:rsidRDefault="009355C7" w:rsidP="009355C7">
            <w:pPr>
              <w:suppressAutoHyphens w:val="0"/>
              <w:rPr>
                <w:color w:val="000000"/>
                <w:kern w:val="0"/>
                <w:lang w:eastAsia="en-US"/>
              </w:rPr>
            </w:pPr>
            <w:r w:rsidRPr="008F235F">
              <w:rPr>
                <w:color w:val="000000"/>
                <w:kern w:val="0"/>
                <w:lang w:eastAsia="en-US"/>
              </w:rPr>
              <w:t xml:space="preserve">Ad. </w:t>
            </w:r>
            <w:proofErr w:type="spellStart"/>
            <w:r w:rsidRPr="008F235F">
              <w:rPr>
                <w:color w:val="000000"/>
                <w:kern w:val="0"/>
                <w:lang w:eastAsia="en-US"/>
              </w:rPr>
              <w:t>Fems</w:t>
            </w:r>
            <w:proofErr w:type="spellEnd"/>
          </w:p>
        </w:tc>
        <w:tc>
          <w:tcPr>
            <w:tcW w:w="960" w:type="dxa"/>
            <w:tcBorders>
              <w:top w:val="nil"/>
              <w:left w:val="nil"/>
              <w:bottom w:val="nil"/>
              <w:right w:val="nil"/>
            </w:tcBorders>
            <w:shd w:val="clear" w:color="000000" w:fill="FFFFFF"/>
            <w:vAlign w:val="center"/>
          </w:tcPr>
          <w:p w14:paraId="1B3C02AF"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0.06</w:t>
            </w:r>
          </w:p>
        </w:tc>
      </w:tr>
      <w:tr w:rsidR="009355C7" w:rsidRPr="008F235F" w14:paraId="297B92A2" w14:textId="77777777">
        <w:trPr>
          <w:trHeight w:val="315"/>
          <w:jc w:val="center"/>
        </w:trPr>
        <w:tc>
          <w:tcPr>
            <w:tcW w:w="2840" w:type="dxa"/>
            <w:tcBorders>
              <w:top w:val="nil"/>
              <w:left w:val="nil"/>
              <w:bottom w:val="nil"/>
              <w:right w:val="nil"/>
            </w:tcBorders>
            <w:shd w:val="clear" w:color="000000" w:fill="FFFFFF"/>
            <w:vAlign w:val="center"/>
          </w:tcPr>
          <w:p w14:paraId="6E823DAD" w14:textId="77777777" w:rsidR="009355C7" w:rsidRPr="008F235F" w:rsidRDefault="009355C7" w:rsidP="009355C7">
            <w:pPr>
              <w:suppressAutoHyphens w:val="0"/>
              <w:rPr>
                <w:color w:val="000000"/>
                <w:kern w:val="0"/>
                <w:lang w:eastAsia="en-US"/>
              </w:rPr>
            </w:pPr>
            <w:r w:rsidRPr="008F235F">
              <w:rPr>
                <w:color w:val="000000"/>
                <w:kern w:val="0"/>
                <w:lang w:eastAsia="en-US"/>
              </w:rPr>
              <w:t>PDO</w:t>
            </w:r>
          </w:p>
        </w:tc>
        <w:tc>
          <w:tcPr>
            <w:tcW w:w="960" w:type="dxa"/>
            <w:tcBorders>
              <w:top w:val="nil"/>
              <w:left w:val="nil"/>
              <w:bottom w:val="nil"/>
              <w:right w:val="nil"/>
            </w:tcBorders>
            <w:shd w:val="clear" w:color="000000" w:fill="FFFFFF"/>
            <w:vAlign w:val="center"/>
          </w:tcPr>
          <w:p w14:paraId="1584FA1B"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15A0BDAE" w14:textId="77777777">
        <w:trPr>
          <w:trHeight w:val="315"/>
          <w:jc w:val="center"/>
        </w:trPr>
        <w:tc>
          <w:tcPr>
            <w:tcW w:w="2840" w:type="dxa"/>
            <w:tcBorders>
              <w:top w:val="nil"/>
              <w:left w:val="nil"/>
              <w:bottom w:val="nil"/>
              <w:right w:val="nil"/>
            </w:tcBorders>
            <w:shd w:val="clear" w:color="000000" w:fill="FFFFFF"/>
            <w:vAlign w:val="center"/>
          </w:tcPr>
          <w:p w14:paraId="04B52CDE" w14:textId="77777777" w:rsidR="009355C7" w:rsidRPr="008F235F" w:rsidRDefault="009355C7" w:rsidP="009355C7">
            <w:pPr>
              <w:suppressAutoHyphens w:val="0"/>
              <w:rPr>
                <w:color w:val="000000"/>
                <w:kern w:val="0"/>
                <w:lang w:eastAsia="en-US"/>
              </w:rPr>
            </w:pPr>
            <w:proofErr w:type="spellStart"/>
            <w:r w:rsidRPr="008F235F">
              <w:rPr>
                <w:color w:val="000000"/>
                <w:kern w:val="0"/>
                <w:lang w:eastAsia="en-US"/>
              </w:rPr>
              <w:t>PDOlag</w:t>
            </w:r>
            <w:proofErr w:type="spellEnd"/>
          </w:p>
        </w:tc>
        <w:tc>
          <w:tcPr>
            <w:tcW w:w="960" w:type="dxa"/>
            <w:tcBorders>
              <w:top w:val="nil"/>
              <w:left w:val="nil"/>
              <w:bottom w:val="nil"/>
              <w:right w:val="nil"/>
            </w:tcBorders>
            <w:shd w:val="clear" w:color="000000" w:fill="FFFFFF"/>
            <w:vAlign w:val="center"/>
          </w:tcPr>
          <w:p w14:paraId="3586F63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6D520B27" w14:textId="77777777">
        <w:trPr>
          <w:trHeight w:val="315"/>
          <w:jc w:val="center"/>
        </w:trPr>
        <w:tc>
          <w:tcPr>
            <w:tcW w:w="2840" w:type="dxa"/>
            <w:tcBorders>
              <w:top w:val="nil"/>
              <w:left w:val="nil"/>
              <w:bottom w:val="nil"/>
              <w:right w:val="nil"/>
            </w:tcBorders>
            <w:shd w:val="clear" w:color="000000" w:fill="FFFFFF"/>
            <w:vAlign w:val="center"/>
          </w:tcPr>
          <w:p w14:paraId="52996EF0" w14:textId="77777777" w:rsidR="009355C7" w:rsidRPr="008F235F" w:rsidRDefault="009355C7" w:rsidP="009355C7">
            <w:pPr>
              <w:suppressAutoHyphens w:val="0"/>
              <w:rPr>
                <w:color w:val="000000"/>
                <w:kern w:val="0"/>
                <w:lang w:eastAsia="en-US"/>
              </w:rPr>
            </w:pPr>
            <w:r w:rsidRPr="008F235F">
              <w:rPr>
                <w:color w:val="000000"/>
                <w:kern w:val="0"/>
                <w:lang w:eastAsia="en-US"/>
              </w:rPr>
              <w:t>Age*PDO</w:t>
            </w:r>
          </w:p>
        </w:tc>
        <w:tc>
          <w:tcPr>
            <w:tcW w:w="960" w:type="dxa"/>
            <w:tcBorders>
              <w:top w:val="nil"/>
              <w:left w:val="nil"/>
              <w:bottom w:val="nil"/>
              <w:right w:val="nil"/>
            </w:tcBorders>
            <w:shd w:val="clear" w:color="000000" w:fill="FFFFFF"/>
            <w:vAlign w:val="center"/>
          </w:tcPr>
          <w:p w14:paraId="6341C5E7"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490EFDF4" w14:textId="77777777">
        <w:trPr>
          <w:trHeight w:val="315"/>
          <w:jc w:val="center"/>
        </w:trPr>
        <w:tc>
          <w:tcPr>
            <w:tcW w:w="2840" w:type="dxa"/>
            <w:tcBorders>
              <w:top w:val="nil"/>
              <w:left w:val="nil"/>
              <w:bottom w:val="nil"/>
              <w:right w:val="nil"/>
            </w:tcBorders>
            <w:shd w:val="clear" w:color="000000" w:fill="FFFFFF"/>
            <w:vAlign w:val="center"/>
          </w:tcPr>
          <w:p w14:paraId="7F82C802" w14:textId="77777777" w:rsidR="009355C7" w:rsidRPr="008F235F" w:rsidRDefault="009355C7" w:rsidP="009355C7">
            <w:pPr>
              <w:suppressAutoHyphens w:val="0"/>
              <w:rPr>
                <w:color w:val="000000"/>
                <w:kern w:val="0"/>
                <w:lang w:eastAsia="en-US"/>
              </w:rPr>
            </w:pPr>
            <w:r w:rsidRPr="008F235F">
              <w:rPr>
                <w:color w:val="000000"/>
                <w:kern w:val="0"/>
                <w:lang w:eastAsia="en-US"/>
              </w:rPr>
              <w:t>Age*</w:t>
            </w:r>
            <w:proofErr w:type="spellStart"/>
            <w:r w:rsidRPr="008F235F">
              <w:rPr>
                <w:color w:val="000000"/>
                <w:kern w:val="0"/>
                <w:lang w:eastAsia="en-US"/>
              </w:rPr>
              <w:t>PDOlag</w:t>
            </w:r>
            <w:proofErr w:type="spellEnd"/>
          </w:p>
        </w:tc>
        <w:tc>
          <w:tcPr>
            <w:tcW w:w="960" w:type="dxa"/>
            <w:tcBorders>
              <w:top w:val="nil"/>
              <w:left w:val="nil"/>
              <w:bottom w:val="nil"/>
              <w:right w:val="nil"/>
            </w:tcBorders>
            <w:shd w:val="clear" w:color="000000" w:fill="FFFFFF"/>
            <w:vAlign w:val="center"/>
          </w:tcPr>
          <w:p w14:paraId="573FE3B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0.01</w:t>
            </w:r>
          </w:p>
        </w:tc>
      </w:tr>
      <w:tr w:rsidR="009355C7" w:rsidRPr="008F235F" w14:paraId="0AA1D857" w14:textId="77777777">
        <w:trPr>
          <w:trHeight w:val="315"/>
          <w:jc w:val="center"/>
        </w:trPr>
        <w:tc>
          <w:tcPr>
            <w:tcW w:w="2840" w:type="dxa"/>
            <w:tcBorders>
              <w:top w:val="nil"/>
              <w:left w:val="nil"/>
              <w:bottom w:val="nil"/>
              <w:right w:val="nil"/>
            </w:tcBorders>
            <w:shd w:val="clear" w:color="000000" w:fill="FFFFFF"/>
            <w:vAlign w:val="center"/>
          </w:tcPr>
          <w:p w14:paraId="5F314EC2" w14:textId="77777777" w:rsidR="009355C7" w:rsidRPr="008F235F" w:rsidRDefault="009355C7" w:rsidP="009355C7">
            <w:pPr>
              <w:suppressAutoHyphens w:val="0"/>
              <w:rPr>
                <w:color w:val="000000"/>
                <w:kern w:val="0"/>
                <w:lang w:eastAsia="en-US"/>
              </w:rPr>
            </w:pPr>
            <w:r w:rsidRPr="008F235F">
              <w:rPr>
                <w:color w:val="000000"/>
                <w:kern w:val="0"/>
                <w:lang w:eastAsia="en-US"/>
              </w:rPr>
              <w:t xml:space="preserve">Age*Ad. </w:t>
            </w:r>
            <w:proofErr w:type="spellStart"/>
            <w:r w:rsidRPr="008F235F">
              <w:rPr>
                <w:color w:val="000000"/>
                <w:kern w:val="0"/>
                <w:lang w:eastAsia="en-US"/>
              </w:rPr>
              <w:t>Fems</w:t>
            </w:r>
            <w:proofErr w:type="spellEnd"/>
          </w:p>
        </w:tc>
        <w:tc>
          <w:tcPr>
            <w:tcW w:w="960" w:type="dxa"/>
            <w:tcBorders>
              <w:top w:val="nil"/>
              <w:left w:val="nil"/>
              <w:bottom w:val="nil"/>
              <w:right w:val="nil"/>
            </w:tcBorders>
            <w:shd w:val="clear" w:color="000000" w:fill="FFFFFF"/>
            <w:vAlign w:val="center"/>
          </w:tcPr>
          <w:p w14:paraId="01A74F8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w:t>
            </w:r>
          </w:p>
        </w:tc>
      </w:tr>
      <w:tr w:rsidR="009355C7" w:rsidRPr="008F235F" w14:paraId="607D56F4" w14:textId="77777777">
        <w:trPr>
          <w:trHeight w:val="315"/>
          <w:jc w:val="center"/>
        </w:trPr>
        <w:tc>
          <w:tcPr>
            <w:tcW w:w="2840" w:type="dxa"/>
            <w:tcBorders>
              <w:top w:val="nil"/>
              <w:left w:val="nil"/>
              <w:bottom w:val="nil"/>
              <w:right w:val="nil"/>
            </w:tcBorders>
            <w:shd w:val="clear" w:color="000000" w:fill="FFFFFF"/>
            <w:vAlign w:val="center"/>
          </w:tcPr>
          <w:p w14:paraId="7DF5383A" w14:textId="77777777" w:rsidR="009355C7" w:rsidRPr="008F235F" w:rsidRDefault="009355C7" w:rsidP="009355C7">
            <w:pPr>
              <w:suppressAutoHyphens w:val="0"/>
              <w:rPr>
                <w:color w:val="000000"/>
                <w:kern w:val="0"/>
                <w:lang w:eastAsia="en-US"/>
              </w:rPr>
            </w:pPr>
            <w:r w:rsidRPr="008F235F">
              <w:rPr>
                <w:color w:val="000000"/>
                <w:kern w:val="0"/>
                <w:lang w:eastAsia="en-US"/>
              </w:rPr>
              <w:t> </w:t>
            </w:r>
          </w:p>
        </w:tc>
        <w:tc>
          <w:tcPr>
            <w:tcW w:w="960" w:type="dxa"/>
            <w:tcBorders>
              <w:top w:val="nil"/>
              <w:left w:val="nil"/>
              <w:bottom w:val="nil"/>
              <w:right w:val="nil"/>
            </w:tcBorders>
            <w:shd w:val="clear" w:color="000000" w:fill="FFFFFF"/>
            <w:vAlign w:val="center"/>
          </w:tcPr>
          <w:p w14:paraId="437AFE5F"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 </w:t>
            </w:r>
          </w:p>
        </w:tc>
      </w:tr>
      <w:tr w:rsidR="009355C7" w:rsidRPr="008F235F" w14:paraId="117DCAC3" w14:textId="77777777">
        <w:trPr>
          <w:trHeight w:val="315"/>
          <w:jc w:val="center"/>
        </w:trPr>
        <w:tc>
          <w:tcPr>
            <w:tcW w:w="2840" w:type="dxa"/>
            <w:tcBorders>
              <w:top w:val="nil"/>
              <w:left w:val="nil"/>
              <w:bottom w:val="nil"/>
              <w:right w:val="nil"/>
            </w:tcBorders>
            <w:shd w:val="clear" w:color="000000" w:fill="FFFFFF"/>
            <w:vAlign w:val="center"/>
          </w:tcPr>
          <w:p w14:paraId="437DC3AE" w14:textId="77777777" w:rsidR="009355C7" w:rsidRPr="008F235F" w:rsidRDefault="009355C7" w:rsidP="009355C7">
            <w:pPr>
              <w:suppressAutoHyphens w:val="0"/>
              <w:rPr>
                <w:b/>
                <w:bCs/>
                <w:color w:val="000000"/>
                <w:kern w:val="0"/>
                <w:lang w:eastAsia="en-US"/>
              </w:rPr>
            </w:pPr>
            <w:r w:rsidRPr="008F235F">
              <w:rPr>
                <w:b/>
                <w:bCs/>
                <w:color w:val="000000"/>
                <w:kern w:val="0"/>
                <w:lang w:eastAsia="en-US"/>
              </w:rPr>
              <w:t>S</w:t>
            </w:r>
          </w:p>
        </w:tc>
        <w:tc>
          <w:tcPr>
            <w:tcW w:w="960" w:type="dxa"/>
            <w:tcBorders>
              <w:top w:val="nil"/>
              <w:left w:val="nil"/>
              <w:bottom w:val="nil"/>
              <w:right w:val="nil"/>
            </w:tcBorders>
            <w:shd w:val="clear" w:color="000000" w:fill="FFFFFF"/>
            <w:vAlign w:val="center"/>
          </w:tcPr>
          <w:p w14:paraId="4AC8B969"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 </w:t>
            </w:r>
          </w:p>
        </w:tc>
      </w:tr>
      <w:tr w:rsidR="009355C7" w:rsidRPr="008F235F" w14:paraId="080621EB" w14:textId="77777777">
        <w:trPr>
          <w:trHeight w:val="315"/>
          <w:jc w:val="center"/>
        </w:trPr>
        <w:tc>
          <w:tcPr>
            <w:tcW w:w="2840" w:type="dxa"/>
            <w:tcBorders>
              <w:top w:val="nil"/>
              <w:left w:val="nil"/>
              <w:bottom w:val="nil"/>
              <w:right w:val="nil"/>
            </w:tcBorders>
            <w:shd w:val="clear" w:color="000000" w:fill="FFFFFF"/>
            <w:vAlign w:val="center"/>
          </w:tcPr>
          <w:p w14:paraId="21D8579C" w14:textId="77777777" w:rsidR="009355C7" w:rsidRPr="008F235F" w:rsidRDefault="009355C7" w:rsidP="009355C7">
            <w:pPr>
              <w:suppressAutoHyphens w:val="0"/>
              <w:rPr>
                <w:color w:val="000000"/>
                <w:kern w:val="0"/>
                <w:lang w:eastAsia="en-US"/>
              </w:rPr>
            </w:pPr>
            <w:r w:rsidRPr="008F235F">
              <w:rPr>
                <w:color w:val="000000"/>
                <w:kern w:val="0"/>
                <w:lang w:eastAsia="en-US"/>
              </w:rPr>
              <w:t>PDO</w:t>
            </w:r>
          </w:p>
        </w:tc>
        <w:tc>
          <w:tcPr>
            <w:tcW w:w="960" w:type="dxa"/>
            <w:tcBorders>
              <w:top w:val="nil"/>
              <w:left w:val="nil"/>
              <w:bottom w:val="nil"/>
              <w:right w:val="nil"/>
            </w:tcBorders>
            <w:shd w:val="clear" w:color="000000" w:fill="FFFFFF"/>
            <w:vAlign w:val="center"/>
          </w:tcPr>
          <w:p w14:paraId="03A5BB11"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69B65A77" w14:textId="77777777">
        <w:trPr>
          <w:trHeight w:val="315"/>
          <w:jc w:val="center"/>
        </w:trPr>
        <w:tc>
          <w:tcPr>
            <w:tcW w:w="2840" w:type="dxa"/>
            <w:tcBorders>
              <w:top w:val="nil"/>
              <w:left w:val="nil"/>
              <w:bottom w:val="nil"/>
              <w:right w:val="nil"/>
            </w:tcBorders>
            <w:shd w:val="clear" w:color="000000" w:fill="FFFFFF"/>
            <w:vAlign w:val="center"/>
          </w:tcPr>
          <w:p w14:paraId="6E4FE453" w14:textId="77777777" w:rsidR="009355C7" w:rsidRPr="008F235F" w:rsidRDefault="009355C7" w:rsidP="009355C7">
            <w:pPr>
              <w:suppressAutoHyphens w:val="0"/>
              <w:rPr>
                <w:color w:val="000000"/>
                <w:kern w:val="0"/>
                <w:lang w:eastAsia="en-US"/>
              </w:rPr>
            </w:pPr>
            <w:proofErr w:type="spellStart"/>
            <w:r w:rsidRPr="008F235F">
              <w:rPr>
                <w:color w:val="000000"/>
                <w:kern w:val="0"/>
                <w:lang w:eastAsia="en-US"/>
              </w:rPr>
              <w:t>PDOlag</w:t>
            </w:r>
            <w:proofErr w:type="spellEnd"/>
          </w:p>
        </w:tc>
        <w:tc>
          <w:tcPr>
            <w:tcW w:w="960" w:type="dxa"/>
            <w:tcBorders>
              <w:top w:val="nil"/>
              <w:left w:val="nil"/>
              <w:bottom w:val="nil"/>
              <w:right w:val="nil"/>
            </w:tcBorders>
            <w:shd w:val="clear" w:color="000000" w:fill="FFFFFF"/>
            <w:vAlign w:val="center"/>
          </w:tcPr>
          <w:p w14:paraId="09F72796"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w:t>
            </w:r>
          </w:p>
        </w:tc>
      </w:tr>
      <w:tr w:rsidR="009355C7" w:rsidRPr="008F235F" w14:paraId="129CFC81" w14:textId="77777777">
        <w:trPr>
          <w:trHeight w:val="315"/>
          <w:jc w:val="center"/>
        </w:trPr>
        <w:tc>
          <w:tcPr>
            <w:tcW w:w="2840" w:type="dxa"/>
            <w:tcBorders>
              <w:top w:val="nil"/>
              <w:left w:val="nil"/>
              <w:bottom w:val="nil"/>
              <w:right w:val="nil"/>
            </w:tcBorders>
            <w:shd w:val="clear" w:color="000000" w:fill="FFFFFF"/>
            <w:vAlign w:val="center"/>
          </w:tcPr>
          <w:p w14:paraId="13B9712F" w14:textId="77777777" w:rsidR="009355C7" w:rsidRPr="008F235F" w:rsidRDefault="009355C7" w:rsidP="009355C7">
            <w:pPr>
              <w:suppressAutoHyphens w:val="0"/>
              <w:rPr>
                <w:color w:val="000000"/>
                <w:kern w:val="0"/>
                <w:lang w:eastAsia="en-US"/>
              </w:rPr>
            </w:pPr>
            <w:proofErr w:type="spellStart"/>
            <w:r w:rsidRPr="008F235F">
              <w:rPr>
                <w:color w:val="000000"/>
                <w:kern w:val="0"/>
                <w:lang w:eastAsia="en-US"/>
              </w:rPr>
              <w:t>Brd</w:t>
            </w:r>
            <w:proofErr w:type="spellEnd"/>
            <w:r w:rsidRPr="008F235F">
              <w:rPr>
                <w:color w:val="000000"/>
                <w:kern w:val="0"/>
                <w:lang w:eastAsia="en-US"/>
              </w:rPr>
              <w:t>. State</w:t>
            </w:r>
          </w:p>
        </w:tc>
        <w:tc>
          <w:tcPr>
            <w:tcW w:w="960" w:type="dxa"/>
            <w:tcBorders>
              <w:top w:val="nil"/>
              <w:left w:val="nil"/>
              <w:bottom w:val="nil"/>
              <w:right w:val="nil"/>
            </w:tcBorders>
            <w:shd w:val="clear" w:color="000000" w:fill="FFFFFF"/>
            <w:vAlign w:val="center"/>
          </w:tcPr>
          <w:p w14:paraId="4C37C568"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0.33</w:t>
            </w:r>
          </w:p>
        </w:tc>
      </w:tr>
      <w:tr w:rsidR="009355C7" w:rsidRPr="008F235F" w14:paraId="1D623B8E" w14:textId="77777777">
        <w:trPr>
          <w:trHeight w:val="315"/>
          <w:jc w:val="center"/>
        </w:trPr>
        <w:tc>
          <w:tcPr>
            <w:tcW w:w="2840" w:type="dxa"/>
            <w:tcBorders>
              <w:top w:val="nil"/>
              <w:left w:val="nil"/>
              <w:bottom w:val="single" w:sz="4" w:space="0" w:color="auto"/>
              <w:right w:val="nil"/>
            </w:tcBorders>
            <w:shd w:val="clear" w:color="000000" w:fill="FFFFFF"/>
            <w:vAlign w:val="center"/>
          </w:tcPr>
          <w:p w14:paraId="2B8F8C8C" w14:textId="77777777" w:rsidR="009355C7" w:rsidRPr="008F235F" w:rsidRDefault="009355C7" w:rsidP="009355C7">
            <w:pPr>
              <w:suppressAutoHyphens w:val="0"/>
              <w:rPr>
                <w:color w:val="000000"/>
                <w:kern w:val="0"/>
                <w:lang w:eastAsia="en-US"/>
              </w:rPr>
            </w:pPr>
            <w:proofErr w:type="spellStart"/>
            <w:r w:rsidRPr="008F235F">
              <w:rPr>
                <w:color w:val="000000"/>
                <w:kern w:val="0"/>
                <w:lang w:eastAsia="en-US"/>
              </w:rPr>
              <w:t>Brd</w:t>
            </w:r>
            <w:proofErr w:type="spellEnd"/>
            <w:r w:rsidRPr="008F235F">
              <w:rPr>
                <w:color w:val="000000"/>
                <w:kern w:val="0"/>
                <w:lang w:eastAsia="en-US"/>
              </w:rPr>
              <w:t>. State*</w:t>
            </w:r>
            <w:proofErr w:type="spellStart"/>
            <w:r w:rsidRPr="008F235F">
              <w:rPr>
                <w:color w:val="000000"/>
                <w:kern w:val="0"/>
                <w:lang w:eastAsia="en-US"/>
              </w:rPr>
              <w:t>PDO,PDOlag</w:t>
            </w:r>
            <w:proofErr w:type="spellEnd"/>
          </w:p>
        </w:tc>
        <w:tc>
          <w:tcPr>
            <w:tcW w:w="960" w:type="dxa"/>
            <w:tcBorders>
              <w:top w:val="nil"/>
              <w:left w:val="nil"/>
              <w:bottom w:val="single" w:sz="4" w:space="0" w:color="auto"/>
              <w:right w:val="nil"/>
            </w:tcBorders>
            <w:shd w:val="clear" w:color="000000" w:fill="FFFFFF"/>
            <w:vAlign w:val="center"/>
          </w:tcPr>
          <w:p w14:paraId="3D0FACB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0.06</w:t>
            </w:r>
          </w:p>
        </w:tc>
      </w:tr>
    </w:tbl>
    <w:p w14:paraId="5C938436" w14:textId="77777777" w:rsidR="009355C7" w:rsidRDefault="009355C7">
      <w:pPr>
        <w:jc w:val="center"/>
      </w:pPr>
    </w:p>
    <w:p w14:paraId="2243EC5A" w14:textId="77777777" w:rsidR="009355C7" w:rsidRDefault="009355C7">
      <w:pPr>
        <w:pageBreakBefore/>
      </w:pPr>
      <w:r>
        <w:lastRenderedPageBreak/>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14:paraId="22CEFF48" w14:textId="77777777" w:rsidR="009355C7" w:rsidRDefault="009355C7"/>
    <w:p w14:paraId="7A2424AD" w14:textId="77777777" w:rsidR="009355C7" w:rsidRDefault="009355C7"/>
    <w:tbl>
      <w:tblPr>
        <w:tblW w:w="3180" w:type="dxa"/>
        <w:jc w:val="center"/>
        <w:tblInd w:w="93" w:type="dxa"/>
        <w:tblLook w:val="04A0" w:firstRow="1" w:lastRow="0" w:firstColumn="1" w:lastColumn="0" w:noHBand="0" w:noVBand="1"/>
      </w:tblPr>
      <w:tblGrid>
        <w:gridCol w:w="960"/>
        <w:gridCol w:w="1203"/>
        <w:gridCol w:w="1203"/>
      </w:tblGrid>
      <w:tr w:rsidR="009355C7" w:rsidRPr="008F235F" w14:paraId="5C218EE1" w14:textId="77777777">
        <w:trPr>
          <w:trHeight w:val="315"/>
          <w:jc w:val="center"/>
        </w:trPr>
        <w:tc>
          <w:tcPr>
            <w:tcW w:w="960" w:type="dxa"/>
            <w:tcBorders>
              <w:top w:val="single" w:sz="4" w:space="0" w:color="auto"/>
              <w:left w:val="nil"/>
              <w:bottom w:val="single" w:sz="4" w:space="0" w:color="auto"/>
              <w:right w:val="nil"/>
            </w:tcBorders>
            <w:shd w:val="clear" w:color="auto" w:fill="auto"/>
            <w:noWrap/>
            <w:vAlign w:val="bottom"/>
          </w:tcPr>
          <w:p w14:paraId="579FF18A" w14:textId="77777777" w:rsidR="009355C7" w:rsidRPr="008F235F" w:rsidRDefault="009355C7" w:rsidP="009355C7">
            <w:pPr>
              <w:suppressAutoHyphens w:val="0"/>
              <w:rPr>
                <w:color w:val="000000"/>
                <w:kern w:val="0"/>
                <w:lang w:eastAsia="en-US"/>
              </w:rPr>
            </w:pPr>
            <w:r w:rsidRPr="008F235F">
              <w:rPr>
                <w:color w:val="000000"/>
                <w:kern w:val="0"/>
                <w:lang w:eastAsia="en-US"/>
              </w:rPr>
              <w:t> </w:t>
            </w:r>
          </w:p>
        </w:tc>
        <w:tc>
          <w:tcPr>
            <w:tcW w:w="1120" w:type="dxa"/>
            <w:tcBorders>
              <w:top w:val="single" w:sz="4" w:space="0" w:color="auto"/>
              <w:left w:val="nil"/>
              <w:bottom w:val="single" w:sz="4" w:space="0" w:color="auto"/>
              <w:right w:val="nil"/>
            </w:tcBorders>
            <w:shd w:val="clear" w:color="auto" w:fill="auto"/>
            <w:noWrap/>
            <w:vAlign w:val="bottom"/>
          </w:tcPr>
          <w:p w14:paraId="2E021C2B"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Predicted</w:t>
            </w:r>
          </w:p>
        </w:tc>
        <w:tc>
          <w:tcPr>
            <w:tcW w:w="1100" w:type="dxa"/>
            <w:tcBorders>
              <w:top w:val="single" w:sz="4" w:space="0" w:color="auto"/>
              <w:left w:val="nil"/>
              <w:bottom w:val="single" w:sz="4" w:space="0" w:color="auto"/>
              <w:right w:val="nil"/>
            </w:tcBorders>
            <w:shd w:val="clear" w:color="auto" w:fill="auto"/>
            <w:noWrap/>
            <w:vAlign w:val="bottom"/>
          </w:tcPr>
          <w:p w14:paraId="21FF59B7" w14:textId="77777777" w:rsidR="009355C7" w:rsidRPr="008F235F" w:rsidRDefault="009355C7" w:rsidP="009355C7">
            <w:pPr>
              <w:suppressAutoHyphens w:val="0"/>
              <w:jc w:val="center"/>
              <w:rPr>
                <w:b/>
                <w:bCs/>
                <w:color w:val="000000"/>
                <w:kern w:val="0"/>
                <w:lang w:eastAsia="en-US"/>
              </w:rPr>
            </w:pPr>
            <w:r w:rsidRPr="008F235F">
              <w:rPr>
                <w:b/>
                <w:bCs/>
                <w:color w:val="000000"/>
                <w:kern w:val="0"/>
                <w:lang w:eastAsia="en-US"/>
              </w:rPr>
              <w:t>Observed</w:t>
            </w:r>
          </w:p>
        </w:tc>
      </w:tr>
      <w:tr w:rsidR="009355C7" w:rsidRPr="008F235F" w14:paraId="54367364" w14:textId="77777777">
        <w:trPr>
          <w:trHeight w:val="315"/>
          <w:jc w:val="center"/>
        </w:trPr>
        <w:tc>
          <w:tcPr>
            <w:tcW w:w="960" w:type="dxa"/>
            <w:tcBorders>
              <w:top w:val="nil"/>
              <w:left w:val="nil"/>
              <w:bottom w:val="nil"/>
              <w:right w:val="nil"/>
            </w:tcBorders>
            <w:shd w:val="clear" w:color="auto" w:fill="auto"/>
            <w:noWrap/>
            <w:vAlign w:val="bottom"/>
          </w:tcPr>
          <w:p w14:paraId="0E733FEF"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2007</w:t>
            </w:r>
          </w:p>
        </w:tc>
        <w:tc>
          <w:tcPr>
            <w:tcW w:w="1120" w:type="dxa"/>
            <w:tcBorders>
              <w:top w:val="nil"/>
              <w:left w:val="nil"/>
              <w:bottom w:val="nil"/>
              <w:right w:val="nil"/>
            </w:tcBorders>
            <w:shd w:val="clear" w:color="auto" w:fill="auto"/>
            <w:noWrap/>
            <w:vAlign w:val="bottom"/>
          </w:tcPr>
          <w:p w14:paraId="76686067"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6</w:t>
            </w:r>
          </w:p>
        </w:tc>
        <w:tc>
          <w:tcPr>
            <w:tcW w:w="1100" w:type="dxa"/>
            <w:tcBorders>
              <w:top w:val="nil"/>
              <w:left w:val="nil"/>
              <w:bottom w:val="nil"/>
              <w:right w:val="nil"/>
            </w:tcBorders>
            <w:shd w:val="clear" w:color="auto" w:fill="auto"/>
            <w:noWrap/>
            <w:vAlign w:val="bottom"/>
          </w:tcPr>
          <w:p w14:paraId="1D47528B"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7</w:t>
            </w:r>
          </w:p>
        </w:tc>
      </w:tr>
      <w:tr w:rsidR="009355C7" w:rsidRPr="008F235F" w14:paraId="5B7FA08E" w14:textId="77777777">
        <w:trPr>
          <w:trHeight w:val="315"/>
          <w:jc w:val="center"/>
        </w:trPr>
        <w:tc>
          <w:tcPr>
            <w:tcW w:w="960" w:type="dxa"/>
            <w:tcBorders>
              <w:top w:val="nil"/>
              <w:left w:val="nil"/>
              <w:bottom w:val="nil"/>
              <w:right w:val="nil"/>
            </w:tcBorders>
            <w:shd w:val="clear" w:color="auto" w:fill="auto"/>
            <w:noWrap/>
            <w:vAlign w:val="bottom"/>
          </w:tcPr>
          <w:p w14:paraId="47F59573"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2008</w:t>
            </w:r>
          </w:p>
        </w:tc>
        <w:tc>
          <w:tcPr>
            <w:tcW w:w="1120" w:type="dxa"/>
            <w:tcBorders>
              <w:top w:val="nil"/>
              <w:left w:val="nil"/>
              <w:bottom w:val="nil"/>
              <w:right w:val="nil"/>
            </w:tcBorders>
            <w:shd w:val="clear" w:color="auto" w:fill="auto"/>
            <w:noWrap/>
            <w:vAlign w:val="bottom"/>
          </w:tcPr>
          <w:p w14:paraId="3373399D"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8</w:t>
            </w:r>
          </w:p>
        </w:tc>
        <w:tc>
          <w:tcPr>
            <w:tcW w:w="1100" w:type="dxa"/>
            <w:tcBorders>
              <w:top w:val="nil"/>
              <w:left w:val="nil"/>
              <w:bottom w:val="nil"/>
              <w:right w:val="nil"/>
            </w:tcBorders>
            <w:shd w:val="clear" w:color="auto" w:fill="auto"/>
            <w:noWrap/>
            <w:vAlign w:val="bottom"/>
          </w:tcPr>
          <w:p w14:paraId="667617E5"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10</w:t>
            </w:r>
          </w:p>
        </w:tc>
      </w:tr>
      <w:tr w:rsidR="009355C7" w:rsidRPr="008F235F" w14:paraId="51C7C3DA" w14:textId="77777777">
        <w:trPr>
          <w:trHeight w:val="315"/>
          <w:jc w:val="center"/>
        </w:trPr>
        <w:tc>
          <w:tcPr>
            <w:tcW w:w="960" w:type="dxa"/>
            <w:tcBorders>
              <w:top w:val="nil"/>
              <w:left w:val="nil"/>
              <w:bottom w:val="single" w:sz="4" w:space="0" w:color="auto"/>
              <w:right w:val="nil"/>
            </w:tcBorders>
            <w:shd w:val="clear" w:color="auto" w:fill="auto"/>
            <w:noWrap/>
            <w:vAlign w:val="bottom"/>
          </w:tcPr>
          <w:p w14:paraId="4A3F44CC" w14:textId="77777777" w:rsidR="009355C7" w:rsidRPr="008F235F" w:rsidRDefault="009355C7" w:rsidP="009355C7">
            <w:pPr>
              <w:suppressAutoHyphens w:val="0"/>
              <w:jc w:val="right"/>
              <w:rPr>
                <w:color w:val="000000"/>
                <w:kern w:val="0"/>
                <w:lang w:eastAsia="en-US"/>
              </w:rPr>
            </w:pPr>
            <w:r w:rsidRPr="008F235F">
              <w:rPr>
                <w:color w:val="000000"/>
                <w:kern w:val="0"/>
                <w:lang w:eastAsia="en-US"/>
              </w:rPr>
              <w:t>2009</w:t>
            </w:r>
          </w:p>
        </w:tc>
        <w:tc>
          <w:tcPr>
            <w:tcW w:w="1120" w:type="dxa"/>
            <w:tcBorders>
              <w:top w:val="nil"/>
              <w:left w:val="nil"/>
              <w:bottom w:val="single" w:sz="4" w:space="0" w:color="auto"/>
              <w:right w:val="nil"/>
            </w:tcBorders>
            <w:shd w:val="clear" w:color="auto" w:fill="auto"/>
            <w:noWrap/>
            <w:vAlign w:val="bottom"/>
          </w:tcPr>
          <w:p w14:paraId="783F1E72"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3</w:t>
            </w:r>
          </w:p>
        </w:tc>
        <w:tc>
          <w:tcPr>
            <w:tcW w:w="1100" w:type="dxa"/>
            <w:tcBorders>
              <w:top w:val="nil"/>
              <w:left w:val="nil"/>
              <w:bottom w:val="single" w:sz="4" w:space="0" w:color="auto"/>
              <w:right w:val="nil"/>
            </w:tcBorders>
            <w:shd w:val="clear" w:color="auto" w:fill="auto"/>
            <w:noWrap/>
            <w:vAlign w:val="bottom"/>
          </w:tcPr>
          <w:p w14:paraId="2880018A" w14:textId="77777777" w:rsidR="009355C7" w:rsidRPr="008F235F" w:rsidRDefault="009355C7" w:rsidP="009355C7">
            <w:pPr>
              <w:suppressAutoHyphens w:val="0"/>
              <w:jc w:val="center"/>
              <w:rPr>
                <w:color w:val="000000"/>
                <w:kern w:val="0"/>
                <w:lang w:eastAsia="en-US"/>
              </w:rPr>
            </w:pPr>
            <w:r w:rsidRPr="008F235F">
              <w:rPr>
                <w:color w:val="000000"/>
                <w:kern w:val="0"/>
                <w:lang w:eastAsia="en-US"/>
              </w:rPr>
              <w:t>4</w:t>
            </w:r>
          </w:p>
        </w:tc>
      </w:tr>
    </w:tbl>
    <w:p w14:paraId="77B16F4A" w14:textId="77777777" w:rsidR="009355C7" w:rsidRDefault="009355C7"/>
    <w:p w14:paraId="6D0755B4" w14:textId="77777777" w:rsidR="009355C7" w:rsidRDefault="009355C7" w:rsidP="00391B8C">
      <w:pPr>
        <w:pageBreakBefore/>
        <w:spacing w:line="360" w:lineRule="auto"/>
      </w:pPr>
      <w:proofErr w:type="gramStart"/>
      <w:r>
        <w:lastRenderedPageBreak/>
        <w:t>Table 6.</w:t>
      </w:r>
      <w:proofErr w:type="gramEnd"/>
      <w:r>
        <w:t xml:space="preserve">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rPr>
        <w:t>AIC</w:t>
      </w:r>
      <w:r>
        <w:rPr>
          <w:bCs/>
          <w:vertAlign w:val="subscript"/>
        </w:rPr>
        <w:t>C</w:t>
      </w:r>
      <w:r>
        <w:t xml:space="preserve"> &lt; 7 are shown.</w:t>
      </w:r>
    </w:p>
    <w:p w14:paraId="4D6FC2EA" w14:textId="77777777" w:rsidR="009355C7" w:rsidRDefault="009355C7"/>
    <w:tbl>
      <w:tblPr>
        <w:tblW w:w="0" w:type="auto"/>
        <w:jc w:val="center"/>
        <w:tblInd w:w="108" w:type="dxa"/>
        <w:tblLayout w:type="fixed"/>
        <w:tblLook w:val="0000" w:firstRow="0" w:lastRow="0" w:firstColumn="0" w:lastColumn="0" w:noHBand="0" w:noVBand="0"/>
      </w:tblPr>
      <w:tblGrid>
        <w:gridCol w:w="2610"/>
        <w:gridCol w:w="750"/>
        <w:gridCol w:w="959"/>
        <w:gridCol w:w="1140"/>
        <w:gridCol w:w="962"/>
      </w:tblGrid>
      <w:tr w:rsidR="009355C7" w14:paraId="291BF330" w14:textId="77777777">
        <w:trPr>
          <w:trHeight w:val="270"/>
          <w:jc w:val="center"/>
        </w:trPr>
        <w:tc>
          <w:tcPr>
            <w:tcW w:w="2610" w:type="dxa"/>
            <w:tcBorders>
              <w:top w:val="single" w:sz="8" w:space="0" w:color="000000"/>
              <w:bottom w:val="single" w:sz="8" w:space="0" w:color="000000"/>
            </w:tcBorders>
            <w:shd w:val="clear" w:color="auto" w:fill="FFFFFF"/>
            <w:vAlign w:val="bottom"/>
          </w:tcPr>
          <w:p w14:paraId="539573D5" w14:textId="77777777" w:rsidR="009355C7" w:rsidRDefault="009355C7">
            <w:pPr>
              <w:jc w:val="center"/>
              <w:rPr>
                <w:b/>
                <w:bCs/>
              </w:rPr>
            </w:pPr>
            <w:r>
              <w:rPr>
                <w:b/>
                <w:bCs/>
              </w:rPr>
              <w:t>Model</w:t>
            </w:r>
          </w:p>
        </w:tc>
        <w:tc>
          <w:tcPr>
            <w:tcW w:w="750" w:type="dxa"/>
            <w:tcBorders>
              <w:top w:val="single" w:sz="8" w:space="0" w:color="000000"/>
              <w:bottom w:val="single" w:sz="8" w:space="0" w:color="000000"/>
            </w:tcBorders>
            <w:shd w:val="clear" w:color="auto" w:fill="FFFFFF"/>
            <w:vAlign w:val="bottom"/>
          </w:tcPr>
          <w:p w14:paraId="278990A4" w14:textId="77777777" w:rsidR="009355C7" w:rsidRDefault="009355C7">
            <w:pPr>
              <w:jc w:val="center"/>
              <w:rPr>
                <w:b/>
                <w:bCs/>
              </w:rPr>
            </w:pPr>
            <w:r>
              <w:rPr>
                <w:b/>
                <w:bCs/>
              </w:rPr>
              <w:t>K</w:t>
            </w:r>
          </w:p>
        </w:tc>
        <w:tc>
          <w:tcPr>
            <w:tcW w:w="959" w:type="dxa"/>
            <w:tcBorders>
              <w:top w:val="single" w:sz="8" w:space="0" w:color="000000"/>
              <w:bottom w:val="single" w:sz="8" w:space="0" w:color="000000"/>
            </w:tcBorders>
            <w:shd w:val="clear" w:color="auto" w:fill="FFFFFF"/>
            <w:vAlign w:val="bottom"/>
          </w:tcPr>
          <w:p w14:paraId="637EAA62" w14:textId="77777777" w:rsidR="009355C7" w:rsidRDefault="009355C7">
            <w:pPr>
              <w:jc w:val="center"/>
              <w:rPr>
                <w:b/>
                <w:bCs/>
              </w:rPr>
            </w:pPr>
            <w:r>
              <w:rPr>
                <w:b/>
                <w:bCs/>
              </w:rPr>
              <w:t>AIC</w:t>
            </w:r>
            <w:r>
              <w:rPr>
                <w:b/>
                <w:bCs/>
                <w:vertAlign w:val="subscript"/>
              </w:rPr>
              <w:t>C</w:t>
            </w:r>
          </w:p>
        </w:tc>
        <w:tc>
          <w:tcPr>
            <w:tcW w:w="1140" w:type="dxa"/>
            <w:tcBorders>
              <w:top w:val="single" w:sz="8" w:space="0" w:color="000000"/>
              <w:bottom w:val="single" w:sz="8" w:space="0" w:color="000000"/>
            </w:tcBorders>
            <w:shd w:val="clear" w:color="auto" w:fill="FFFFFF"/>
            <w:vAlign w:val="bottom"/>
          </w:tcPr>
          <w:p w14:paraId="0D5B6465" w14:textId="77777777" w:rsidR="009355C7" w:rsidRDefault="009355C7">
            <w:pPr>
              <w:jc w:val="center"/>
              <w:rPr>
                <w:b/>
                <w:bCs/>
              </w:rPr>
            </w:pPr>
            <w:r>
              <w:rPr>
                <w:b/>
                <w:bCs/>
              </w:rPr>
              <w:t>∆ AIC</w:t>
            </w:r>
            <w:r>
              <w:rPr>
                <w:b/>
                <w:bCs/>
                <w:vertAlign w:val="subscript"/>
              </w:rPr>
              <w:t>C</w:t>
            </w:r>
          </w:p>
        </w:tc>
        <w:tc>
          <w:tcPr>
            <w:tcW w:w="962" w:type="dxa"/>
            <w:tcBorders>
              <w:top w:val="single" w:sz="8" w:space="0" w:color="000000"/>
              <w:bottom w:val="single" w:sz="8" w:space="0" w:color="000000"/>
            </w:tcBorders>
            <w:shd w:val="clear" w:color="auto" w:fill="FFFFFF"/>
            <w:vAlign w:val="bottom"/>
          </w:tcPr>
          <w:p w14:paraId="062734A9" w14:textId="77777777" w:rsidR="009355C7" w:rsidRDefault="009355C7">
            <w:pPr>
              <w:jc w:val="center"/>
            </w:pPr>
            <w:r>
              <w:rPr>
                <w:b/>
                <w:bCs/>
              </w:rPr>
              <w:t>ω</w:t>
            </w:r>
          </w:p>
        </w:tc>
      </w:tr>
      <w:tr w:rsidR="009355C7" w14:paraId="763C793D" w14:textId="77777777">
        <w:trPr>
          <w:trHeight w:val="255"/>
          <w:jc w:val="center"/>
        </w:trPr>
        <w:tc>
          <w:tcPr>
            <w:tcW w:w="2610" w:type="dxa"/>
            <w:shd w:val="clear" w:color="auto" w:fill="FFFFFF"/>
            <w:vAlign w:val="bottom"/>
          </w:tcPr>
          <w:p w14:paraId="304D5054" w14:textId="77777777" w:rsidR="009355C7" w:rsidRDefault="009355C7">
            <w:r>
              <w:t xml:space="preserve">Juveniles Per Group </w:t>
            </w:r>
          </w:p>
        </w:tc>
        <w:tc>
          <w:tcPr>
            <w:tcW w:w="750" w:type="dxa"/>
            <w:shd w:val="clear" w:color="auto" w:fill="FFFFFF"/>
            <w:vAlign w:val="bottom"/>
          </w:tcPr>
          <w:p w14:paraId="210F82D4" w14:textId="77777777" w:rsidR="009355C7" w:rsidRDefault="009355C7">
            <w:pPr>
              <w:snapToGrid w:val="0"/>
            </w:pPr>
          </w:p>
        </w:tc>
        <w:tc>
          <w:tcPr>
            <w:tcW w:w="959" w:type="dxa"/>
            <w:shd w:val="clear" w:color="auto" w:fill="FFFFFF"/>
            <w:vAlign w:val="bottom"/>
          </w:tcPr>
          <w:p w14:paraId="6B1AD076" w14:textId="77777777" w:rsidR="009355C7" w:rsidRDefault="009355C7">
            <w:pPr>
              <w:snapToGrid w:val="0"/>
            </w:pPr>
          </w:p>
        </w:tc>
        <w:tc>
          <w:tcPr>
            <w:tcW w:w="1140" w:type="dxa"/>
            <w:shd w:val="clear" w:color="auto" w:fill="FFFFFF"/>
            <w:vAlign w:val="bottom"/>
          </w:tcPr>
          <w:p w14:paraId="7EBC29B6" w14:textId="77777777" w:rsidR="009355C7" w:rsidRDefault="009355C7">
            <w:pPr>
              <w:snapToGrid w:val="0"/>
            </w:pPr>
          </w:p>
        </w:tc>
        <w:tc>
          <w:tcPr>
            <w:tcW w:w="962" w:type="dxa"/>
            <w:shd w:val="clear" w:color="auto" w:fill="FFFFFF"/>
            <w:vAlign w:val="bottom"/>
          </w:tcPr>
          <w:p w14:paraId="13992C12" w14:textId="77777777" w:rsidR="009355C7" w:rsidRDefault="009355C7">
            <w:pPr>
              <w:snapToGrid w:val="0"/>
              <w:jc w:val="center"/>
            </w:pPr>
          </w:p>
        </w:tc>
      </w:tr>
      <w:tr w:rsidR="009355C7" w14:paraId="6E908A84" w14:textId="77777777">
        <w:trPr>
          <w:trHeight w:val="255"/>
          <w:jc w:val="center"/>
        </w:trPr>
        <w:tc>
          <w:tcPr>
            <w:tcW w:w="2610" w:type="dxa"/>
            <w:shd w:val="clear" w:color="auto" w:fill="FFFFFF"/>
            <w:vAlign w:val="bottom"/>
          </w:tcPr>
          <w:p w14:paraId="09041D0A" w14:textId="77777777" w:rsidR="009355C7" w:rsidRDefault="009355C7">
            <w:r>
              <w:t>(</w:t>
            </w:r>
            <w:r>
              <w:rPr>
                <w:i/>
                <w:iCs/>
              </w:rPr>
              <w:t>Negative Binomial GLM's</w:t>
            </w:r>
            <w:r>
              <w:t>)</w:t>
            </w:r>
          </w:p>
        </w:tc>
        <w:tc>
          <w:tcPr>
            <w:tcW w:w="750" w:type="dxa"/>
            <w:shd w:val="clear" w:color="auto" w:fill="FFFFFF"/>
            <w:vAlign w:val="bottom"/>
          </w:tcPr>
          <w:p w14:paraId="7DDAB01E" w14:textId="77777777" w:rsidR="009355C7" w:rsidRDefault="009355C7">
            <w:pPr>
              <w:snapToGrid w:val="0"/>
            </w:pPr>
          </w:p>
        </w:tc>
        <w:tc>
          <w:tcPr>
            <w:tcW w:w="959" w:type="dxa"/>
            <w:shd w:val="clear" w:color="auto" w:fill="FFFFFF"/>
            <w:vAlign w:val="bottom"/>
          </w:tcPr>
          <w:p w14:paraId="49A36489" w14:textId="77777777" w:rsidR="009355C7" w:rsidRDefault="009355C7">
            <w:pPr>
              <w:snapToGrid w:val="0"/>
            </w:pPr>
          </w:p>
        </w:tc>
        <w:tc>
          <w:tcPr>
            <w:tcW w:w="1140" w:type="dxa"/>
            <w:shd w:val="clear" w:color="auto" w:fill="FFFFFF"/>
            <w:vAlign w:val="bottom"/>
          </w:tcPr>
          <w:p w14:paraId="1C54BC5B" w14:textId="77777777" w:rsidR="009355C7" w:rsidRDefault="009355C7">
            <w:pPr>
              <w:snapToGrid w:val="0"/>
            </w:pPr>
          </w:p>
        </w:tc>
        <w:tc>
          <w:tcPr>
            <w:tcW w:w="962" w:type="dxa"/>
            <w:shd w:val="clear" w:color="auto" w:fill="FFFFFF"/>
            <w:vAlign w:val="bottom"/>
          </w:tcPr>
          <w:p w14:paraId="79CAA7B4" w14:textId="77777777" w:rsidR="009355C7" w:rsidRDefault="009355C7">
            <w:pPr>
              <w:snapToGrid w:val="0"/>
              <w:jc w:val="center"/>
            </w:pPr>
          </w:p>
        </w:tc>
      </w:tr>
      <w:tr w:rsidR="009355C7" w14:paraId="1F787F9E" w14:textId="77777777">
        <w:trPr>
          <w:trHeight w:val="255"/>
          <w:jc w:val="center"/>
        </w:trPr>
        <w:tc>
          <w:tcPr>
            <w:tcW w:w="2610" w:type="dxa"/>
            <w:shd w:val="clear" w:color="auto" w:fill="FFFFFF"/>
            <w:vAlign w:val="bottom"/>
          </w:tcPr>
          <w:p w14:paraId="3A1ED9F9" w14:textId="77777777" w:rsidR="009355C7" w:rsidRDefault="009355C7">
            <w:r>
              <w:t>Group</w:t>
            </w:r>
          </w:p>
        </w:tc>
        <w:tc>
          <w:tcPr>
            <w:tcW w:w="750" w:type="dxa"/>
            <w:shd w:val="clear" w:color="auto" w:fill="FFFFFF"/>
            <w:vAlign w:val="bottom"/>
          </w:tcPr>
          <w:p w14:paraId="4C9CEE36" w14:textId="77777777" w:rsidR="009355C7" w:rsidRDefault="009355C7">
            <w:pPr>
              <w:jc w:val="center"/>
            </w:pPr>
            <w:r>
              <w:t>3</w:t>
            </w:r>
          </w:p>
        </w:tc>
        <w:tc>
          <w:tcPr>
            <w:tcW w:w="959" w:type="dxa"/>
            <w:shd w:val="clear" w:color="auto" w:fill="FFFFFF"/>
            <w:vAlign w:val="bottom"/>
          </w:tcPr>
          <w:p w14:paraId="3B6B75C5" w14:textId="77777777" w:rsidR="009355C7" w:rsidRDefault="009355C7">
            <w:pPr>
              <w:jc w:val="center"/>
            </w:pPr>
            <w:r>
              <w:t>315.63</w:t>
            </w:r>
          </w:p>
        </w:tc>
        <w:tc>
          <w:tcPr>
            <w:tcW w:w="1140" w:type="dxa"/>
            <w:shd w:val="clear" w:color="auto" w:fill="FFFFFF"/>
            <w:vAlign w:val="bottom"/>
          </w:tcPr>
          <w:p w14:paraId="2491CC7A" w14:textId="77777777" w:rsidR="009355C7" w:rsidRDefault="009355C7">
            <w:pPr>
              <w:jc w:val="center"/>
            </w:pPr>
            <w:r>
              <w:t>0</w:t>
            </w:r>
          </w:p>
        </w:tc>
        <w:tc>
          <w:tcPr>
            <w:tcW w:w="962" w:type="dxa"/>
            <w:shd w:val="clear" w:color="auto" w:fill="FFFFFF"/>
            <w:vAlign w:val="bottom"/>
          </w:tcPr>
          <w:p w14:paraId="085E29DC" w14:textId="77777777" w:rsidR="009355C7" w:rsidRDefault="009355C7">
            <w:pPr>
              <w:jc w:val="center"/>
            </w:pPr>
            <w:r>
              <w:t>0.22</w:t>
            </w:r>
          </w:p>
        </w:tc>
      </w:tr>
      <w:tr w:rsidR="009355C7" w14:paraId="520E2FCF" w14:textId="77777777">
        <w:trPr>
          <w:trHeight w:val="255"/>
          <w:jc w:val="center"/>
        </w:trPr>
        <w:tc>
          <w:tcPr>
            <w:tcW w:w="2610" w:type="dxa"/>
            <w:shd w:val="clear" w:color="auto" w:fill="FFFFFF"/>
            <w:vAlign w:val="bottom"/>
          </w:tcPr>
          <w:p w14:paraId="6CC487B1" w14:textId="77777777" w:rsidR="009355C7" w:rsidRDefault="009355C7">
            <w:proofErr w:type="spellStart"/>
            <w:r>
              <w:t>Group+PDO</w:t>
            </w:r>
            <w:proofErr w:type="spellEnd"/>
          </w:p>
        </w:tc>
        <w:tc>
          <w:tcPr>
            <w:tcW w:w="750" w:type="dxa"/>
            <w:shd w:val="clear" w:color="auto" w:fill="FFFFFF"/>
            <w:vAlign w:val="bottom"/>
          </w:tcPr>
          <w:p w14:paraId="4A969373" w14:textId="77777777" w:rsidR="009355C7" w:rsidRDefault="009355C7">
            <w:pPr>
              <w:jc w:val="center"/>
            </w:pPr>
            <w:r>
              <w:t>4</w:t>
            </w:r>
          </w:p>
        </w:tc>
        <w:tc>
          <w:tcPr>
            <w:tcW w:w="959" w:type="dxa"/>
            <w:shd w:val="clear" w:color="auto" w:fill="FFFFFF"/>
            <w:vAlign w:val="bottom"/>
          </w:tcPr>
          <w:p w14:paraId="0DA39040" w14:textId="77777777" w:rsidR="009355C7" w:rsidRDefault="009355C7">
            <w:pPr>
              <w:jc w:val="center"/>
            </w:pPr>
            <w:r>
              <w:t>315.88</w:t>
            </w:r>
          </w:p>
        </w:tc>
        <w:tc>
          <w:tcPr>
            <w:tcW w:w="1140" w:type="dxa"/>
            <w:shd w:val="clear" w:color="auto" w:fill="FFFFFF"/>
            <w:vAlign w:val="bottom"/>
          </w:tcPr>
          <w:p w14:paraId="56E1A930" w14:textId="77777777" w:rsidR="009355C7" w:rsidRDefault="009355C7">
            <w:pPr>
              <w:jc w:val="center"/>
            </w:pPr>
            <w:r>
              <w:t>0.25</w:t>
            </w:r>
          </w:p>
        </w:tc>
        <w:tc>
          <w:tcPr>
            <w:tcW w:w="962" w:type="dxa"/>
            <w:shd w:val="clear" w:color="auto" w:fill="FFFFFF"/>
            <w:vAlign w:val="bottom"/>
          </w:tcPr>
          <w:p w14:paraId="2A246A49" w14:textId="77777777" w:rsidR="009355C7" w:rsidRDefault="009355C7">
            <w:pPr>
              <w:jc w:val="center"/>
            </w:pPr>
            <w:r>
              <w:t>0.19</w:t>
            </w:r>
          </w:p>
        </w:tc>
      </w:tr>
      <w:tr w:rsidR="009355C7" w14:paraId="09768C26" w14:textId="77777777">
        <w:trPr>
          <w:trHeight w:val="285"/>
          <w:jc w:val="center"/>
        </w:trPr>
        <w:tc>
          <w:tcPr>
            <w:tcW w:w="2610" w:type="dxa"/>
            <w:shd w:val="clear" w:color="auto" w:fill="FFFFFF"/>
            <w:vAlign w:val="bottom"/>
          </w:tcPr>
          <w:p w14:paraId="054D085F" w14:textId="77777777" w:rsidR="009355C7" w:rsidRDefault="009355C7">
            <w:proofErr w:type="spellStart"/>
            <w:r>
              <w:t>Group+PDO</w:t>
            </w:r>
            <w:r>
              <w:rPr>
                <w:vertAlign w:val="subscript"/>
              </w:rPr>
              <w:t>lag</w:t>
            </w:r>
            <w:proofErr w:type="spellEnd"/>
          </w:p>
        </w:tc>
        <w:tc>
          <w:tcPr>
            <w:tcW w:w="750" w:type="dxa"/>
            <w:shd w:val="clear" w:color="auto" w:fill="FFFFFF"/>
            <w:vAlign w:val="bottom"/>
          </w:tcPr>
          <w:p w14:paraId="7746D4C3" w14:textId="77777777" w:rsidR="009355C7" w:rsidRDefault="009355C7">
            <w:pPr>
              <w:jc w:val="center"/>
            </w:pPr>
            <w:r>
              <w:t>4</w:t>
            </w:r>
          </w:p>
        </w:tc>
        <w:tc>
          <w:tcPr>
            <w:tcW w:w="959" w:type="dxa"/>
            <w:shd w:val="clear" w:color="auto" w:fill="FFFFFF"/>
            <w:vAlign w:val="bottom"/>
          </w:tcPr>
          <w:p w14:paraId="735D3C24" w14:textId="77777777" w:rsidR="009355C7" w:rsidRDefault="009355C7">
            <w:pPr>
              <w:jc w:val="center"/>
            </w:pPr>
            <w:r>
              <w:t>316.12</w:t>
            </w:r>
          </w:p>
        </w:tc>
        <w:tc>
          <w:tcPr>
            <w:tcW w:w="1140" w:type="dxa"/>
            <w:shd w:val="clear" w:color="auto" w:fill="FFFFFF"/>
            <w:vAlign w:val="bottom"/>
          </w:tcPr>
          <w:p w14:paraId="5AD9224B" w14:textId="77777777" w:rsidR="009355C7" w:rsidRDefault="009355C7">
            <w:pPr>
              <w:jc w:val="center"/>
            </w:pPr>
            <w:r>
              <w:t>0.48</w:t>
            </w:r>
          </w:p>
        </w:tc>
        <w:tc>
          <w:tcPr>
            <w:tcW w:w="962" w:type="dxa"/>
            <w:shd w:val="clear" w:color="auto" w:fill="FFFFFF"/>
            <w:vAlign w:val="bottom"/>
          </w:tcPr>
          <w:p w14:paraId="570582C4" w14:textId="77777777" w:rsidR="009355C7" w:rsidRDefault="009355C7">
            <w:pPr>
              <w:jc w:val="center"/>
            </w:pPr>
            <w:r>
              <w:t>0.17</w:t>
            </w:r>
          </w:p>
        </w:tc>
      </w:tr>
      <w:tr w:rsidR="009355C7" w14:paraId="6EBBA80F" w14:textId="77777777">
        <w:trPr>
          <w:trHeight w:val="285"/>
          <w:jc w:val="center"/>
        </w:trPr>
        <w:tc>
          <w:tcPr>
            <w:tcW w:w="2610" w:type="dxa"/>
            <w:shd w:val="clear" w:color="auto" w:fill="FFFFFF"/>
            <w:vAlign w:val="bottom"/>
          </w:tcPr>
          <w:p w14:paraId="23EB3359" w14:textId="77777777" w:rsidR="009355C7" w:rsidRDefault="009355C7">
            <w:proofErr w:type="spellStart"/>
            <w:r>
              <w:t>Group+PDO+PDO</w:t>
            </w:r>
            <w:r>
              <w:rPr>
                <w:vertAlign w:val="subscript"/>
              </w:rPr>
              <w:t>lag</w:t>
            </w:r>
            <w:proofErr w:type="spellEnd"/>
          </w:p>
        </w:tc>
        <w:tc>
          <w:tcPr>
            <w:tcW w:w="750" w:type="dxa"/>
            <w:shd w:val="clear" w:color="auto" w:fill="FFFFFF"/>
            <w:vAlign w:val="bottom"/>
          </w:tcPr>
          <w:p w14:paraId="111D90E3" w14:textId="77777777" w:rsidR="009355C7" w:rsidRDefault="009355C7">
            <w:pPr>
              <w:jc w:val="center"/>
            </w:pPr>
            <w:r>
              <w:t>5</w:t>
            </w:r>
          </w:p>
        </w:tc>
        <w:tc>
          <w:tcPr>
            <w:tcW w:w="959" w:type="dxa"/>
            <w:shd w:val="clear" w:color="auto" w:fill="FFFFFF"/>
            <w:vAlign w:val="bottom"/>
          </w:tcPr>
          <w:p w14:paraId="364C06BE" w14:textId="77777777" w:rsidR="009355C7" w:rsidRDefault="009355C7">
            <w:pPr>
              <w:jc w:val="center"/>
            </w:pPr>
            <w:r>
              <w:t>316.55</w:t>
            </w:r>
          </w:p>
        </w:tc>
        <w:tc>
          <w:tcPr>
            <w:tcW w:w="1140" w:type="dxa"/>
            <w:shd w:val="clear" w:color="auto" w:fill="FFFFFF"/>
            <w:vAlign w:val="bottom"/>
          </w:tcPr>
          <w:p w14:paraId="1DAB7C4B" w14:textId="77777777" w:rsidR="009355C7" w:rsidRDefault="009355C7">
            <w:pPr>
              <w:jc w:val="center"/>
            </w:pPr>
            <w:r>
              <w:t>0.92</w:t>
            </w:r>
          </w:p>
        </w:tc>
        <w:tc>
          <w:tcPr>
            <w:tcW w:w="962" w:type="dxa"/>
            <w:shd w:val="clear" w:color="auto" w:fill="FFFFFF"/>
            <w:vAlign w:val="bottom"/>
          </w:tcPr>
          <w:p w14:paraId="56CC17D8" w14:textId="77777777" w:rsidR="009355C7" w:rsidRDefault="009355C7">
            <w:pPr>
              <w:jc w:val="center"/>
            </w:pPr>
            <w:r>
              <w:t>0.14</w:t>
            </w:r>
          </w:p>
        </w:tc>
      </w:tr>
      <w:tr w:rsidR="009355C7" w14:paraId="13F45D1E" w14:textId="77777777">
        <w:trPr>
          <w:trHeight w:val="255"/>
          <w:jc w:val="center"/>
        </w:trPr>
        <w:tc>
          <w:tcPr>
            <w:tcW w:w="2610" w:type="dxa"/>
            <w:shd w:val="clear" w:color="auto" w:fill="FFFFFF"/>
            <w:vAlign w:val="bottom"/>
          </w:tcPr>
          <w:p w14:paraId="302B4B8D" w14:textId="77777777" w:rsidR="009355C7" w:rsidRDefault="009355C7">
            <w:r>
              <w:t>Group*PDO</w:t>
            </w:r>
          </w:p>
        </w:tc>
        <w:tc>
          <w:tcPr>
            <w:tcW w:w="750" w:type="dxa"/>
            <w:shd w:val="clear" w:color="auto" w:fill="FFFFFF"/>
            <w:vAlign w:val="bottom"/>
          </w:tcPr>
          <w:p w14:paraId="07FE1CB2" w14:textId="77777777" w:rsidR="009355C7" w:rsidRDefault="009355C7">
            <w:pPr>
              <w:jc w:val="center"/>
            </w:pPr>
            <w:r>
              <w:t>5</w:t>
            </w:r>
          </w:p>
        </w:tc>
        <w:tc>
          <w:tcPr>
            <w:tcW w:w="959" w:type="dxa"/>
            <w:shd w:val="clear" w:color="auto" w:fill="FFFFFF"/>
            <w:vAlign w:val="bottom"/>
          </w:tcPr>
          <w:p w14:paraId="3A9F7C2E" w14:textId="77777777" w:rsidR="009355C7" w:rsidRDefault="009355C7">
            <w:pPr>
              <w:jc w:val="center"/>
            </w:pPr>
            <w:r>
              <w:t>317.91</w:t>
            </w:r>
          </w:p>
        </w:tc>
        <w:tc>
          <w:tcPr>
            <w:tcW w:w="1140" w:type="dxa"/>
            <w:shd w:val="clear" w:color="auto" w:fill="FFFFFF"/>
            <w:vAlign w:val="bottom"/>
          </w:tcPr>
          <w:p w14:paraId="136BCE4D" w14:textId="77777777" w:rsidR="009355C7" w:rsidRDefault="009355C7">
            <w:pPr>
              <w:jc w:val="center"/>
            </w:pPr>
            <w:r>
              <w:t>2.28</w:t>
            </w:r>
          </w:p>
        </w:tc>
        <w:tc>
          <w:tcPr>
            <w:tcW w:w="962" w:type="dxa"/>
            <w:shd w:val="clear" w:color="auto" w:fill="FFFFFF"/>
            <w:vAlign w:val="bottom"/>
          </w:tcPr>
          <w:p w14:paraId="29D60E6E" w14:textId="77777777" w:rsidR="009355C7" w:rsidRDefault="009355C7">
            <w:pPr>
              <w:jc w:val="center"/>
            </w:pPr>
            <w:r>
              <w:t>0.07</w:t>
            </w:r>
          </w:p>
        </w:tc>
      </w:tr>
      <w:tr w:rsidR="009355C7" w14:paraId="57E600FE" w14:textId="77777777">
        <w:trPr>
          <w:trHeight w:val="255"/>
          <w:jc w:val="center"/>
        </w:trPr>
        <w:tc>
          <w:tcPr>
            <w:tcW w:w="2610" w:type="dxa"/>
            <w:shd w:val="clear" w:color="auto" w:fill="FFFFFF"/>
            <w:vAlign w:val="bottom"/>
          </w:tcPr>
          <w:p w14:paraId="20A5027F" w14:textId="77777777" w:rsidR="009355C7" w:rsidRDefault="009355C7">
            <w:r>
              <w:t>Null</w:t>
            </w:r>
          </w:p>
        </w:tc>
        <w:tc>
          <w:tcPr>
            <w:tcW w:w="750" w:type="dxa"/>
            <w:shd w:val="clear" w:color="auto" w:fill="FFFFFF"/>
            <w:vAlign w:val="bottom"/>
          </w:tcPr>
          <w:p w14:paraId="755D7742" w14:textId="77777777" w:rsidR="009355C7" w:rsidRDefault="009355C7">
            <w:pPr>
              <w:jc w:val="center"/>
            </w:pPr>
            <w:r>
              <w:t>2</w:t>
            </w:r>
          </w:p>
        </w:tc>
        <w:tc>
          <w:tcPr>
            <w:tcW w:w="959" w:type="dxa"/>
            <w:shd w:val="clear" w:color="auto" w:fill="FFFFFF"/>
            <w:vAlign w:val="bottom"/>
          </w:tcPr>
          <w:p w14:paraId="1DB516DD" w14:textId="77777777" w:rsidR="009355C7" w:rsidRDefault="009355C7">
            <w:pPr>
              <w:jc w:val="center"/>
            </w:pPr>
            <w:r>
              <w:t>318.33</w:t>
            </w:r>
          </w:p>
        </w:tc>
        <w:tc>
          <w:tcPr>
            <w:tcW w:w="1140" w:type="dxa"/>
            <w:shd w:val="clear" w:color="auto" w:fill="FFFFFF"/>
            <w:vAlign w:val="bottom"/>
          </w:tcPr>
          <w:p w14:paraId="473AE7BD" w14:textId="77777777" w:rsidR="009355C7" w:rsidRDefault="009355C7">
            <w:pPr>
              <w:jc w:val="center"/>
            </w:pPr>
            <w:r>
              <w:t>2.69</w:t>
            </w:r>
          </w:p>
        </w:tc>
        <w:tc>
          <w:tcPr>
            <w:tcW w:w="962" w:type="dxa"/>
            <w:shd w:val="clear" w:color="auto" w:fill="FFFFFF"/>
            <w:vAlign w:val="bottom"/>
          </w:tcPr>
          <w:p w14:paraId="39D91421" w14:textId="77777777" w:rsidR="009355C7" w:rsidRDefault="009355C7">
            <w:pPr>
              <w:jc w:val="center"/>
            </w:pPr>
            <w:r>
              <w:t>0.06</w:t>
            </w:r>
          </w:p>
        </w:tc>
      </w:tr>
      <w:tr w:rsidR="009355C7" w14:paraId="253E355E" w14:textId="77777777">
        <w:trPr>
          <w:trHeight w:val="255"/>
          <w:jc w:val="center"/>
        </w:trPr>
        <w:tc>
          <w:tcPr>
            <w:tcW w:w="2610" w:type="dxa"/>
            <w:shd w:val="clear" w:color="auto" w:fill="FFFFFF"/>
            <w:vAlign w:val="bottom"/>
          </w:tcPr>
          <w:p w14:paraId="2DC0E34C" w14:textId="77777777" w:rsidR="009355C7" w:rsidRDefault="009355C7">
            <w:r>
              <w:t>PDO</w:t>
            </w:r>
          </w:p>
        </w:tc>
        <w:tc>
          <w:tcPr>
            <w:tcW w:w="750" w:type="dxa"/>
            <w:shd w:val="clear" w:color="auto" w:fill="FFFFFF"/>
            <w:vAlign w:val="bottom"/>
          </w:tcPr>
          <w:p w14:paraId="5BDC97F9" w14:textId="77777777" w:rsidR="009355C7" w:rsidRDefault="009355C7">
            <w:pPr>
              <w:jc w:val="center"/>
            </w:pPr>
            <w:r>
              <w:t>3</w:t>
            </w:r>
          </w:p>
        </w:tc>
        <w:tc>
          <w:tcPr>
            <w:tcW w:w="959" w:type="dxa"/>
            <w:shd w:val="clear" w:color="auto" w:fill="FFFFFF"/>
            <w:vAlign w:val="bottom"/>
          </w:tcPr>
          <w:p w14:paraId="38BF2298" w14:textId="77777777" w:rsidR="009355C7" w:rsidRDefault="009355C7">
            <w:pPr>
              <w:jc w:val="center"/>
            </w:pPr>
            <w:r>
              <w:t>318.35</w:t>
            </w:r>
          </w:p>
        </w:tc>
        <w:tc>
          <w:tcPr>
            <w:tcW w:w="1140" w:type="dxa"/>
            <w:shd w:val="clear" w:color="auto" w:fill="FFFFFF"/>
            <w:vAlign w:val="bottom"/>
          </w:tcPr>
          <w:p w14:paraId="179EF3B8" w14:textId="77777777" w:rsidR="009355C7" w:rsidRDefault="009355C7">
            <w:pPr>
              <w:jc w:val="center"/>
            </w:pPr>
            <w:r>
              <w:t>2.71</w:t>
            </w:r>
          </w:p>
        </w:tc>
        <w:tc>
          <w:tcPr>
            <w:tcW w:w="962" w:type="dxa"/>
            <w:shd w:val="clear" w:color="auto" w:fill="FFFFFF"/>
            <w:vAlign w:val="bottom"/>
          </w:tcPr>
          <w:p w14:paraId="47F88CCB" w14:textId="77777777" w:rsidR="009355C7" w:rsidRDefault="009355C7">
            <w:pPr>
              <w:jc w:val="center"/>
            </w:pPr>
            <w:r>
              <w:t>0.06</w:t>
            </w:r>
          </w:p>
        </w:tc>
      </w:tr>
      <w:tr w:rsidR="009355C7" w14:paraId="328258AC" w14:textId="77777777">
        <w:trPr>
          <w:trHeight w:val="285"/>
          <w:jc w:val="center"/>
        </w:trPr>
        <w:tc>
          <w:tcPr>
            <w:tcW w:w="2610" w:type="dxa"/>
            <w:shd w:val="clear" w:color="auto" w:fill="FFFFFF"/>
            <w:vAlign w:val="bottom"/>
          </w:tcPr>
          <w:p w14:paraId="5E922705" w14:textId="77777777" w:rsidR="009355C7" w:rsidRDefault="009355C7">
            <w:r>
              <w:t>Group*</w:t>
            </w:r>
            <w:proofErr w:type="spellStart"/>
            <w:r>
              <w:t>PDO</w:t>
            </w:r>
            <w:r>
              <w:rPr>
                <w:vertAlign w:val="subscript"/>
              </w:rPr>
              <w:t>lag</w:t>
            </w:r>
            <w:proofErr w:type="spellEnd"/>
          </w:p>
        </w:tc>
        <w:tc>
          <w:tcPr>
            <w:tcW w:w="750" w:type="dxa"/>
            <w:shd w:val="clear" w:color="auto" w:fill="FFFFFF"/>
            <w:vAlign w:val="bottom"/>
          </w:tcPr>
          <w:p w14:paraId="27EFDCC9" w14:textId="77777777" w:rsidR="009355C7" w:rsidRDefault="009355C7">
            <w:pPr>
              <w:jc w:val="center"/>
            </w:pPr>
            <w:r>
              <w:t>5</w:t>
            </w:r>
          </w:p>
        </w:tc>
        <w:tc>
          <w:tcPr>
            <w:tcW w:w="959" w:type="dxa"/>
            <w:shd w:val="clear" w:color="auto" w:fill="FFFFFF"/>
            <w:vAlign w:val="bottom"/>
          </w:tcPr>
          <w:p w14:paraId="37F5C910" w14:textId="77777777" w:rsidR="009355C7" w:rsidRDefault="009355C7">
            <w:pPr>
              <w:jc w:val="center"/>
            </w:pPr>
            <w:r>
              <w:t>318.46</w:t>
            </w:r>
          </w:p>
        </w:tc>
        <w:tc>
          <w:tcPr>
            <w:tcW w:w="1140" w:type="dxa"/>
            <w:shd w:val="clear" w:color="auto" w:fill="FFFFFF"/>
            <w:vAlign w:val="bottom"/>
          </w:tcPr>
          <w:p w14:paraId="6B2F2D92" w14:textId="77777777" w:rsidR="009355C7" w:rsidRDefault="009355C7">
            <w:pPr>
              <w:jc w:val="center"/>
            </w:pPr>
            <w:r>
              <w:t>2.82</w:t>
            </w:r>
          </w:p>
        </w:tc>
        <w:tc>
          <w:tcPr>
            <w:tcW w:w="962" w:type="dxa"/>
            <w:shd w:val="clear" w:color="auto" w:fill="FFFFFF"/>
            <w:vAlign w:val="bottom"/>
          </w:tcPr>
          <w:p w14:paraId="0BF4342D" w14:textId="77777777" w:rsidR="009355C7" w:rsidRDefault="009355C7">
            <w:pPr>
              <w:jc w:val="center"/>
            </w:pPr>
            <w:r>
              <w:t>0.05</w:t>
            </w:r>
          </w:p>
        </w:tc>
      </w:tr>
      <w:tr w:rsidR="009355C7" w14:paraId="7FFC5FB8" w14:textId="77777777">
        <w:trPr>
          <w:trHeight w:val="285"/>
          <w:jc w:val="center"/>
        </w:trPr>
        <w:tc>
          <w:tcPr>
            <w:tcW w:w="2610" w:type="dxa"/>
            <w:shd w:val="clear" w:color="auto" w:fill="FFFFFF"/>
            <w:vAlign w:val="bottom"/>
          </w:tcPr>
          <w:p w14:paraId="4D908C69" w14:textId="77777777" w:rsidR="009355C7" w:rsidRDefault="009355C7">
            <w:proofErr w:type="spellStart"/>
            <w:r>
              <w:t>PDO</w:t>
            </w:r>
            <w:r>
              <w:rPr>
                <w:vertAlign w:val="subscript"/>
              </w:rPr>
              <w:t>lag</w:t>
            </w:r>
            <w:proofErr w:type="spellEnd"/>
          </w:p>
        </w:tc>
        <w:tc>
          <w:tcPr>
            <w:tcW w:w="750" w:type="dxa"/>
            <w:shd w:val="clear" w:color="auto" w:fill="FFFFFF"/>
            <w:vAlign w:val="bottom"/>
          </w:tcPr>
          <w:p w14:paraId="3D676E63" w14:textId="77777777" w:rsidR="009355C7" w:rsidRDefault="009355C7">
            <w:pPr>
              <w:jc w:val="center"/>
            </w:pPr>
            <w:r>
              <w:t>3</w:t>
            </w:r>
          </w:p>
        </w:tc>
        <w:tc>
          <w:tcPr>
            <w:tcW w:w="959" w:type="dxa"/>
            <w:shd w:val="clear" w:color="auto" w:fill="FFFFFF"/>
            <w:vAlign w:val="bottom"/>
          </w:tcPr>
          <w:p w14:paraId="4402A86D" w14:textId="77777777" w:rsidR="009355C7" w:rsidRDefault="009355C7">
            <w:pPr>
              <w:jc w:val="center"/>
            </w:pPr>
            <w:r>
              <w:t>320.45</w:t>
            </w:r>
          </w:p>
        </w:tc>
        <w:tc>
          <w:tcPr>
            <w:tcW w:w="1140" w:type="dxa"/>
            <w:shd w:val="clear" w:color="auto" w:fill="FFFFFF"/>
            <w:vAlign w:val="bottom"/>
          </w:tcPr>
          <w:p w14:paraId="35043CFB" w14:textId="77777777" w:rsidR="009355C7" w:rsidRDefault="009355C7">
            <w:pPr>
              <w:jc w:val="center"/>
            </w:pPr>
            <w:r>
              <w:t>4.82</w:t>
            </w:r>
          </w:p>
        </w:tc>
        <w:tc>
          <w:tcPr>
            <w:tcW w:w="962" w:type="dxa"/>
            <w:shd w:val="clear" w:color="auto" w:fill="FFFFFF"/>
            <w:vAlign w:val="bottom"/>
          </w:tcPr>
          <w:p w14:paraId="7EA44BC9" w14:textId="77777777" w:rsidR="009355C7" w:rsidRDefault="009355C7">
            <w:pPr>
              <w:jc w:val="center"/>
            </w:pPr>
            <w:r>
              <w:t>0.02</w:t>
            </w:r>
          </w:p>
        </w:tc>
      </w:tr>
      <w:tr w:rsidR="009355C7" w14:paraId="0449A92E" w14:textId="77777777">
        <w:trPr>
          <w:trHeight w:val="285"/>
          <w:jc w:val="center"/>
        </w:trPr>
        <w:tc>
          <w:tcPr>
            <w:tcW w:w="2610" w:type="dxa"/>
            <w:shd w:val="clear" w:color="auto" w:fill="FFFFFF"/>
            <w:vAlign w:val="bottom"/>
          </w:tcPr>
          <w:p w14:paraId="0FF0FFDF" w14:textId="77777777" w:rsidR="009355C7" w:rsidRDefault="009355C7">
            <w:proofErr w:type="spellStart"/>
            <w:r>
              <w:t>PDO+PDO</w:t>
            </w:r>
            <w:r>
              <w:rPr>
                <w:vertAlign w:val="subscript"/>
              </w:rPr>
              <w:t>lag</w:t>
            </w:r>
            <w:proofErr w:type="spellEnd"/>
          </w:p>
        </w:tc>
        <w:tc>
          <w:tcPr>
            <w:tcW w:w="750" w:type="dxa"/>
            <w:shd w:val="clear" w:color="auto" w:fill="FFFFFF"/>
            <w:vAlign w:val="bottom"/>
          </w:tcPr>
          <w:p w14:paraId="2B94C263" w14:textId="77777777" w:rsidR="009355C7" w:rsidRDefault="009355C7">
            <w:pPr>
              <w:jc w:val="center"/>
            </w:pPr>
            <w:r>
              <w:t>4</w:t>
            </w:r>
          </w:p>
        </w:tc>
        <w:tc>
          <w:tcPr>
            <w:tcW w:w="959" w:type="dxa"/>
            <w:shd w:val="clear" w:color="auto" w:fill="FFFFFF"/>
            <w:vAlign w:val="bottom"/>
          </w:tcPr>
          <w:p w14:paraId="04F22889" w14:textId="77777777" w:rsidR="009355C7" w:rsidRDefault="009355C7">
            <w:pPr>
              <w:jc w:val="center"/>
            </w:pPr>
            <w:r>
              <w:t>320.56</w:t>
            </w:r>
          </w:p>
        </w:tc>
        <w:tc>
          <w:tcPr>
            <w:tcW w:w="1140" w:type="dxa"/>
            <w:shd w:val="clear" w:color="auto" w:fill="FFFFFF"/>
            <w:vAlign w:val="bottom"/>
          </w:tcPr>
          <w:p w14:paraId="5909B7B5" w14:textId="77777777" w:rsidR="009355C7" w:rsidRDefault="009355C7">
            <w:pPr>
              <w:jc w:val="center"/>
            </w:pPr>
            <w:r>
              <w:t>4.93</w:t>
            </w:r>
          </w:p>
        </w:tc>
        <w:tc>
          <w:tcPr>
            <w:tcW w:w="962" w:type="dxa"/>
            <w:shd w:val="clear" w:color="auto" w:fill="FFFFFF"/>
            <w:vAlign w:val="bottom"/>
          </w:tcPr>
          <w:p w14:paraId="64D96D79" w14:textId="77777777" w:rsidR="009355C7" w:rsidRDefault="009355C7">
            <w:pPr>
              <w:jc w:val="center"/>
            </w:pPr>
            <w:r>
              <w:t>0.02</w:t>
            </w:r>
          </w:p>
        </w:tc>
      </w:tr>
      <w:tr w:rsidR="009355C7" w14:paraId="03F07A2F" w14:textId="77777777">
        <w:trPr>
          <w:trHeight w:val="285"/>
          <w:jc w:val="center"/>
        </w:trPr>
        <w:tc>
          <w:tcPr>
            <w:tcW w:w="2610" w:type="dxa"/>
            <w:shd w:val="clear" w:color="auto" w:fill="FFFFFF"/>
            <w:vAlign w:val="bottom"/>
          </w:tcPr>
          <w:p w14:paraId="18EC049B" w14:textId="77777777" w:rsidR="009355C7" w:rsidRDefault="009355C7">
            <w:r>
              <w:t>Group*(</w:t>
            </w:r>
            <w:proofErr w:type="spellStart"/>
            <w:r>
              <w:t>PDO+PDO</w:t>
            </w:r>
            <w:r>
              <w:rPr>
                <w:vertAlign w:val="subscript"/>
              </w:rPr>
              <w:t>lag</w:t>
            </w:r>
            <w:proofErr w:type="spellEnd"/>
            <w:r>
              <w:t>)</w:t>
            </w:r>
          </w:p>
        </w:tc>
        <w:tc>
          <w:tcPr>
            <w:tcW w:w="750" w:type="dxa"/>
            <w:shd w:val="clear" w:color="auto" w:fill="FFFFFF"/>
            <w:vAlign w:val="bottom"/>
          </w:tcPr>
          <w:p w14:paraId="31797F4F" w14:textId="77777777" w:rsidR="009355C7" w:rsidRDefault="009355C7">
            <w:pPr>
              <w:jc w:val="center"/>
            </w:pPr>
            <w:r>
              <w:t>7</w:t>
            </w:r>
          </w:p>
        </w:tc>
        <w:tc>
          <w:tcPr>
            <w:tcW w:w="959" w:type="dxa"/>
            <w:shd w:val="clear" w:color="auto" w:fill="FFFFFF"/>
            <w:vAlign w:val="bottom"/>
          </w:tcPr>
          <w:p w14:paraId="1D15BABD" w14:textId="77777777" w:rsidR="009355C7" w:rsidRDefault="009355C7">
            <w:pPr>
              <w:jc w:val="center"/>
            </w:pPr>
            <w:r>
              <w:t>320.87</w:t>
            </w:r>
          </w:p>
        </w:tc>
        <w:tc>
          <w:tcPr>
            <w:tcW w:w="1140" w:type="dxa"/>
            <w:shd w:val="clear" w:color="auto" w:fill="FFFFFF"/>
            <w:vAlign w:val="bottom"/>
          </w:tcPr>
          <w:p w14:paraId="65A9B19C" w14:textId="77777777" w:rsidR="009355C7" w:rsidRDefault="009355C7">
            <w:pPr>
              <w:jc w:val="center"/>
            </w:pPr>
            <w:r>
              <w:t>5.24</w:t>
            </w:r>
          </w:p>
        </w:tc>
        <w:tc>
          <w:tcPr>
            <w:tcW w:w="962" w:type="dxa"/>
            <w:shd w:val="clear" w:color="auto" w:fill="FFFFFF"/>
            <w:vAlign w:val="bottom"/>
          </w:tcPr>
          <w:p w14:paraId="3A0F9C6B" w14:textId="77777777" w:rsidR="009355C7" w:rsidRDefault="009355C7">
            <w:pPr>
              <w:jc w:val="center"/>
            </w:pPr>
            <w:r>
              <w:t>0.02</w:t>
            </w:r>
          </w:p>
        </w:tc>
      </w:tr>
      <w:tr w:rsidR="009355C7" w14:paraId="72A00D91" w14:textId="77777777">
        <w:trPr>
          <w:trHeight w:val="255"/>
          <w:jc w:val="center"/>
        </w:trPr>
        <w:tc>
          <w:tcPr>
            <w:tcW w:w="2610" w:type="dxa"/>
            <w:shd w:val="clear" w:color="auto" w:fill="FFFFFF"/>
            <w:vAlign w:val="bottom"/>
          </w:tcPr>
          <w:p w14:paraId="3B8C113A" w14:textId="77777777" w:rsidR="009355C7" w:rsidRDefault="009355C7">
            <w:pPr>
              <w:snapToGrid w:val="0"/>
            </w:pPr>
          </w:p>
        </w:tc>
        <w:tc>
          <w:tcPr>
            <w:tcW w:w="750" w:type="dxa"/>
            <w:shd w:val="clear" w:color="auto" w:fill="FFFFFF"/>
            <w:vAlign w:val="bottom"/>
          </w:tcPr>
          <w:p w14:paraId="077DA1BC" w14:textId="77777777" w:rsidR="009355C7" w:rsidRDefault="009355C7">
            <w:pPr>
              <w:snapToGrid w:val="0"/>
              <w:jc w:val="center"/>
            </w:pPr>
          </w:p>
        </w:tc>
        <w:tc>
          <w:tcPr>
            <w:tcW w:w="959" w:type="dxa"/>
            <w:shd w:val="clear" w:color="auto" w:fill="FFFFFF"/>
            <w:vAlign w:val="bottom"/>
          </w:tcPr>
          <w:p w14:paraId="79B25D98" w14:textId="77777777" w:rsidR="009355C7" w:rsidRDefault="009355C7">
            <w:pPr>
              <w:snapToGrid w:val="0"/>
              <w:jc w:val="center"/>
            </w:pPr>
          </w:p>
        </w:tc>
        <w:tc>
          <w:tcPr>
            <w:tcW w:w="1140" w:type="dxa"/>
            <w:shd w:val="clear" w:color="auto" w:fill="FFFFFF"/>
            <w:vAlign w:val="bottom"/>
          </w:tcPr>
          <w:p w14:paraId="4ABD882E" w14:textId="77777777" w:rsidR="009355C7" w:rsidRDefault="009355C7">
            <w:pPr>
              <w:snapToGrid w:val="0"/>
              <w:jc w:val="center"/>
            </w:pPr>
          </w:p>
        </w:tc>
        <w:tc>
          <w:tcPr>
            <w:tcW w:w="962" w:type="dxa"/>
            <w:shd w:val="clear" w:color="auto" w:fill="FFFFFF"/>
            <w:vAlign w:val="bottom"/>
          </w:tcPr>
          <w:p w14:paraId="641E1F35" w14:textId="77777777" w:rsidR="009355C7" w:rsidRDefault="009355C7">
            <w:pPr>
              <w:snapToGrid w:val="0"/>
              <w:jc w:val="center"/>
            </w:pPr>
          </w:p>
        </w:tc>
      </w:tr>
      <w:tr w:rsidR="009355C7" w14:paraId="5ACB320A" w14:textId="77777777">
        <w:trPr>
          <w:trHeight w:val="255"/>
          <w:jc w:val="center"/>
        </w:trPr>
        <w:tc>
          <w:tcPr>
            <w:tcW w:w="2610" w:type="dxa"/>
            <w:shd w:val="clear" w:color="auto" w:fill="FFFFFF"/>
            <w:vAlign w:val="bottom"/>
          </w:tcPr>
          <w:p w14:paraId="0135614D" w14:textId="77777777" w:rsidR="009355C7" w:rsidRDefault="009355C7">
            <w:r>
              <w:t xml:space="preserve">Juveniles Per Female </w:t>
            </w:r>
          </w:p>
        </w:tc>
        <w:tc>
          <w:tcPr>
            <w:tcW w:w="750" w:type="dxa"/>
            <w:shd w:val="clear" w:color="auto" w:fill="FFFFFF"/>
            <w:vAlign w:val="bottom"/>
          </w:tcPr>
          <w:p w14:paraId="77E2708E" w14:textId="77777777" w:rsidR="009355C7" w:rsidRDefault="009355C7">
            <w:pPr>
              <w:snapToGrid w:val="0"/>
            </w:pPr>
          </w:p>
        </w:tc>
        <w:tc>
          <w:tcPr>
            <w:tcW w:w="959" w:type="dxa"/>
            <w:shd w:val="clear" w:color="auto" w:fill="FFFFFF"/>
            <w:vAlign w:val="bottom"/>
          </w:tcPr>
          <w:p w14:paraId="4504F085" w14:textId="77777777" w:rsidR="009355C7" w:rsidRDefault="009355C7">
            <w:pPr>
              <w:snapToGrid w:val="0"/>
            </w:pPr>
          </w:p>
        </w:tc>
        <w:tc>
          <w:tcPr>
            <w:tcW w:w="1140" w:type="dxa"/>
            <w:shd w:val="clear" w:color="auto" w:fill="FFFFFF"/>
            <w:vAlign w:val="bottom"/>
          </w:tcPr>
          <w:p w14:paraId="698C0A23" w14:textId="77777777" w:rsidR="009355C7" w:rsidRDefault="009355C7">
            <w:pPr>
              <w:snapToGrid w:val="0"/>
            </w:pPr>
          </w:p>
        </w:tc>
        <w:tc>
          <w:tcPr>
            <w:tcW w:w="962" w:type="dxa"/>
            <w:shd w:val="clear" w:color="auto" w:fill="FFFFFF"/>
            <w:vAlign w:val="bottom"/>
          </w:tcPr>
          <w:p w14:paraId="3C6DC92A" w14:textId="77777777" w:rsidR="009355C7" w:rsidRDefault="009355C7">
            <w:pPr>
              <w:snapToGrid w:val="0"/>
              <w:jc w:val="center"/>
            </w:pPr>
          </w:p>
        </w:tc>
      </w:tr>
      <w:tr w:rsidR="009355C7" w14:paraId="5D73050F" w14:textId="77777777">
        <w:trPr>
          <w:trHeight w:val="255"/>
          <w:jc w:val="center"/>
        </w:trPr>
        <w:tc>
          <w:tcPr>
            <w:tcW w:w="2610" w:type="dxa"/>
            <w:shd w:val="clear" w:color="auto" w:fill="FFFFFF"/>
            <w:vAlign w:val="bottom"/>
          </w:tcPr>
          <w:p w14:paraId="404B850C" w14:textId="77777777" w:rsidR="009355C7" w:rsidRDefault="009355C7">
            <w:r>
              <w:t>(</w:t>
            </w:r>
            <w:r>
              <w:rPr>
                <w:i/>
                <w:iCs/>
              </w:rPr>
              <w:t>Poisson GLMM's</w:t>
            </w:r>
            <w:r>
              <w:t>)</w:t>
            </w:r>
          </w:p>
        </w:tc>
        <w:tc>
          <w:tcPr>
            <w:tcW w:w="750" w:type="dxa"/>
            <w:shd w:val="clear" w:color="auto" w:fill="FFFFFF"/>
            <w:vAlign w:val="bottom"/>
          </w:tcPr>
          <w:p w14:paraId="2C3BE7EA" w14:textId="77777777" w:rsidR="009355C7" w:rsidRDefault="009355C7">
            <w:pPr>
              <w:snapToGrid w:val="0"/>
            </w:pPr>
          </w:p>
        </w:tc>
        <w:tc>
          <w:tcPr>
            <w:tcW w:w="959" w:type="dxa"/>
            <w:shd w:val="clear" w:color="auto" w:fill="FFFFFF"/>
            <w:vAlign w:val="bottom"/>
          </w:tcPr>
          <w:p w14:paraId="113CCB96" w14:textId="77777777" w:rsidR="009355C7" w:rsidRDefault="009355C7">
            <w:pPr>
              <w:snapToGrid w:val="0"/>
            </w:pPr>
          </w:p>
        </w:tc>
        <w:tc>
          <w:tcPr>
            <w:tcW w:w="1140" w:type="dxa"/>
            <w:shd w:val="clear" w:color="auto" w:fill="FFFFFF"/>
            <w:vAlign w:val="bottom"/>
          </w:tcPr>
          <w:p w14:paraId="645AE938" w14:textId="77777777" w:rsidR="009355C7" w:rsidRDefault="009355C7">
            <w:pPr>
              <w:snapToGrid w:val="0"/>
            </w:pPr>
          </w:p>
        </w:tc>
        <w:tc>
          <w:tcPr>
            <w:tcW w:w="962" w:type="dxa"/>
            <w:shd w:val="clear" w:color="auto" w:fill="FFFFFF"/>
            <w:vAlign w:val="bottom"/>
          </w:tcPr>
          <w:p w14:paraId="0EB1FE3C" w14:textId="77777777" w:rsidR="009355C7" w:rsidRDefault="009355C7">
            <w:pPr>
              <w:snapToGrid w:val="0"/>
              <w:jc w:val="center"/>
            </w:pPr>
          </w:p>
        </w:tc>
      </w:tr>
      <w:tr w:rsidR="009355C7" w14:paraId="6B410A5F" w14:textId="77777777">
        <w:trPr>
          <w:trHeight w:val="255"/>
          <w:jc w:val="center"/>
        </w:trPr>
        <w:tc>
          <w:tcPr>
            <w:tcW w:w="2610" w:type="dxa"/>
            <w:shd w:val="clear" w:color="auto" w:fill="FFFFFF"/>
            <w:vAlign w:val="bottom"/>
          </w:tcPr>
          <w:p w14:paraId="2095F24F" w14:textId="77777777" w:rsidR="009355C7" w:rsidRDefault="009355C7">
            <w:proofErr w:type="spellStart"/>
            <w:r>
              <w:t>PDO+PDOlag</w:t>
            </w:r>
            <w:proofErr w:type="spellEnd"/>
          </w:p>
        </w:tc>
        <w:tc>
          <w:tcPr>
            <w:tcW w:w="750" w:type="dxa"/>
            <w:shd w:val="clear" w:color="auto" w:fill="FFFFFF"/>
            <w:vAlign w:val="bottom"/>
          </w:tcPr>
          <w:p w14:paraId="337D7CB8" w14:textId="77777777" w:rsidR="009355C7" w:rsidRDefault="009355C7">
            <w:pPr>
              <w:jc w:val="center"/>
            </w:pPr>
            <w:r>
              <w:t>4</w:t>
            </w:r>
          </w:p>
        </w:tc>
        <w:tc>
          <w:tcPr>
            <w:tcW w:w="959" w:type="dxa"/>
            <w:shd w:val="clear" w:color="auto" w:fill="FFFFFF"/>
            <w:vAlign w:val="bottom"/>
          </w:tcPr>
          <w:p w14:paraId="70266546" w14:textId="77777777" w:rsidR="009355C7" w:rsidRDefault="009355C7">
            <w:pPr>
              <w:jc w:val="center"/>
            </w:pPr>
            <w:r>
              <w:t>185.04</w:t>
            </w:r>
          </w:p>
        </w:tc>
        <w:tc>
          <w:tcPr>
            <w:tcW w:w="1140" w:type="dxa"/>
            <w:shd w:val="clear" w:color="auto" w:fill="FFFFFF"/>
            <w:vAlign w:val="bottom"/>
          </w:tcPr>
          <w:p w14:paraId="0C0824BF" w14:textId="77777777" w:rsidR="009355C7" w:rsidRDefault="009355C7">
            <w:pPr>
              <w:jc w:val="center"/>
            </w:pPr>
            <w:r>
              <w:t>0</w:t>
            </w:r>
          </w:p>
        </w:tc>
        <w:tc>
          <w:tcPr>
            <w:tcW w:w="962" w:type="dxa"/>
            <w:shd w:val="clear" w:color="auto" w:fill="FFFFFF"/>
            <w:vAlign w:val="bottom"/>
          </w:tcPr>
          <w:p w14:paraId="2F765FAC" w14:textId="77777777" w:rsidR="009355C7" w:rsidRDefault="009355C7">
            <w:pPr>
              <w:jc w:val="center"/>
            </w:pPr>
            <w:r>
              <w:t>0.38</w:t>
            </w:r>
          </w:p>
        </w:tc>
      </w:tr>
      <w:tr w:rsidR="009355C7" w14:paraId="7CA4CF48" w14:textId="77777777">
        <w:trPr>
          <w:trHeight w:val="285"/>
          <w:jc w:val="center"/>
        </w:trPr>
        <w:tc>
          <w:tcPr>
            <w:tcW w:w="2610" w:type="dxa"/>
            <w:shd w:val="clear" w:color="auto" w:fill="FFFFFF"/>
            <w:vAlign w:val="bottom"/>
          </w:tcPr>
          <w:p w14:paraId="3937C3E4" w14:textId="77777777" w:rsidR="009355C7" w:rsidRDefault="009355C7">
            <w:r>
              <w:t>Group*(</w:t>
            </w:r>
            <w:proofErr w:type="spellStart"/>
            <w:r>
              <w:t>PDO+PDO</w:t>
            </w:r>
            <w:r>
              <w:rPr>
                <w:vertAlign w:val="subscript"/>
              </w:rPr>
              <w:t>lag</w:t>
            </w:r>
            <w:proofErr w:type="spellEnd"/>
            <w:r>
              <w:t>)</w:t>
            </w:r>
          </w:p>
        </w:tc>
        <w:tc>
          <w:tcPr>
            <w:tcW w:w="750" w:type="dxa"/>
            <w:shd w:val="clear" w:color="auto" w:fill="FFFFFF"/>
            <w:vAlign w:val="bottom"/>
          </w:tcPr>
          <w:p w14:paraId="2B62D287" w14:textId="77777777" w:rsidR="009355C7" w:rsidRDefault="009355C7">
            <w:pPr>
              <w:jc w:val="center"/>
            </w:pPr>
            <w:r>
              <w:t>7</w:t>
            </w:r>
          </w:p>
        </w:tc>
        <w:tc>
          <w:tcPr>
            <w:tcW w:w="959" w:type="dxa"/>
            <w:shd w:val="clear" w:color="auto" w:fill="FFFFFF"/>
            <w:vAlign w:val="bottom"/>
          </w:tcPr>
          <w:p w14:paraId="09335093" w14:textId="77777777" w:rsidR="009355C7" w:rsidRDefault="009355C7">
            <w:pPr>
              <w:jc w:val="center"/>
            </w:pPr>
            <w:r>
              <w:t>186.98</w:t>
            </w:r>
          </w:p>
        </w:tc>
        <w:tc>
          <w:tcPr>
            <w:tcW w:w="1140" w:type="dxa"/>
            <w:shd w:val="clear" w:color="auto" w:fill="FFFFFF"/>
            <w:vAlign w:val="bottom"/>
          </w:tcPr>
          <w:p w14:paraId="10A6CE7A" w14:textId="77777777" w:rsidR="009355C7" w:rsidRDefault="009355C7">
            <w:pPr>
              <w:jc w:val="center"/>
            </w:pPr>
            <w:r>
              <w:t>1.94</w:t>
            </w:r>
          </w:p>
        </w:tc>
        <w:tc>
          <w:tcPr>
            <w:tcW w:w="962" w:type="dxa"/>
            <w:shd w:val="clear" w:color="auto" w:fill="FFFFFF"/>
            <w:vAlign w:val="bottom"/>
          </w:tcPr>
          <w:p w14:paraId="6A4BE533" w14:textId="77777777" w:rsidR="009355C7" w:rsidRDefault="009355C7">
            <w:pPr>
              <w:jc w:val="center"/>
            </w:pPr>
            <w:r>
              <w:t>0.14</w:t>
            </w:r>
          </w:p>
        </w:tc>
      </w:tr>
      <w:tr w:rsidR="009355C7" w14:paraId="7AC24A39" w14:textId="77777777">
        <w:trPr>
          <w:trHeight w:val="285"/>
          <w:jc w:val="center"/>
        </w:trPr>
        <w:tc>
          <w:tcPr>
            <w:tcW w:w="2610" w:type="dxa"/>
            <w:shd w:val="clear" w:color="auto" w:fill="FFFFFF"/>
            <w:vAlign w:val="bottom"/>
          </w:tcPr>
          <w:p w14:paraId="59B103BA" w14:textId="77777777" w:rsidR="009355C7" w:rsidRDefault="009355C7">
            <w:proofErr w:type="spellStart"/>
            <w:r>
              <w:t>Group+PDO+PDO</w:t>
            </w:r>
            <w:r>
              <w:rPr>
                <w:vertAlign w:val="subscript"/>
              </w:rPr>
              <w:t>lag</w:t>
            </w:r>
            <w:proofErr w:type="spellEnd"/>
          </w:p>
        </w:tc>
        <w:tc>
          <w:tcPr>
            <w:tcW w:w="750" w:type="dxa"/>
            <w:shd w:val="clear" w:color="auto" w:fill="FFFFFF"/>
            <w:vAlign w:val="bottom"/>
          </w:tcPr>
          <w:p w14:paraId="76E8D919" w14:textId="77777777" w:rsidR="009355C7" w:rsidRDefault="009355C7">
            <w:pPr>
              <w:jc w:val="center"/>
            </w:pPr>
            <w:r>
              <w:t>5</w:t>
            </w:r>
          </w:p>
        </w:tc>
        <w:tc>
          <w:tcPr>
            <w:tcW w:w="959" w:type="dxa"/>
            <w:shd w:val="clear" w:color="auto" w:fill="FFFFFF"/>
            <w:vAlign w:val="bottom"/>
          </w:tcPr>
          <w:p w14:paraId="5DDD8ED0" w14:textId="77777777" w:rsidR="009355C7" w:rsidRDefault="009355C7">
            <w:pPr>
              <w:jc w:val="center"/>
            </w:pPr>
            <w:r>
              <w:t>187.23</w:t>
            </w:r>
          </w:p>
        </w:tc>
        <w:tc>
          <w:tcPr>
            <w:tcW w:w="1140" w:type="dxa"/>
            <w:shd w:val="clear" w:color="auto" w:fill="FFFFFF"/>
            <w:vAlign w:val="bottom"/>
          </w:tcPr>
          <w:p w14:paraId="17BCAFA3" w14:textId="77777777" w:rsidR="009355C7" w:rsidRDefault="009355C7">
            <w:pPr>
              <w:jc w:val="center"/>
            </w:pPr>
            <w:r>
              <w:t>2.19</w:t>
            </w:r>
          </w:p>
        </w:tc>
        <w:tc>
          <w:tcPr>
            <w:tcW w:w="962" w:type="dxa"/>
            <w:shd w:val="clear" w:color="auto" w:fill="FFFFFF"/>
            <w:vAlign w:val="bottom"/>
          </w:tcPr>
          <w:p w14:paraId="3CAAAD2C" w14:textId="77777777" w:rsidR="009355C7" w:rsidRDefault="009355C7">
            <w:pPr>
              <w:jc w:val="center"/>
            </w:pPr>
            <w:r>
              <w:t>0.13</w:t>
            </w:r>
          </w:p>
        </w:tc>
      </w:tr>
      <w:tr w:rsidR="009355C7" w14:paraId="3093A57D" w14:textId="77777777">
        <w:trPr>
          <w:trHeight w:val="255"/>
          <w:jc w:val="center"/>
        </w:trPr>
        <w:tc>
          <w:tcPr>
            <w:tcW w:w="2610" w:type="dxa"/>
            <w:shd w:val="clear" w:color="auto" w:fill="FFFFFF"/>
            <w:vAlign w:val="bottom"/>
          </w:tcPr>
          <w:p w14:paraId="0AA6535D" w14:textId="77777777" w:rsidR="009355C7" w:rsidRDefault="009355C7">
            <w:r>
              <w:t>Group*PDO</w:t>
            </w:r>
          </w:p>
        </w:tc>
        <w:tc>
          <w:tcPr>
            <w:tcW w:w="750" w:type="dxa"/>
            <w:shd w:val="clear" w:color="auto" w:fill="FFFFFF"/>
            <w:vAlign w:val="bottom"/>
          </w:tcPr>
          <w:p w14:paraId="29D8C46B" w14:textId="77777777" w:rsidR="009355C7" w:rsidRDefault="009355C7">
            <w:pPr>
              <w:jc w:val="center"/>
            </w:pPr>
            <w:r>
              <w:t>5</w:t>
            </w:r>
          </w:p>
        </w:tc>
        <w:tc>
          <w:tcPr>
            <w:tcW w:w="959" w:type="dxa"/>
            <w:shd w:val="clear" w:color="auto" w:fill="FFFFFF"/>
            <w:vAlign w:val="bottom"/>
          </w:tcPr>
          <w:p w14:paraId="7BF40819" w14:textId="77777777" w:rsidR="009355C7" w:rsidRDefault="009355C7">
            <w:pPr>
              <w:jc w:val="center"/>
            </w:pPr>
            <w:r>
              <w:t>187.32</w:t>
            </w:r>
          </w:p>
        </w:tc>
        <w:tc>
          <w:tcPr>
            <w:tcW w:w="1140" w:type="dxa"/>
            <w:shd w:val="clear" w:color="auto" w:fill="FFFFFF"/>
            <w:vAlign w:val="bottom"/>
          </w:tcPr>
          <w:p w14:paraId="5BE78F02" w14:textId="77777777" w:rsidR="009355C7" w:rsidRDefault="009355C7">
            <w:pPr>
              <w:jc w:val="center"/>
            </w:pPr>
            <w:r>
              <w:t>2.28</w:t>
            </w:r>
          </w:p>
        </w:tc>
        <w:tc>
          <w:tcPr>
            <w:tcW w:w="962" w:type="dxa"/>
            <w:shd w:val="clear" w:color="auto" w:fill="FFFFFF"/>
            <w:vAlign w:val="bottom"/>
          </w:tcPr>
          <w:p w14:paraId="5D66172B" w14:textId="77777777" w:rsidR="009355C7" w:rsidRDefault="009355C7">
            <w:pPr>
              <w:jc w:val="center"/>
            </w:pPr>
            <w:r>
              <w:t>0.12</w:t>
            </w:r>
          </w:p>
        </w:tc>
      </w:tr>
      <w:tr w:rsidR="009355C7" w14:paraId="24BE67D7" w14:textId="77777777">
        <w:trPr>
          <w:trHeight w:val="255"/>
          <w:jc w:val="center"/>
        </w:trPr>
        <w:tc>
          <w:tcPr>
            <w:tcW w:w="2610" w:type="dxa"/>
            <w:shd w:val="clear" w:color="auto" w:fill="FFFFFF"/>
            <w:vAlign w:val="bottom"/>
          </w:tcPr>
          <w:p w14:paraId="2B407039" w14:textId="77777777" w:rsidR="009355C7" w:rsidRDefault="009355C7">
            <w:r>
              <w:t>PDO</w:t>
            </w:r>
          </w:p>
        </w:tc>
        <w:tc>
          <w:tcPr>
            <w:tcW w:w="750" w:type="dxa"/>
            <w:shd w:val="clear" w:color="auto" w:fill="FFFFFF"/>
            <w:vAlign w:val="bottom"/>
          </w:tcPr>
          <w:p w14:paraId="621DFCF1" w14:textId="77777777" w:rsidR="009355C7" w:rsidRDefault="009355C7">
            <w:pPr>
              <w:jc w:val="center"/>
            </w:pPr>
            <w:r>
              <w:t>3</w:t>
            </w:r>
          </w:p>
        </w:tc>
        <w:tc>
          <w:tcPr>
            <w:tcW w:w="959" w:type="dxa"/>
            <w:shd w:val="clear" w:color="auto" w:fill="FFFFFF"/>
            <w:vAlign w:val="bottom"/>
          </w:tcPr>
          <w:p w14:paraId="337D9945" w14:textId="77777777" w:rsidR="009355C7" w:rsidRDefault="009355C7">
            <w:pPr>
              <w:jc w:val="center"/>
            </w:pPr>
            <w:r>
              <w:t>187.66</w:t>
            </w:r>
          </w:p>
        </w:tc>
        <w:tc>
          <w:tcPr>
            <w:tcW w:w="1140" w:type="dxa"/>
            <w:shd w:val="clear" w:color="auto" w:fill="FFFFFF"/>
            <w:vAlign w:val="bottom"/>
          </w:tcPr>
          <w:p w14:paraId="746DBF3C" w14:textId="77777777" w:rsidR="009355C7" w:rsidRDefault="009355C7">
            <w:pPr>
              <w:jc w:val="center"/>
            </w:pPr>
            <w:r>
              <w:t>2.62</w:t>
            </w:r>
          </w:p>
        </w:tc>
        <w:tc>
          <w:tcPr>
            <w:tcW w:w="962" w:type="dxa"/>
            <w:shd w:val="clear" w:color="auto" w:fill="FFFFFF"/>
            <w:vAlign w:val="bottom"/>
          </w:tcPr>
          <w:p w14:paraId="314E5277" w14:textId="77777777" w:rsidR="009355C7" w:rsidRDefault="009355C7">
            <w:pPr>
              <w:jc w:val="center"/>
            </w:pPr>
            <w:r>
              <w:t>0.1</w:t>
            </w:r>
          </w:p>
        </w:tc>
      </w:tr>
      <w:tr w:rsidR="009355C7" w14:paraId="2E80D77B" w14:textId="77777777">
        <w:trPr>
          <w:trHeight w:val="255"/>
          <w:jc w:val="center"/>
        </w:trPr>
        <w:tc>
          <w:tcPr>
            <w:tcW w:w="2610" w:type="dxa"/>
            <w:shd w:val="clear" w:color="auto" w:fill="FFFFFF"/>
            <w:vAlign w:val="bottom"/>
          </w:tcPr>
          <w:p w14:paraId="37A256F5" w14:textId="77777777" w:rsidR="009355C7" w:rsidRDefault="009355C7">
            <w:proofErr w:type="spellStart"/>
            <w:r>
              <w:t>Group+PDO</w:t>
            </w:r>
            <w:proofErr w:type="spellEnd"/>
          </w:p>
        </w:tc>
        <w:tc>
          <w:tcPr>
            <w:tcW w:w="750" w:type="dxa"/>
            <w:shd w:val="clear" w:color="auto" w:fill="FFFFFF"/>
            <w:vAlign w:val="bottom"/>
          </w:tcPr>
          <w:p w14:paraId="69EEC327" w14:textId="77777777" w:rsidR="009355C7" w:rsidRDefault="009355C7">
            <w:pPr>
              <w:jc w:val="center"/>
            </w:pPr>
            <w:r>
              <w:t>4</w:t>
            </w:r>
          </w:p>
        </w:tc>
        <w:tc>
          <w:tcPr>
            <w:tcW w:w="959" w:type="dxa"/>
            <w:shd w:val="clear" w:color="auto" w:fill="FFFFFF"/>
            <w:vAlign w:val="bottom"/>
          </w:tcPr>
          <w:p w14:paraId="07C19A52" w14:textId="77777777" w:rsidR="009355C7" w:rsidRDefault="009355C7">
            <w:pPr>
              <w:jc w:val="center"/>
            </w:pPr>
            <w:r>
              <w:t>188.34</w:t>
            </w:r>
          </w:p>
        </w:tc>
        <w:tc>
          <w:tcPr>
            <w:tcW w:w="1140" w:type="dxa"/>
            <w:shd w:val="clear" w:color="auto" w:fill="FFFFFF"/>
            <w:vAlign w:val="bottom"/>
          </w:tcPr>
          <w:p w14:paraId="2949E587" w14:textId="77777777" w:rsidR="009355C7" w:rsidRDefault="009355C7">
            <w:pPr>
              <w:jc w:val="center"/>
            </w:pPr>
            <w:r>
              <w:t>3.3</w:t>
            </w:r>
          </w:p>
        </w:tc>
        <w:tc>
          <w:tcPr>
            <w:tcW w:w="962" w:type="dxa"/>
            <w:shd w:val="clear" w:color="auto" w:fill="FFFFFF"/>
            <w:vAlign w:val="bottom"/>
          </w:tcPr>
          <w:p w14:paraId="12F72631" w14:textId="77777777" w:rsidR="009355C7" w:rsidRDefault="009355C7">
            <w:pPr>
              <w:jc w:val="center"/>
            </w:pPr>
            <w:r>
              <w:t>0.07</w:t>
            </w:r>
          </w:p>
        </w:tc>
      </w:tr>
      <w:tr w:rsidR="009355C7" w14:paraId="52E30379" w14:textId="77777777">
        <w:trPr>
          <w:trHeight w:val="300"/>
          <w:jc w:val="center"/>
        </w:trPr>
        <w:tc>
          <w:tcPr>
            <w:tcW w:w="2610" w:type="dxa"/>
            <w:tcBorders>
              <w:bottom w:val="single" w:sz="8" w:space="0" w:color="000000"/>
            </w:tcBorders>
            <w:shd w:val="clear" w:color="auto" w:fill="FFFFFF"/>
            <w:vAlign w:val="bottom"/>
          </w:tcPr>
          <w:p w14:paraId="1FD74D92" w14:textId="77777777" w:rsidR="009355C7" w:rsidRDefault="009355C7">
            <w:proofErr w:type="spellStart"/>
            <w:r>
              <w:t>PDO</w:t>
            </w:r>
            <w:r>
              <w:rPr>
                <w:vertAlign w:val="subscript"/>
              </w:rPr>
              <w:t>lag</w:t>
            </w:r>
            <w:proofErr w:type="spellEnd"/>
          </w:p>
        </w:tc>
        <w:tc>
          <w:tcPr>
            <w:tcW w:w="750" w:type="dxa"/>
            <w:tcBorders>
              <w:bottom w:val="single" w:sz="8" w:space="0" w:color="000000"/>
            </w:tcBorders>
            <w:shd w:val="clear" w:color="auto" w:fill="FFFFFF"/>
            <w:vAlign w:val="bottom"/>
          </w:tcPr>
          <w:p w14:paraId="21C7A33F" w14:textId="77777777" w:rsidR="009355C7" w:rsidRDefault="009355C7">
            <w:pPr>
              <w:jc w:val="center"/>
            </w:pPr>
            <w:r>
              <w:t>3</w:t>
            </w:r>
          </w:p>
        </w:tc>
        <w:tc>
          <w:tcPr>
            <w:tcW w:w="959" w:type="dxa"/>
            <w:tcBorders>
              <w:bottom w:val="single" w:sz="8" w:space="0" w:color="000000"/>
            </w:tcBorders>
            <w:shd w:val="clear" w:color="auto" w:fill="FFFFFF"/>
            <w:vAlign w:val="bottom"/>
          </w:tcPr>
          <w:p w14:paraId="02CE6D20" w14:textId="77777777" w:rsidR="009355C7" w:rsidRDefault="009355C7">
            <w:pPr>
              <w:jc w:val="center"/>
            </w:pPr>
            <w:r>
              <w:t>189.87</w:t>
            </w:r>
          </w:p>
        </w:tc>
        <w:tc>
          <w:tcPr>
            <w:tcW w:w="1140" w:type="dxa"/>
            <w:tcBorders>
              <w:bottom w:val="single" w:sz="8" w:space="0" w:color="000000"/>
            </w:tcBorders>
            <w:shd w:val="clear" w:color="auto" w:fill="FFFFFF"/>
            <w:vAlign w:val="bottom"/>
          </w:tcPr>
          <w:p w14:paraId="443D11CF" w14:textId="77777777" w:rsidR="009355C7" w:rsidRDefault="009355C7">
            <w:pPr>
              <w:jc w:val="center"/>
            </w:pPr>
            <w:r>
              <w:t>4.83</w:t>
            </w:r>
          </w:p>
        </w:tc>
        <w:tc>
          <w:tcPr>
            <w:tcW w:w="962" w:type="dxa"/>
            <w:tcBorders>
              <w:bottom w:val="single" w:sz="8" w:space="0" w:color="000000"/>
            </w:tcBorders>
            <w:shd w:val="clear" w:color="auto" w:fill="FFFFFF"/>
            <w:vAlign w:val="bottom"/>
          </w:tcPr>
          <w:p w14:paraId="75E0F9FB" w14:textId="77777777" w:rsidR="009355C7" w:rsidRDefault="009355C7">
            <w:pPr>
              <w:jc w:val="center"/>
            </w:pPr>
            <w:r>
              <w:t>0.03</w:t>
            </w:r>
          </w:p>
        </w:tc>
      </w:tr>
    </w:tbl>
    <w:p w14:paraId="6A092B5F" w14:textId="77777777" w:rsidR="009355C7" w:rsidRDefault="009355C7"/>
    <w:p w14:paraId="7CD1C35C" w14:textId="77777777" w:rsidR="009355C7" w:rsidRDefault="009355C7"/>
    <w:p w14:paraId="16409730" w14:textId="77777777" w:rsidR="009355C7" w:rsidRDefault="009355C7"/>
    <w:p w14:paraId="46F4BC2B" w14:textId="77777777" w:rsidR="009355C7" w:rsidRDefault="009355C7"/>
    <w:p w14:paraId="35E38C26" w14:textId="77777777" w:rsidR="009355C7" w:rsidRDefault="009355C7"/>
    <w:p w14:paraId="75844F10" w14:textId="77777777" w:rsidR="009355C7" w:rsidRDefault="009355C7" w:rsidP="00391B8C">
      <w:pPr>
        <w:pageBreakBefore/>
        <w:spacing w:line="360" w:lineRule="auto"/>
      </w:pPr>
      <w:proofErr w:type="gramStart"/>
      <w:r>
        <w:lastRenderedPageBreak/>
        <w:t>Table 7.</w:t>
      </w:r>
      <w:proofErr w:type="gramEnd"/>
      <w:r>
        <w:t xml:space="preserve"> Model-averaged beta coefficients (</w:t>
      </w:r>
      <w:r>
        <w:rPr>
          <w:bCs/>
        </w:rPr>
        <w:t>β)</w:t>
      </w:r>
      <w: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w:t>
      </w:r>
      <w:proofErr w:type="spellStart"/>
      <w:r>
        <w:t>poisson</w:t>
      </w:r>
      <w:proofErr w:type="spellEnd"/>
      <w:r>
        <w:t xml:space="preserve"> </w:t>
      </w:r>
      <w:proofErr w:type="spellStart"/>
      <w:r>
        <w:t>overdispersion</w:t>
      </w:r>
      <w:proofErr w:type="spellEnd"/>
      <w:r>
        <w:t>, juveniles per group were modeled using negative binomial linear models. Juveniles per female were modeled using Poisson mixed models with social group random effects. Litter size data were approximately normally distributed, and were modeled as such.</w:t>
      </w:r>
    </w:p>
    <w:p w14:paraId="6FDA2108" w14:textId="77777777" w:rsidR="009355C7" w:rsidRDefault="009355C7"/>
    <w:tbl>
      <w:tblPr>
        <w:tblW w:w="0" w:type="auto"/>
        <w:jc w:val="center"/>
        <w:tblInd w:w="108" w:type="dxa"/>
        <w:tblLayout w:type="fixed"/>
        <w:tblLook w:val="0000" w:firstRow="0" w:lastRow="0" w:firstColumn="0" w:lastColumn="0" w:noHBand="0" w:noVBand="0"/>
      </w:tblPr>
      <w:tblGrid>
        <w:gridCol w:w="2859"/>
        <w:gridCol w:w="1860"/>
        <w:gridCol w:w="666"/>
        <w:gridCol w:w="733"/>
        <w:gridCol w:w="739"/>
        <w:gridCol w:w="666"/>
      </w:tblGrid>
      <w:tr w:rsidR="009355C7" w14:paraId="60F0FCD8" w14:textId="77777777">
        <w:trPr>
          <w:trHeight w:val="360"/>
          <w:jc w:val="center"/>
        </w:trPr>
        <w:tc>
          <w:tcPr>
            <w:tcW w:w="2859" w:type="dxa"/>
            <w:tcBorders>
              <w:top w:val="single" w:sz="8" w:space="0" w:color="000000"/>
              <w:bottom w:val="single" w:sz="8" w:space="0" w:color="000000"/>
            </w:tcBorders>
            <w:shd w:val="clear" w:color="auto" w:fill="FFFFFF"/>
            <w:vAlign w:val="bottom"/>
          </w:tcPr>
          <w:p w14:paraId="1E32124A" w14:textId="77777777" w:rsidR="009355C7" w:rsidRDefault="009355C7">
            <w:pPr>
              <w:jc w:val="center"/>
              <w:rPr>
                <w:b/>
                <w:bCs/>
              </w:rPr>
            </w:pPr>
            <w:r>
              <w:rPr>
                <w:b/>
                <w:bCs/>
              </w:rPr>
              <w:t> Model</w:t>
            </w:r>
          </w:p>
        </w:tc>
        <w:tc>
          <w:tcPr>
            <w:tcW w:w="1860" w:type="dxa"/>
            <w:tcBorders>
              <w:top w:val="single" w:sz="8" w:space="0" w:color="000000"/>
              <w:bottom w:val="single" w:sz="8" w:space="0" w:color="000000"/>
            </w:tcBorders>
            <w:shd w:val="clear" w:color="auto" w:fill="FFFFFF"/>
            <w:vAlign w:val="bottom"/>
          </w:tcPr>
          <w:p w14:paraId="01F46765" w14:textId="77777777" w:rsidR="009355C7" w:rsidRDefault="009355C7">
            <w:pPr>
              <w:jc w:val="center"/>
              <w:rPr>
                <w:b/>
                <w:bCs/>
              </w:rPr>
            </w:pPr>
            <w:r>
              <w:rPr>
                <w:b/>
                <w:bCs/>
              </w:rPr>
              <w:t>Model-averaged β</w:t>
            </w:r>
          </w:p>
        </w:tc>
        <w:tc>
          <w:tcPr>
            <w:tcW w:w="666" w:type="dxa"/>
            <w:tcBorders>
              <w:top w:val="single" w:sz="8" w:space="0" w:color="000000"/>
              <w:bottom w:val="single" w:sz="8" w:space="0" w:color="000000"/>
            </w:tcBorders>
            <w:shd w:val="clear" w:color="auto" w:fill="FFFFFF"/>
            <w:vAlign w:val="bottom"/>
          </w:tcPr>
          <w:p w14:paraId="182F3E3F" w14:textId="77777777" w:rsidR="009355C7" w:rsidRDefault="009355C7">
            <w:pPr>
              <w:jc w:val="center"/>
              <w:rPr>
                <w:b/>
                <w:bCs/>
              </w:rPr>
            </w:pPr>
            <w:r>
              <w:rPr>
                <w:b/>
                <w:bCs/>
              </w:rPr>
              <w:t>SE</w:t>
            </w:r>
          </w:p>
        </w:tc>
        <w:tc>
          <w:tcPr>
            <w:tcW w:w="733" w:type="dxa"/>
            <w:tcBorders>
              <w:top w:val="single" w:sz="8" w:space="0" w:color="000000"/>
              <w:bottom w:val="single" w:sz="8" w:space="0" w:color="000000"/>
            </w:tcBorders>
            <w:shd w:val="clear" w:color="auto" w:fill="FFFFFF"/>
            <w:vAlign w:val="bottom"/>
          </w:tcPr>
          <w:p w14:paraId="6773C556" w14:textId="77777777" w:rsidR="009355C7" w:rsidRDefault="009355C7">
            <w:pPr>
              <w:jc w:val="center"/>
              <w:rPr>
                <w:b/>
                <w:bCs/>
              </w:rPr>
            </w:pPr>
            <w:r>
              <w:rPr>
                <w:b/>
                <w:bCs/>
              </w:rPr>
              <w:t>LCL</w:t>
            </w:r>
          </w:p>
        </w:tc>
        <w:tc>
          <w:tcPr>
            <w:tcW w:w="739" w:type="dxa"/>
            <w:tcBorders>
              <w:top w:val="single" w:sz="8" w:space="0" w:color="000000"/>
              <w:bottom w:val="single" w:sz="8" w:space="0" w:color="000000"/>
            </w:tcBorders>
            <w:shd w:val="clear" w:color="auto" w:fill="FFFFFF"/>
            <w:vAlign w:val="bottom"/>
          </w:tcPr>
          <w:p w14:paraId="5F666BE7" w14:textId="77777777" w:rsidR="009355C7" w:rsidRDefault="009355C7">
            <w:pPr>
              <w:jc w:val="center"/>
              <w:rPr>
                <w:b/>
                <w:bCs/>
              </w:rPr>
            </w:pPr>
            <w:r>
              <w:rPr>
                <w:b/>
                <w:bCs/>
              </w:rPr>
              <w:t>UCL</w:t>
            </w:r>
          </w:p>
        </w:tc>
        <w:tc>
          <w:tcPr>
            <w:tcW w:w="666" w:type="dxa"/>
            <w:tcBorders>
              <w:top w:val="single" w:sz="8" w:space="0" w:color="000000"/>
              <w:bottom w:val="single" w:sz="8" w:space="0" w:color="000000"/>
            </w:tcBorders>
            <w:shd w:val="clear" w:color="auto" w:fill="FFFFFF"/>
            <w:vAlign w:val="bottom"/>
          </w:tcPr>
          <w:p w14:paraId="774659D3" w14:textId="77777777" w:rsidR="009355C7" w:rsidRDefault="009355C7">
            <w:pPr>
              <w:jc w:val="center"/>
            </w:pPr>
            <w:r>
              <w:rPr>
                <w:b/>
                <w:bCs/>
              </w:rPr>
              <w:t>ω+</w:t>
            </w:r>
          </w:p>
        </w:tc>
      </w:tr>
      <w:tr w:rsidR="009355C7" w14:paraId="53E2924C" w14:textId="77777777">
        <w:trPr>
          <w:trHeight w:val="315"/>
          <w:jc w:val="center"/>
        </w:trPr>
        <w:tc>
          <w:tcPr>
            <w:tcW w:w="2859" w:type="dxa"/>
            <w:shd w:val="clear" w:color="auto" w:fill="FFFFFF"/>
            <w:vAlign w:val="bottom"/>
          </w:tcPr>
          <w:p w14:paraId="1820DACA" w14:textId="77777777" w:rsidR="009355C7" w:rsidRDefault="009355C7">
            <w:r>
              <w:t xml:space="preserve">Juveniles Per Group </w:t>
            </w:r>
          </w:p>
        </w:tc>
        <w:tc>
          <w:tcPr>
            <w:tcW w:w="1860" w:type="dxa"/>
            <w:shd w:val="clear" w:color="auto" w:fill="FFFFFF"/>
            <w:vAlign w:val="bottom"/>
          </w:tcPr>
          <w:p w14:paraId="3F763593" w14:textId="77777777" w:rsidR="009355C7" w:rsidRDefault="009355C7">
            <w:pPr>
              <w:snapToGrid w:val="0"/>
              <w:jc w:val="center"/>
            </w:pPr>
          </w:p>
        </w:tc>
        <w:tc>
          <w:tcPr>
            <w:tcW w:w="666" w:type="dxa"/>
            <w:shd w:val="clear" w:color="auto" w:fill="FFFFFF"/>
            <w:vAlign w:val="bottom"/>
          </w:tcPr>
          <w:p w14:paraId="34F2191A" w14:textId="77777777" w:rsidR="009355C7" w:rsidRDefault="009355C7">
            <w:pPr>
              <w:snapToGrid w:val="0"/>
              <w:jc w:val="center"/>
            </w:pPr>
          </w:p>
        </w:tc>
        <w:tc>
          <w:tcPr>
            <w:tcW w:w="733" w:type="dxa"/>
            <w:shd w:val="clear" w:color="auto" w:fill="FFFFFF"/>
            <w:vAlign w:val="bottom"/>
          </w:tcPr>
          <w:p w14:paraId="46B9C5F9" w14:textId="77777777" w:rsidR="009355C7" w:rsidRDefault="009355C7">
            <w:pPr>
              <w:snapToGrid w:val="0"/>
              <w:jc w:val="center"/>
            </w:pPr>
          </w:p>
        </w:tc>
        <w:tc>
          <w:tcPr>
            <w:tcW w:w="739" w:type="dxa"/>
            <w:shd w:val="clear" w:color="auto" w:fill="FFFFFF"/>
            <w:vAlign w:val="bottom"/>
          </w:tcPr>
          <w:p w14:paraId="5FECBEE4" w14:textId="77777777" w:rsidR="009355C7" w:rsidRDefault="009355C7">
            <w:pPr>
              <w:snapToGrid w:val="0"/>
              <w:jc w:val="center"/>
            </w:pPr>
          </w:p>
        </w:tc>
        <w:tc>
          <w:tcPr>
            <w:tcW w:w="666" w:type="dxa"/>
            <w:shd w:val="clear" w:color="auto" w:fill="FFFFFF"/>
            <w:vAlign w:val="bottom"/>
          </w:tcPr>
          <w:p w14:paraId="18641E14" w14:textId="77777777" w:rsidR="009355C7" w:rsidRDefault="009355C7">
            <w:pPr>
              <w:snapToGrid w:val="0"/>
              <w:jc w:val="center"/>
            </w:pPr>
          </w:p>
        </w:tc>
      </w:tr>
      <w:tr w:rsidR="009355C7" w14:paraId="3E653F9B" w14:textId="77777777">
        <w:trPr>
          <w:trHeight w:val="315"/>
          <w:jc w:val="center"/>
        </w:trPr>
        <w:tc>
          <w:tcPr>
            <w:tcW w:w="2859" w:type="dxa"/>
            <w:shd w:val="clear" w:color="auto" w:fill="FFFFFF"/>
            <w:vAlign w:val="bottom"/>
          </w:tcPr>
          <w:p w14:paraId="36134DD1" w14:textId="77777777" w:rsidR="009355C7" w:rsidRDefault="009355C7">
            <w:r>
              <w:t>(</w:t>
            </w:r>
            <w:r>
              <w:rPr>
                <w:i/>
                <w:iCs/>
              </w:rPr>
              <w:t>Negative Binomial GLM's</w:t>
            </w:r>
            <w:r>
              <w:t>)</w:t>
            </w:r>
          </w:p>
        </w:tc>
        <w:tc>
          <w:tcPr>
            <w:tcW w:w="1860" w:type="dxa"/>
            <w:shd w:val="clear" w:color="auto" w:fill="FFFFFF"/>
            <w:vAlign w:val="bottom"/>
          </w:tcPr>
          <w:p w14:paraId="1D9D2D75" w14:textId="77777777" w:rsidR="009355C7" w:rsidRDefault="009355C7">
            <w:pPr>
              <w:snapToGrid w:val="0"/>
              <w:jc w:val="center"/>
            </w:pPr>
          </w:p>
        </w:tc>
        <w:tc>
          <w:tcPr>
            <w:tcW w:w="666" w:type="dxa"/>
            <w:shd w:val="clear" w:color="auto" w:fill="FFFFFF"/>
            <w:vAlign w:val="bottom"/>
          </w:tcPr>
          <w:p w14:paraId="31E5B5E0" w14:textId="77777777" w:rsidR="009355C7" w:rsidRDefault="009355C7">
            <w:pPr>
              <w:snapToGrid w:val="0"/>
              <w:jc w:val="center"/>
            </w:pPr>
          </w:p>
        </w:tc>
        <w:tc>
          <w:tcPr>
            <w:tcW w:w="733" w:type="dxa"/>
            <w:shd w:val="clear" w:color="auto" w:fill="FFFFFF"/>
            <w:vAlign w:val="bottom"/>
          </w:tcPr>
          <w:p w14:paraId="547F1A15" w14:textId="77777777" w:rsidR="009355C7" w:rsidRDefault="009355C7">
            <w:pPr>
              <w:snapToGrid w:val="0"/>
              <w:jc w:val="center"/>
            </w:pPr>
          </w:p>
        </w:tc>
        <w:tc>
          <w:tcPr>
            <w:tcW w:w="739" w:type="dxa"/>
            <w:shd w:val="clear" w:color="auto" w:fill="FFFFFF"/>
            <w:vAlign w:val="bottom"/>
          </w:tcPr>
          <w:p w14:paraId="2B186AF3" w14:textId="77777777" w:rsidR="009355C7" w:rsidRDefault="009355C7">
            <w:pPr>
              <w:snapToGrid w:val="0"/>
              <w:jc w:val="center"/>
            </w:pPr>
          </w:p>
        </w:tc>
        <w:tc>
          <w:tcPr>
            <w:tcW w:w="666" w:type="dxa"/>
            <w:shd w:val="clear" w:color="auto" w:fill="FFFFFF"/>
            <w:vAlign w:val="bottom"/>
          </w:tcPr>
          <w:p w14:paraId="62CBC584" w14:textId="77777777" w:rsidR="009355C7" w:rsidRDefault="009355C7">
            <w:pPr>
              <w:snapToGrid w:val="0"/>
              <w:jc w:val="center"/>
            </w:pPr>
          </w:p>
        </w:tc>
      </w:tr>
      <w:tr w:rsidR="009355C7" w14:paraId="3EE55EC8" w14:textId="77777777">
        <w:trPr>
          <w:trHeight w:val="315"/>
          <w:jc w:val="center"/>
        </w:trPr>
        <w:tc>
          <w:tcPr>
            <w:tcW w:w="2859" w:type="dxa"/>
            <w:shd w:val="clear" w:color="auto" w:fill="FFFFFF"/>
            <w:vAlign w:val="bottom"/>
          </w:tcPr>
          <w:p w14:paraId="4D45F14D" w14:textId="77777777" w:rsidR="009355C7" w:rsidRDefault="009355C7">
            <w:r>
              <w:t>PDO</w:t>
            </w:r>
          </w:p>
        </w:tc>
        <w:tc>
          <w:tcPr>
            <w:tcW w:w="1860" w:type="dxa"/>
            <w:shd w:val="clear" w:color="auto" w:fill="FFFFFF"/>
            <w:vAlign w:val="bottom"/>
          </w:tcPr>
          <w:p w14:paraId="0F470891" w14:textId="77777777" w:rsidR="009355C7" w:rsidRDefault="009355C7">
            <w:pPr>
              <w:jc w:val="center"/>
            </w:pPr>
            <w:r>
              <w:t>-0.13</w:t>
            </w:r>
          </w:p>
        </w:tc>
        <w:tc>
          <w:tcPr>
            <w:tcW w:w="666" w:type="dxa"/>
            <w:shd w:val="clear" w:color="auto" w:fill="FFFFFF"/>
            <w:vAlign w:val="bottom"/>
          </w:tcPr>
          <w:p w14:paraId="3320643D" w14:textId="77777777" w:rsidR="009355C7" w:rsidRDefault="009355C7">
            <w:pPr>
              <w:jc w:val="center"/>
            </w:pPr>
            <w:r>
              <w:t>0.36</w:t>
            </w:r>
          </w:p>
        </w:tc>
        <w:tc>
          <w:tcPr>
            <w:tcW w:w="733" w:type="dxa"/>
            <w:shd w:val="clear" w:color="auto" w:fill="FFFFFF"/>
            <w:vAlign w:val="bottom"/>
          </w:tcPr>
          <w:p w14:paraId="7CB24F86" w14:textId="77777777" w:rsidR="009355C7" w:rsidRDefault="009355C7">
            <w:pPr>
              <w:jc w:val="center"/>
            </w:pPr>
            <w:r>
              <w:t>-1.24</w:t>
            </w:r>
          </w:p>
        </w:tc>
        <w:tc>
          <w:tcPr>
            <w:tcW w:w="739" w:type="dxa"/>
            <w:shd w:val="clear" w:color="auto" w:fill="FFFFFF"/>
            <w:vAlign w:val="bottom"/>
          </w:tcPr>
          <w:p w14:paraId="5FA1BFF0" w14:textId="77777777" w:rsidR="009355C7" w:rsidRDefault="009355C7">
            <w:pPr>
              <w:jc w:val="center"/>
            </w:pPr>
            <w:r>
              <w:t>0.03</w:t>
            </w:r>
          </w:p>
        </w:tc>
        <w:tc>
          <w:tcPr>
            <w:tcW w:w="666" w:type="dxa"/>
            <w:shd w:val="clear" w:color="auto" w:fill="FFFFFF"/>
            <w:vAlign w:val="bottom"/>
          </w:tcPr>
          <w:p w14:paraId="5B4D488E" w14:textId="77777777" w:rsidR="009355C7" w:rsidRDefault="009355C7">
            <w:pPr>
              <w:jc w:val="center"/>
            </w:pPr>
            <w:r>
              <w:t>0.73</w:t>
            </w:r>
          </w:p>
        </w:tc>
      </w:tr>
      <w:tr w:rsidR="009355C7" w14:paraId="71C0A580" w14:textId="77777777">
        <w:trPr>
          <w:trHeight w:val="375"/>
          <w:jc w:val="center"/>
        </w:trPr>
        <w:tc>
          <w:tcPr>
            <w:tcW w:w="2859" w:type="dxa"/>
            <w:shd w:val="clear" w:color="auto" w:fill="FFFFFF"/>
            <w:vAlign w:val="bottom"/>
          </w:tcPr>
          <w:p w14:paraId="0071E76A" w14:textId="77777777" w:rsidR="009355C7" w:rsidRDefault="009355C7">
            <w:proofErr w:type="spellStart"/>
            <w:r>
              <w:t>PDO</w:t>
            </w:r>
            <w:r>
              <w:rPr>
                <w:vertAlign w:val="subscript"/>
              </w:rPr>
              <w:t>lag</w:t>
            </w:r>
            <w:proofErr w:type="spellEnd"/>
          </w:p>
        </w:tc>
        <w:tc>
          <w:tcPr>
            <w:tcW w:w="1860" w:type="dxa"/>
            <w:shd w:val="clear" w:color="auto" w:fill="FFFFFF"/>
            <w:vAlign w:val="bottom"/>
          </w:tcPr>
          <w:p w14:paraId="2CC78F4C" w14:textId="77777777" w:rsidR="009355C7" w:rsidRDefault="009355C7">
            <w:pPr>
              <w:jc w:val="center"/>
            </w:pPr>
            <w:r>
              <w:t>0.09</w:t>
            </w:r>
          </w:p>
        </w:tc>
        <w:tc>
          <w:tcPr>
            <w:tcW w:w="666" w:type="dxa"/>
            <w:shd w:val="clear" w:color="auto" w:fill="FFFFFF"/>
            <w:vAlign w:val="bottom"/>
          </w:tcPr>
          <w:p w14:paraId="7ED11C84" w14:textId="77777777" w:rsidR="009355C7" w:rsidRDefault="009355C7">
            <w:pPr>
              <w:jc w:val="center"/>
            </w:pPr>
            <w:r>
              <w:t>0.19</w:t>
            </w:r>
          </w:p>
        </w:tc>
        <w:tc>
          <w:tcPr>
            <w:tcW w:w="733" w:type="dxa"/>
            <w:shd w:val="clear" w:color="auto" w:fill="FFFFFF"/>
            <w:vAlign w:val="bottom"/>
          </w:tcPr>
          <w:p w14:paraId="373FEB5A" w14:textId="77777777" w:rsidR="009355C7" w:rsidRDefault="009355C7">
            <w:pPr>
              <w:jc w:val="center"/>
            </w:pPr>
            <w:r>
              <w:t>-0.17</w:t>
            </w:r>
          </w:p>
        </w:tc>
        <w:tc>
          <w:tcPr>
            <w:tcW w:w="739" w:type="dxa"/>
            <w:shd w:val="clear" w:color="auto" w:fill="FFFFFF"/>
            <w:vAlign w:val="bottom"/>
          </w:tcPr>
          <w:p w14:paraId="2A34B370" w14:textId="77777777" w:rsidR="009355C7" w:rsidRDefault="009355C7">
            <w:pPr>
              <w:jc w:val="center"/>
            </w:pPr>
            <w:r>
              <w:t>0.58</w:t>
            </w:r>
          </w:p>
        </w:tc>
        <w:tc>
          <w:tcPr>
            <w:tcW w:w="666" w:type="dxa"/>
            <w:shd w:val="clear" w:color="auto" w:fill="FFFFFF"/>
            <w:vAlign w:val="bottom"/>
          </w:tcPr>
          <w:p w14:paraId="42D49E10" w14:textId="77777777" w:rsidR="009355C7" w:rsidRDefault="009355C7">
            <w:pPr>
              <w:jc w:val="center"/>
            </w:pPr>
            <w:r>
              <w:t>0.41</w:t>
            </w:r>
          </w:p>
        </w:tc>
      </w:tr>
      <w:tr w:rsidR="009355C7" w14:paraId="1E3CF343" w14:textId="77777777">
        <w:trPr>
          <w:trHeight w:val="315"/>
          <w:jc w:val="center"/>
        </w:trPr>
        <w:tc>
          <w:tcPr>
            <w:tcW w:w="2859" w:type="dxa"/>
            <w:shd w:val="clear" w:color="auto" w:fill="FFFFFF"/>
            <w:vAlign w:val="bottom"/>
          </w:tcPr>
          <w:p w14:paraId="069A099A" w14:textId="77777777" w:rsidR="009355C7" w:rsidRDefault="009355C7">
            <w:r>
              <w:t>Group</w:t>
            </w:r>
          </w:p>
        </w:tc>
        <w:tc>
          <w:tcPr>
            <w:tcW w:w="1860" w:type="dxa"/>
            <w:shd w:val="clear" w:color="auto" w:fill="FFFFFF"/>
            <w:vAlign w:val="bottom"/>
          </w:tcPr>
          <w:p w14:paraId="5E6F1436" w14:textId="77777777" w:rsidR="009355C7" w:rsidRDefault="009355C7">
            <w:pPr>
              <w:jc w:val="center"/>
            </w:pPr>
            <w:r>
              <w:t>0.06</w:t>
            </w:r>
          </w:p>
        </w:tc>
        <w:tc>
          <w:tcPr>
            <w:tcW w:w="666" w:type="dxa"/>
            <w:shd w:val="clear" w:color="auto" w:fill="FFFFFF"/>
            <w:vAlign w:val="bottom"/>
          </w:tcPr>
          <w:p w14:paraId="66674F74" w14:textId="77777777" w:rsidR="009355C7" w:rsidRDefault="009355C7">
            <w:pPr>
              <w:jc w:val="center"/>
            </w:pPr>
            <w:r>
              <w:t>0.04</w:t>
            </w:r>
          </w:p>
        </w:tc>
        <w:tc>
          <w:tcPr>
            <w:tcW w:w="733" w:type="dxa"/>
            <w:shd w:val="clear" w:color="auto" w:fill="FFFFFF"/>
            <w:vAlign w:val="bottom"/>
          </w:tcPr>
          <w:p w14:paraId="24600E4D" w14:textId="77777777" w:rsidR="009355C7" w:rsidRDefault="009355C7">
            <w:pPr>
              <w:jc w:val="center"/>
            </w:pPr>
            <w:r>
              <w:t>0.00</w:t>
            </w:r>
          </w:p>
        </w:tc>
        <w:tc>
          <w:tcPr>
            <w:tcW w:w="739" w:type="dxa"/>
            <w:shd w:val="clear" w:color="auto" w:fill="FFFFFF"/>
            <w:vAlign w:val="bottom"/>
          </w:tcPr>
          <w:p w14:paraId="14116ECD" w14:textId="77777777" w:rsidR="009355C7" w:rsidRDefault="009355C7">
            <w:pPr>
              <w:jc w:val="center"/>
            </w:pPr>
            <w:r>
              <w:t>0.14</w:t>
            </w:r>
          </w:p>
        </w:tc>
        <w:tc>
          <w:tcPr>
            <w:tcW w:w="666" w:type="dxa"/>
            <w:shd w:val="clear" w:color="auto" w:fill="FFFFFF"/>
            <w:vAlign w:val="bottom"/>
          </w:tcPr>
          <w:p w14:paraId="7BD4653E" w14:textId="77777777" w:rsidR="009355C7" w:rsidRDefault="009355C7">
            <w:pPr>
              <w:jc w:val="center"/>
            </w:pPr>
            <w:r>
              <w:t>0.85</w:t>
            </w:r>
          </w:p>
        </w:tc>
      </w:tr>
      <w:tr w:rsidR="009355C7" w14:paraId="2BB3E55B" w14:textId="77777777">
        <w:trPr>
          <w:trHeight w:val="315"/>
          <w:jc w:val="center"/>
        </w:trPr>
        <w:tc>
          <w:tcPr>
            <w:tcW w:w="2859" w:type="dxa"/>
            <w:shd w:val="clear" w:color="auto" w:fill="FFFFFF"/>
            <w:vAlign w:val="bottom"/>
          </w:tcPr>
          <w:p w14:paraId="234D0EDC" w14:textId="77777777" w:rsidR="009355C7" w:rsidRDefault="009355C7">
            <w:r>
              <w:t>Group*PDO</w:t>
            </w:r>
          </w:p>
        </w:tc>
        <w:tc>
          <w:tcPr>
            <w:tcW w:w="1860" w:type="dxa"/>
            <w:shd w:val="clear" w:color="auto" w:fill="FFFFFF"/>
            <w:vAlign w:val="bottom"/>
          </w:tcPr>
          <w:p w14:paraId="5E3FC644" w14:textId="77777777" w:rsidR="009355C7" w:rsidRDefault="009355C7">
            <w:pPr>
              <w:jc w:val="center"/>
            </w:pPr>
            <w:r>
              <w:t>0.00</w:t>
            </w:r>
          </w:p>
        </w:tc>
        <w:tc>
          <w:tcPr>
            <w:tcW w:w="666" w:type="dxa"/>
            <w:shd w:val="clear" w:color="auto" w:fill="FFFFFF"/>
            <w:vAlign w:val="bottom"/>
          </w:tcPr>
          <w:p w14:paraId="4FA60F52" w14:textId="77777777" w:rsidR="009355C7" w:rsidRDefault="009355C7">
            <w:pPr>
              <w:jc w:val="center"/>
            </w:pPr>
            <w:r>
              <w:t>0.03</w:t>
            </w:r>
          </w:p>
        </w:tc>
        <w:tc>
          <w:tcPr>
            <w:tcW w:w="733" w:type="dxa"/>
            <w:shd w:val="clear" w:color="auto" w:fill="FFFFFF"/>
            <w:vAlign w:val="bottom"/>
          </w:tcPr>
          <w:p w14:paraId="30A696DB" w14:textId="77777777" w:rsidR="009355C7" w:rsidRDefault="009355C7">
            <w:pPr>
              <w:jc w:val="center"/>
            </w:pPr>
            <w:r>
              <w:t>-0.02</w:t>
            </w:r>
          </w:p>
        </w:tc>
        <w:tc>
          <w:tcPr>
            <w:tcW w:w="739" w:type="dxa"/>
            <w:shd w:val="clear" w:color="auto" w:fill="FFFFFF"/>
            <w:vAlign w:val="bottom"/>
          </w:tcPr>
          <w:p w14:paraId="01F60FC7" w14:textId="77777777" w:rsidR="009355C7" w:rsidRDefault="009355C7">
            <w:pPr>
              <w:jc w:val="center"/>
            </w:pPr>
            <w:r>
              <w:t>0.12</w:t>
            </w:r>
          </w:p>
        </w:tc>
        <w:tc>
          <w:tcPr>
            <w:tcW w:w="666" w:type="dxa"/>
            <w:shd w:val="clear" w:color="auto" w:fill="FFFFFF"/>
            <w:vAlign w:val="bottom"/>
          </w:tcPr>
          <w:p w14:paraId="57C7EBF4" w14:textId="77777777" w:rsidR="009355C7" w:rsidRDefault="009355C7">
            <w:pPr>
              <w:jc w:val="center"/>
            </w:pPr>
            <w:r>
              <w:t>0.08</w:t>
            </w:r>
          </w:p>
        </w:tc>
      </w:tr>
      <w:tr w:rsidR="009355C7" w14:paraId="08066050" w14:textId="77777777">
        <w:trPr>
          <w:trHeight w:val="375"/>
          <w:jc w:val="center"/>
        </w:trPr>
        <w:tc>
          <w:tcPr>
            <w:tcW w:w="2859" w:type="dxa"/>
            <w:shd w:val="clear" w:color="auto" w:fill="FFFFFF"/>
            <w:vAlign w:val="bottom"/>
          </w:tcPr>
          <w:p w14:paraId="2F72AC40" w14:textId="77777777" w:rsidR="009355C7" w:rsidRDefault="009355C7">
            <w:r>
              <w:t>Group*</w:t>
            </w:r>
            <w:proofErr w:type="spellStart"/>
            <w:r>
              <w:t>PDO</w:t>
            </w:r>
            <w:r>
              <w:rPr>
                <w:vertAlign w:val="subscript"/>
              </w:rPr>
              <w:t>lag</w:t>
            </w:r>
            <w:proofErr w:type="spellEnd"/>
          </w:p>
        </w:tc>
        <w:tc>
          <w:tcPr>
            <w:tcW w:w="1860" w:type="dxa"/>
            <w:shd w:val="clear" w:color="auto" w:fill="FFFFFF"/>
            <w:vAlign w:val="bottom"/>
          </w:tcPr>
          <w:p w14:paraId="5D46E512" w14:textId="77777777" w:rsidR="009355C7" w:rsidRDefault="009355C7">
            <w:pPr>
              <w:jc w:val="center"/>
            </w:pPr>
            <w:r>
              <w:t>0.00</w:t>
            </w:r>
          </w:p>
        </w:tc>
        <w:tc>
          <w:tcPr>
            <w:tcW w:w="666" w:type="dxa"/>
            <w:shd w:val="clear" w:color="auto" w:fill="FFFFFF"/>
            <w:vAlign w:val="bottom"/>
          </w:tcPr>
          <w:p w14:paraId="03CECADF" w14:textId="77777777" w:rsidR="009355C7" w:rsidRDefault="009355C7">
            <w:pPr>
              <w:jc w:val="center"/>
            </w:pPr>
            <w:r>
              <w:t>0.02</w:t>
            </w:r>
          </w:p>
        </w:tc>
        <w:tc>
          <w:tcPr>
            <w:tcW w:w="733" w:type="dxa"/>
            <w:shd w:val="clear" w:color="auto" w:fill="FFFFFF"/>
            <w:vAlign w:val="bottom"/>
          </w:tcPr>
          <w:p w14:paraId="2F496CA2" w14:textId="77777777" w:rsidR="009355C7" w:rsidRDefault="009355C7">
            <w:pPr>
              <w:jc w:val="center"/>
            </w:pPr>
            <w:r>
              <w:t>-0.02</w:t>
            </w:r>
          </w:p>
        </w:tc>
        <w:tc>
          <w:tcPr>
            <w:tcW w:w="739" w:type="dxa"/>
            <w:shd w:val="clear" w:color="auto" w:fill="FFFFFF"/>
            <w:vAlign w:val="bottom"/>
          </w:tcPr>
          <w:p w14:paraId="2ED94F5B" w14:textId="77777777" w:rsidR="009355C7" w:rsidRDefault="009355C7">
            <w:pPr>
              <w:jc w:val="center"/>
            </w:pPr>
            <w:r>
              <w:t>0.05</w:t>
            </w:r>
          </w:p>
        </w:tc>
        <w:tc>
          <w:tcPr>
            <w:tcW w:w="666" w:type="dxa"/>
            <w:shd w:val="clear" w:color="auto" w:fill="FFFFFF"/>
            <w:vAlign w:val="bottom"/>
          </w:tcPr>
          <w:p w14:paraId="61C61AFE" w14:textId="77777777" w:rsidR="009355C7" w:rsidRDefault="009355C7">
            <w:pPr>
              <w:jc w:val="center"/>
            </w:pPr>
            <w:r>
              <w:t>0.07</w:t>
            </w:r>
          </w:p>
        </w:tc>
      </w:tr>
      <w:tr w:rsidR="009355C7" w14:paraId="1E7439B8" w14:textId="77777777">
        <w:trPr>
          <w:trHeight w:val="201"/>
          <w:jc w:val="center"/>
        </w:trPr>
        <w:tc>
          <w:tcPr>
            <w:tcW w:w="2859" w:type="dxa"/>
            <w:shd w:val="clear" w:color="auto" w:fill="FFFFFF"/>
            <w:vAlign w:val="bottom"/>
          </w:tcPr>
          <w:p w14:paraId="77A98EF6" w14:textId="77777777" w:rsidR="009355C7" w:rsidRDefault="009355C7">
            <w:pPr>
              <w:snapToGrid w:val="0"/>
            </w:pPr>
          </w:p>
        </w:tc>
        <w:tc>
          <w:tcPr>
            <w:tcW w:w="1860" w:type="dxa"/>
            <w:shd w:val="clear" w:color="auto" w:fill="FFFFFF"/>
            <w:vAlign w:val="bottom"/>
          </w:tcPr>
          <w:p w14:paraId="3EDE7285" w14:textId="77777777" w:rsidR="009355C7" w:rsidRDefault="009355C7">
            <w:pPr>
              <w:snapToGrid w:val="0"/>
              <w:jc w:val="center"/>
            </w:pPr>
          </w:p>
        </w:tc>
        <w:tc>
          <w:tcPr>
            <w:tcW w:w="666" w:type="dxa"/>
            <w:shd w:val="clear" w:color="auto" w:fill="FFFFFF"/>
            <w:vAlign w:val="bottom"/>
          </w:tcPr>
          <w:p w14:paraId="76DC3B98" w14:textId="77777777" w:rsidR="009355C7" w:rsidRDefault="009355C7">
            <w:pPr>
              <w:snapToGrid w:val="0"/>
              <w:jc w:val="center"/>
            </w:pPr>
          </w:p>
        </w:tc>
        <w:tc>
          <w:tcPr>
            <w:tcW w:w="733" w:type="dxa"/>
            <w:shd w:val="clear" w:color="auto" w:fill="FFFFFF"/>
            <w:vAlign w:val="bottom"/>
          </w:tcPr>
          <w:p w14:paraId="79E729E8" w14:textId="77777777" w:rsidR="009355C7" w:rsidRDefault="009355C7">
            <w:pPr>
              <w:snapToGrid w:val="0"/>
              <w:jc w:val="center"/>
            </w:pPr>
          </w:p>
        </w:tc>
        <w:tc>
          <w:tcPr>
            <w:tcW w:w="739" w:type="dxa"/>
            <w:shd w:val="clear" w:color="auto" w:fill="FFFFFF"/>
            <w:vAlign w:val="bottom"/>
          </w:tcPr>
          <w:p w14:paraId="343F9481" w14:textId="77777777" w:rsidR="009355C7" w:rsidRDefault="009355C7">
            <w:pPr>
              <w:snapToGrid w:val="0"/>
              <w:jc w:val="center"/>
            </w:pPr>
          </w:p>
        </w:tc>
        <w:tc>
          <w:tcPr>
            <w:tcW w:w="666" w:type="dxa"/>
            <w:shd w:val="clear" w:color="auto" w:fill="FFFFFF"/>
            <w:vAlign w:val="bottom"/>
          </w:tcPr>
          <w:p w14:paraId="0630F002" w14:textId="77777777" w:rsidR="009355C7" w:rsidRDefault="009355C7">
            <w:pPr>
              <w:snapToGrid w:val="0"/>
              <w:jc w:val="center"/>
            </w:pPr>
          </w:p>
        </w:tc>
      </w:tr>
      <w:tr w:rsidR="009355C7" w14:paraId="62911330" w14:textId="77777777">
        <w:trPr>
          <w:trHeight w:val="315"/>
          <w:jc w:val="center"/>
        </w:trPr>
        <w:tc>
          <w:tcPr>
            <w:tcW w:w="2859" w:type="dxa"/>
            <w:shd w:val="clear" w:color="auto" w:fill="FFFFFF"/>
            <w:vAlign w:val="bottom"/>
          </w:tcPr>
          <w:p w14:paraId="6BD71C23" w14:textId="77777777" w:rsidR="009355C7" w:rsidRDefault="009355C7">
            <w:r>
              <w:t>Juveniles per female</w:t>
            </w:r>
          </w:p>
        </w:tc>
        <w:tc>
          <w:tcPr>
            <w:tcW w:w="1860" w:type="dxa"/>
            <w:shd w:val="clear" w:color="auto" w:fill="FFFFFF"/>
            <w:vAlign w:val="bottom"/>
          </w:tcPr>
          <w:p w14:paraId="365F51D1" w14:textId="77777777" w:rsidR="009355C7" w:rsidRDefault="009355C7">
            <w:pPr>
              <w:snapToGrid w:val="0"/>
              <w:jc w:val="center"/>
            </w:pPr>
          </w:p>
        </w:tc>
        <w:tc>
          <w:tcPr>
            <w:tcW w:w="666" w:type="dxa"/>
            <w:shd w:val="clear" w:color="auto" w:fill="FFFFFF"/>
            <w:vAlign w:val="bottom"/>
          </w:tcPr>
          <w:p w14:paraId="01D2965F" w14:textId="77777777" w:rsidR="009355C7" w:rsidRDefault="009355C7">
            <w:pPr>
              <w:snapToGrid w:val="0"/>
              <w:jc w:val="center"/>
            </w:pPr>
          </w:p>
        </w:tc>
        <w:tc>
          <w:tcPr>
            <w:tcW w:w="733" w:type="dxa"/>
            <w:shd w:val="clear" w:color="auto" w:fill="FFFFFF"/>
            <w:vAlign w:val="bottom"/>
          </w:tcPr>
          <w:p w14:paraId="06DF6D04" w14:textId="77777777" w:rsidR="009355C7" w:rsidRDefault="009355C7">
            <w:pPr>
              <w:snapToGrid w:val="0"/>
              <w:jc w:val="center"/>
            </w:pPr>
          </w:p>
        </w:tc>
        <w:tc>
          <w:tcPr>
            <w:tcW w:w="739" w:type="dxa"/>
            <w:shd w:val="clear" w:color="auto" w:fill="FFFFFF"/>
            <w:vAlign w:val="bottom"/>
          </w:tcPr>
          <w:p w14:paraId="4465F644" w14:textId="77777777" w:rsidR="009355C7" w:rsidRDefault="009355C7">
            <w:pPr>
              <w:snapToGrid w:val="0"/>
              <w:jc w:val="center"/>
            </w:pPr>
          </w:p>
        </w:tc>
        <w:tc>
          <w:tcPr>
            <w:tcW w:w="666" w:type="dxa"/>
            <w:shd w:val="clear" w:color="auto" w:fill="FFFFFF"/>
            <w:vAlign w:val="bottom"/>
          </w:tcPr>
          <w:p w14:paraId="16A567F0" w14:textId="77777777" w:rsidR="009355C7" w:rsidRDefault="009355C7">
            <w:pPr>
              <w:snapToGrid w:val="0"/>
              <w:jc w:val="center"/>
            </w:pPr>
          </w:p>
        </w:tc>
      </w:tr>
      <w:tr w:rsidR="009355C7" w14:paraId="1AF39830" w14:textId="77777777">
        <w:trPr>
          <w:trHeight w:val="315"/>
          <w:jc w:val="center"/>
        </w:trPr>
        <w:tc>
          <w:tcPr>
            <w:tcW w:w="2859" w:type="dxa"/>
            <w:shd w:val="clear" w:color="auto" w:fill="FFFFFF"/>
            <w:vAlign w:val="bottom"/>
          </w:tcPr>
          <w:p w14:paraId="729A10B2" w14:textId="77777777" w:rsidR="009355C7" w:rsidRDefault="009355C7">
            <w:r>
              <w:t>(</w:t>
            </w:r>
            <w:r>
              <w:rPr>
                <w:i/>
                <w:iCs/>
              </w:rPr>
              <w:t>Poisson GLM's</w:t>
            </w:r>
            <w:r>
              <w:t>)</w:t>
            </w:r>
          </w:p>
        </w:tc>
        <w:tc>
          <w:tcPr>
            <w:tcW w:w="1860" w:type="dxa"/>
            <w:shd w:val="clear" w:color="auto" w:fill="FFFFFF"/>
            <w:vAlign w:val="bottom"/>
          </w:tcPr>
          <w:p w14:paraId="1B7F6AF6" w14:textId="77777777" w:rsidR="009355C7" w:rsidRDefault="009355C7">
            <w:pPr>
              <w:snapToGrid w:val="0"/>
              <w:jc w:val="center"/>
            </w:pPr>
          </w:p>
        </w:tc>
        <w:tc>
          <w:tcPr>
            <w:tcW w:w="666" w:type="dxa"/>
            <w:shd w:val="clear" w:color="auto" w:fill="FFFFFF"/>
            <w:vAlign w:val="bottom"/>
          </w:tcPr>
          <w:p w14:paraId="0237213C" w14:textId="77777777" w:rsidR="009355C7" w:rsidRDefault="009355C7">
            <w:pPr>
              <w:snapToGrid w:val="0"/>
              <w:jc w:val="center"/>
            </w:pPr>
          </w:p>
        </w:tc>
        <w:tc>
          <w:tcPr>
            <w:tcW w:w="733" w:type="dxa"/>
            <w:shd w:val="clear" w:color="auto" w:fill="FFFFFF"/>
            <w:vAlign w:val="bottom"/>
          </w:tcPr>
          <w:p w14:paraId="1802A150" w14:textId="77777777" w:rsidR="009355C7" w:rsidRDefault="009355C7">
            <w:pPr>
              <w:snapToGrid w:val="0"/>
              <w:jc w:val="center"/>
            </w:pPr>
          </w:p>
        </w:tc>
        <w:tc>
          <w:tcPr>
            <w:tcW w:w="739" w:type="dxa"/>
            <w:shd w:val="clear" w:color="auto" w:fill="FFFFFF"/>
            <w:vAlign w:val="bottom"/>
          </w:tcPr>
          <w:p w14:paraId="37F33B7A" w14:textId="77777777" w:rsidR="009355C7" w:rsidRDefault="009355C7">
            <w:pPr>
              <w:snapToGrid w:val="0"/>
              <w:jc w:val="center"/>
            </w:pPr>
          </w:p>
        </w:tc>
        <w:tc>
          <w:tcPr>
            <w:tcW w:w="666" w:type="dxa"/>
            <w:shd w:val="clear" w:color="auto" w:fill="FFFFFF"/>
            <w:vAlign w:val="bottom"/>
          </w:tcPr>
          <w:p w14:paraId="093D97C2" w14:textId="77777777" w:rsidR="009355C7" w:rsidRDefault="009355C7">
            <w:pPr>
              <w:snapToGrid w:val="0"/>
              <w:jc w:val="center"/>
            </w:pPr>
          </w:p>
        </w:tc>
      </w:tr>
      <w:tr w:rsidR="009355C7" w14:paraId="7E6DA56A" w14:textId="77777777">
        <w:trPr>
          <w:trHeight w:val="315"/>
          <w:jc w:val="center"/>
        </w:trPr>
        <w:tc>
          <w:tcPr>
            <w:tcW w:w="2859" w:type="dxa"/>
            <w:shd w:val="clear" w:color="auto" w:fill="FFFFFF"/>
            <w:vAlign w:val="bottom"/>
          </w:tcPr>
          <w:p w14:paraId="0E223172" w14:textId="77777777" w:rsidR="009355C7" w:rsidRDefault="009355C7">
            <w:r>
              <w:t>PDO</w:t>
            </w:r>
          </w:p>
        </w:tc>
        <w:tc>
          <w:tcPr>
            <w:tcW w:w="1860" w:type="dxa"/>
            <w:shd w:val="clear" w:color="auto" w:fill="FFFFFF"/>
            <w:vAlign w:val="bottom"/>
          </w:tcPr>
          <w:p w14:paraId="50CFAB3E" w14:textId="77777777" w:rsidR="009355C7" w:rsidRDefault="009355C7">
            <w:pPr>
              <w:jc w:val="center"/>
            </w:pPr>
            <w:r>
              <w:t>-0.26</w:t>
            </w:r>
          </w:p>
        </w:tc>
        <w:tc>
          <w:tcPr>
            <w:tcW w:w="666" w:type="dxa"/>
            <w:shd w:val="clear" w:color="auto" w:fill="FFFFFF"/>
            <w:vAlign w:val="bottom"/>
          </w:tcPr>
          <w:p w14:paraId="49E958A4" w14:textId="77777777" w:rsidR="009355C7" w:rsidRDefault="009355C7">
            <w:pPr>
              <w:jc w:val="center"/>
            </w:pPr>
            <w:r>
              <w:t>0.49</w:t>
            </w:r>
          </w:p>
        </w:tc>
        <w:tc>
          <w:tcPr>
            <w:tcW w:w="733" w:type="dxa"/>
            <w:shd w:val="clear" w:color="auto" w:fill="FFFFFF"/>
            <w:vAlign w:val="bottom"/>
          </w:tcPr>
          <w:p w14:paraId="17FA73BB" w14:textId="77777777" w:rsidR="009355C7" w:rsidRDefault="009355C7">
            <w:pPr>
              <w:jc w:val="center"/>
            </w:pPr>
            <w:r>
              <w:t>-1.69</w:t>
            </w:r>
          </w:p>
        </w:tc>
        <w:tc>
          <w:tcPr>
            <w:tcW w:w="739" w:type="dxa"/>
            <w:shd w:val="clear" w:color="auto" w:fill="FFFFFF"/>
            <w:vAlign w:val="bottom"/>
          </w:tcPr>
          <w:p w14:paraId="7E3692D7" w14:textId="77777777" w:rsidR="009355C7" w:rsidRDefault="009355C7">
            <w:pPr>
              <w:jc w:val="center"/>
            </w:pPr>
            <w:r>
              <w:t>0.17</w:t>
            </w:r>
          </w:p>
        </w:tc>
        <w:tc>
          <w:tcPr>
            <w:tcW w:w="666" w:type="dxa"/>
            <w:shd w:val="clear" w:color="auto" w:fill="FFFFFF"/>
            <w:vAlign w:val="bottom"/>
          </w:tcPr>
          <w:p w14:paraId="0EAC2E01" w14:textId="77777777" w:rsidR="009355C7" w:rsidRDefault="009355C7">
            <w:pPr>
              <w:jc w:val="center"/>
            </w:pPr>
            <w:r>
              <w:t>0.99</w:t>
            </w:r>
          </w:p>
        </w:tc>
      </w:tr>
      <w:tr w:rsidR="009355C7" w14:paraId="5472DCE5" w14:textId="77777777">
        <w:trPr>
          <w:trHeight w:val="375"/>
          <w:jc w:val="center"/>
        </w:trPr>
        <w:tc>
          <w:tcPr>
            <w:tcW w:w="2859" w:type="dxa"/>
            <w:shd w:val="clear" w:color="auto" w:fill="FFFFFF"/>
            <w:vAlign w:val="bottom"/>
          </w:tcPr>
          <w:p w14:paraId="4F6FD788" w14:textId="77777777" w:rsidR="009355C7" w:rsidRDefault="009355C7">
            <w:proofErr w:type="spellStart"/>
            <w:r>
              <w:t>PDO</w:t>
            </w:r>
            <w:r>
              <w:rPr>
                <w:vertAlign w:val="subscript"/>
              </w:rPr>
              <w:t>lag</w:t>
            </w:r>
            <w:proofErr w:type="spellEnd"/>
          </w:p>
        </w:tc>
        <w:tc>
          <w:tcPr>
            <w:tcW w:w="1860" w:type="dxa"/>
            <w:shd w:val="clear" w:color="auto" w:fill="FFFFFF"/>
            <w:vAlign w:val="bottom"/>
          </w:tcPr>
          <w:p w14:paraId="10AC5832" w14:textId="77777777" w:rsidR="009355C7" w:rsidRDefault="009355C7">
            <w:pPr>
              <w:jc w:val="center"/>
            </w:pPr>
            <w:r>
              <w:t>0.20</w:t>
            </w:r>
          </w:p>
        </w:tc>
        <w:tc>
          <w:tcPr>
            <w:tcW w:w="666" w:type="dxa"/>
            <w:shd w:val="clear" w:color="auto" w:fill="FFFFFF"/>
            <w:vAlign w:val="bottom"/>
          </w:tcPr>
          <w:p w14:paraId="3EC03D32" w14:textId="77777777" w:rsidR="009355C7" w:rsidRDefault="009355C7">
            <w:pPr>
              <w:jc w:val="center"/>
            </w:pPr>
            <w:r>
              <w:t>0.37</w:t>
            </w:r>
          </w:p>
        </w:tc>
        <w:tc>
          <w:tcPr>
            <w:tcW w:w="733" w:type="dxa"/>
            <w:shd w:val="clear" w:color="auto" w:fill="FFFFFF"/>
            <w:vAlign w:val="bottom"/>
          </w:tcPr>
          <w:p w14:paraId="6FF8887E" w14:textId="77777777" w:rsidR="009355C7" w:rsidRDefault="009355C7">
            <w:pPr>
              <w:jc w:val="center"/>
            </w:pPr>
            <w:r>
              <w:t>-0.50</w:t>
            </w:r>
          </w:p>
        </w:tc>
        <w:tc>
          <w:tcPr>
            <w:tcW w:w="739" w:type="dxa"/>
            <w:shd w:val="clear" w:color="auto" w:fill="FFFFFF"/>
            <w:vAlign w:val="bottom"/>
          </w:tcPr>
          <w:p w14:paraId="2C99481B" w14:textId="77777777" w:rsidR="009355C7" w:rsidRDefault="009355C7">
            <w:pPr>
              <w:jc w:val="center"/>
            </w:pPr>
            <w:r>
              <w:t>1.03</w:t>
            </w:r>
          </w:p>
        </w:tc>
        <w:tc>
          <w:tcPr>
            <w:tcW w:w="666" w:type="dxa"/>
            <w:shd w:val="clear" w:color="auto" w:fill="FFFFFF"/>
            <w:vAlign w:val="bottom"/>
          </w:tcPr>
          <w:p w14:paraId="0F6FF0BB" w14:textId="77777777" w:rsidR="009355C7" w:rsidRDefault="009355C7">
            <w:pPr>
              <w:jc w:val="center"/>
            </w:pPr>
            <w:r>
              <w:t>0.69</w:t>
            </w:r>
          </w:p>
        </w:tc>
      </w:tr>
      <w:tr w:rsidR="009355C7" w14:paraId="4BAAEBDD" w14:textId="77777777">
        <w:trPr>
          <w:trHeight w:val="315"/>
          <w:jc w:val="center"/>
        </w:trPr>
        <w:tc>
          <w:tcPr>
            <w:tcW w:w="2859" w:type="dxa"/>
            <w:shd w:val="clear" w:color="auto" w:fill="FFFFFF"/>
            <w:vAlign w:val="bottom"/>
          </w:tcPr>
          <w:p w14:paraId="5591286A" w14:textId="77777777" w:rsidR="009355C7" w:rsidRDefault="009355C7">
            <w:r>
              <w:t>Group</w:t>
            </w:r>
          </w:p>
        </w:tc>
        <w:tc>
          <w:tcPr>
            <w:tcW w:w="1860" w:type="dxa"/>
            <w:shd w:val="clear" w:color="auto" w:fill="FFFFFF"/>
            <w:vAlign w:val="bottom"/>
          </w:tcPr>
          <w:p w14:paraId="3CC84193" w14:textId="77777777" w:rsidR="009355C7" w:rsidRDefault="009355C7">
            <w:pPr>
              <w:jc w:val="center"/>
            </w:pPr>
            <w:r>
              <w:t>0.00</w:t>
            </w:r>
          </w:p>
        </w:tc>
        <w:tc>
          <w:tcPr>
            <w:tcW w:w="666" w:type="dxa"/>
            <w:shd w:val="clear" w:color="auto" w:fill="FFFFFF"/>
            <w:vAlign w:val="bottom"/>
          </w:tcPr>
          <w:p w14:paraId="698880C9" w14:textId="77777777" w:rsidR="009355C7" w:rsidRDefault="009355C7">
            <w:pPr>
              <w:jc w:val="center"/>
            </w:pPr>
            <w:r>
              <w:t>0.04</w:t>
            </w:r>
          </w:p>
        </w:tc>
        <w:tc>
          <w:tcPr>
            <w:tcW w:w="733" w:type="dxa"/>
            <w:shd w:val="clear" w:color="auto" w:fill="FFFFFF"/>
            <w:vAlign w:val="bottom"/>
          </w:tcPr>
          <w:p w14:paraId="34C19DCD" w14:textId="77777777" w:rsidR="009355C7" w:rsidRDefault="009355C7">
            <w:pPr>
              <w:jc w:val="center"/>
            </w:pPr>
            <w:r>
              <w:t>-0.08</w:t>
            </w:r>
          </w:p>
        </w:tc>
        <w:tc>
          <w:tcPr>
            <w:tcW w:w="739" w:type="dxa"/>
            <w:shd w:val="clear" w:color="auto" w:fill="FFFFFF"/>
            <w:vAlign w:val="bottom"/>
          </w:tcPr>
          <w:p w14:paraId="02CF81D7" w14:textId="77777777" w:rsidR="009355C7" w:rsidRDefault="009355C7">
            <w:pPr>
              <w:jc w:val="center"/>
            </w:pPr>
            <w:r>
              <w:t>0.09</w:t>
            </w:r>
          </w:p>
        </w:tc>
        <w:tc>
          <w:tcPr>
            <w:tcW w:w="666" w:type="dxa"/>
            <w:shd w:val="clear" w:color="auto" w:fill="FFFFFF"/>
            <w:vAlign w:val="bottom"/>
          </w:tcPr>
          <w:p w14:paraId="6DB4C9B4" w14:textId="77777777" w:rsidR="009355C7" w:rsidRDefault="009355C7">
            <w:pPr>
              <w:jc w:val="center"/>
            </w:pPr>
            <w:r>
              <w:t>0.48</w:t>
            </w:r>
          </w:p>
        </w:tc>
      </w:tr>
      <w:tr w:rsidR="009355C7" w14:paraId="441B8884" w14:textId="77777777">
        <w:trPr>
          <w:trHeight w:val="315"/>
          <w:jc w:val="center"/>
        </w:trPr>
        <w:tc>
          <w:tcPr>
            <w:tcW w:w="2859" w:type="dxa"/>
            <w:shd w:val="clear" w:color="auto" w:fill="FFFFFF"/>
            <w:vAlign w:val="bottom"/>
          </w:tcPr>
          <w:p w14:paraId="77275639" w14:textId="77777777" w:rsidR="009355C7" w:rsidRDefault="009355C7">
            <w:r>
              <w:t>Group*PDO</w:t>
            </w:r>
          </w:p>
        </w:tc>
        <w:tc>
          <w:tcPr>
            <w:tcW w:w="1860" w:type="dxa"/>
            <w:shd w:val="clear" w:color="auto" w:fill="FFFFFF"/>
            <w:vAlign w:val="bottom"/>
          </w:tcPr>
          <w:p w14:paraId="3B23B9D9" w14:textId="77777777" w:rsidR="009355C7" w:rsidRDefault="009355C7">
            <w:pPr>
              <w:jc w:val="center"/>
            </w:pPr>
            <w:r>
              <w:t>0.01</w:t>
            </w:r>
          </w:p>
        </w:tc>
        <w:tc>
          <w:tcPr>
            <w:tcW w:w="666" w:type="dxa"/>
            <w:shd w:val="clear" w:color="auto" w:fill="FFFFFF"/>
            <w:vAlign w:val="bottom"/>
          </w:tcPr>
          <w:p w14:paraId="649D9E4F" w14:textId="77777777" w:rsidR="009355C7" w:rsidRDefault="009355C7">
            <w:pPr>
              <w:jc w:val="center"/>
            </w:pPr>
            <w:r>
              <w:t>0.05</w:t>
            </w:r>
          </w:p>
        </w:tc>
        <w:tc>
          <w:tcPr>
            <w:tcW w:w="733" w:type="dxa"/>
            <w:shd w:val="clear" w:color="auto" w:fill="FFFFFF"/>
            <w:vAlign w:val="bottom"/>
          </w:tcPr>
          <w:p w14:paraId="0DCF2CCC" w14:textId="77777777" w:rsidR="009355C7" w:rsidRDefault="009355C7">
            <w:pPr>
              <w:jc w:val="center"/>
            </w:pPr>
            <w:r>
              <w:t>-0.05</w:t>
            </w:r>
          </w:p>
        </w:tc>
        <w:tc>
          <w:tcPr>
            <w:tcW w:w="739" w:type="dxa"/>
            <w:shd w:val="clear" w:color="auto" w:fill="FFFFFF"/>
            <w:vAlign w:val="bottom"/>
          </w:tcPr>
          <w:p w14:paraId="5FF63765" w14:textId="77777777" w:rsidR="009355C7" w:rsidRDefault="009355C7">
            <w:pPr>
              <w:jc w:val="center"/>
            </w:pPr>
            <w:r>
              <w:t>0.16</w:t>
            </w:r>
          </w:p>
        </w:tc>
        <w:tc>
          <w:tcPr>
            <w:tcW w:w="666" w:type="dxa"/>
            <w:shd w:val="clear" w:color="auto" w:fill="FFFFFF"/>
            <w:vAlign w:val="bottom"/>
          </w:tcPr>
          <w:p w14:paraId="03B7FAC2" w14:textId="77777777" w:rsidR="009355C7" w:rsidRDefault="009355C7">
            <w:pPr>
              <w:jc w:val="center"/>
            </w:pPr>
            <w:r>
              <w:t>0.26</w:t>
            </w:r>
          </w:p>
        </w:tc>
      </w:tr>
      <w:tr w:rsidR="009355C7" w14:paraId="221BA1A2" w14:textId="77777777">
        <w:trPr>
          <w:trHeight w:val="375"/>
          <w:jc w:val="center"/>
        </w:trPr>
        <w:tc>
          <w:tcPr>
            <w:tcW w:w="2859" w:type="dxa"/>
            <w:shd w:val="clear" w:color="auto" w:fill="FFFFFF"/>
            <w:vAlign w:val="bottom"/>
          </w:tcPr>
          <w:p w14:paraId="6F5117F3" w14:textId="77777777" w:rsidR="009355C7" w:rsidRDefault="009355C7">
            <w:r>
              <w:t>Group*</w:t>
            </w:r>
            <w:proofErr w:type="spellStart"/>
            <w:r>
              <w:t>PDO</w:t>
            </w:r>
            <w:r>
              <w:rPr>
                <w:vertAlign w:val="subscript"/>
              </w:rPr>
              <w:t>lag</w:t>
            </w:r>
            <w:proofErr w:type="spellEnd"/>
          </w:p>
        </w:tc>
        <w:tc>
          <w:tcPr>
            <w:tcW w:w="1860" w:type="dxa"/>
            <w:shd w:val="clear" w:color="auto" w:fill="FFFFFF"/>
            <w:vAlign w:val="bottom"/>
          </w:tcPr>
          <w:p w14:paraId="1510C9FA" w14:textId="77777777" w:rsidR="009355C7" w:rsidRDefault="009355C7">
            <w:pPr>
              <w:jc w:val="center"/>
            </w:pPr>
            <w:r>
              <w:t>0.00</w:t>
            </w:r>
          </w:p>
        </w:tc>
        <w:tc>
          <w:tcPr>
            <w:tcW w:w="666" w:type="dxa"/>
            <w:shd w:val="clear" w:color="auto" w:fill="FFFFFF"/>
            <w:vAlign w:val="bottom"/>
          </w:tcPr>
          <w:p w14:paraId="402149AC" w14:textId="77777777" w:rsidR="009355C7" w:rsidRDefault="009355C7">
            <w:pPr>
              <w:jc w:val="center"/>
            </w:pPr>
            <w:r>
              <w:t>0.05</w:t>
            </w:r>
          </w:p>
        </w:tc>
        <w:tc>
          <w:tcPr>
            <w:tcW w:w="733" w:type="dxa"/>
            <w:shd w:val="clear" w:color="auto" w:fill="FFFFFF"/>
            <w:vAlign w:val="bottom"/>
          </w:tcPr>
          <w:p w14:paraId="58141AC2" w14:textId="77777777" w:rsidR="009355C7" w:rsidRDefault="009355C7">
            <w:pPr>
              <w:jc w:val="center"/>
            </w:pPr>
            <w:r>
              <w:t>-0.11</w:t>
            </w:r>
          </w:p>
        </w:tc>
        <w:tc>
          <w:tcPr>
            <w:tcW w:w="739" w:type="dxa"/>
            <w:shd w:val="clear" w:color="auto" w:fill="FFFFFF"/>
            <w:vAlign w:val="bottom"/>
          </w:tcPr>
          <w:p w14:paraId="16536510" w14:textId="77777777" w:rsidR="009355C7" w:rsidRDefault="009355C7">
            <w:pPr>
              <w:jc w:val="center"/>
            </w:pPr>
            <w:r>
              <w:t>0.10</w:t>
            </w:r>
          </w:p>
        </w:tc>
        <w:tc>
          <w:tcPr>
            <w:tcW w:w="666" w:type="dxa"/>
            <w:shd w:val="clear" w:color="auto" w:fill="FFFFFF"/>
            <w:vAlign w:val="bottom"/>
          </w:tcPr>
          <w:p w14:paraId="1858CF76" w14:textId="77777777" w:rsidR="009355C7" w:rsidRDefault="009355C7">
            <w:pPr>
              <w:jc w:val="center"/>
            </w:pPr>
            <w:r>
              <w:t>0.15</w:t>
            </w:r>
          </w:p>
        </w:tc>
      </w:tr>
      <w:tr w:rsidR="009355C7" w14:paraId="03545D18" w14:textId="77777777">
        <w:trPr>
          <w:trHeight w:val="181"/>
          <w:jc w:val="center"/>
        </w:trPr>
        <w:tc>
          <w:tcPr>
            <w:tcW w:w="2859" w:type="dxa"/>
            <w:shd w:val="clear" w:color="auto" w:fill="FFFFFF"/>
            <w:vAlign w:val="bottom"/>
          </w:tcPr>
          <w:p w14:paraId="19148D6F" w14:textId="77777777" w:rsidR="009355C7" w:rsidRDefault="009355C7">
            <w:pPr>
              <w:snapToGrid w:val="0"/>
            </w:pPr>
          </w:p>
        </w:tc>
        <w:tc>
          <w:tcPr>
            <w:tcW w:w="1860" w:type="dxa"/>
            <w:shd w:val="clear" w:color="auto" w:fill="FFFFFF"/>
            <w:vAlign w:val="bottom"/>
          </w:tcPr>
          <w:p w14:paraId="44829D09" w14:textId="77777777" w:rsidR="009355C7" w:rsidRDefault="009355C7">
            <w:pPr>
              <w:snapToGrid w:val="0"/>
              <w:jc w:val="center"/>
            </w:pPr>
          </w:p>
        </w:tc>
        <w:tc>
          <w:tcPr>
            <w:tcW w:w="666" w:type="dxa"/>
            <w:shd w:val="clear" w:color="auto" w:fill="FFFFFF"/>
            <w:vAlign w:val="bottom"/>
          </w:tcPr>
          <w:p w14:paraId="61CF4792" w14:textId="77777777" w:rsidR="009355C7" w:rsidRDefault="009355C7">
            <w:pPr>
              <w:snapToGrid w:val="0"/>
              <w:jc w:val="center"/>
            </w:pPr>
          </w:p>
        </w:tc>
        <w:tc>
          <w:tcPr>
            <w:tcW w:w="733" w:type="dxa"/>
            <w:shd w:val="clear" w:color="auto" w:fill="FFFFFF"/>
            <w:vAlign w:val="bottom"/>
          </w:tcPr>
          <w:p w14:paraId="67F99C0E" w14:textId="77777777" w:rsidR="009355C7" w:rsidRDefault="009355C7">
            <w:pPr>
              <w:snapToGrid w:val="0"/>
              <w:jc w:val="center"/>
            </w:pPr>
          </w:p>
        </w:tc>
        <w:tc>
          <w:tcPr>
            <w:tcW w:w="739" w:type="dxa"/>
            <w:shd w:val="clear" w:color="auto" w:fill="FFFFFF"/>
            <w:vAlign w:val="bottom"/>
          </w:tcPr>
          <w:p w14:paraId="6DE4B421" w14:textId="77777777" w:rsidR="009355C7" w:rsidRDefault="009355C7">
            <w:pPr>
              <w:snapToGrid w:val="0"/>
              <w:jc w:val="center"/>
            </w:pPr>
          </w:p>
        </w:tc>
        <w:tc>
          <w:tcPr>
            <w:tcW w:w="666" w:type="dxa"/>
            <w:shd w:val="clear" w:color="auto" w:fill="FFFFFF"/>
            <w:vAlign w:val="bottom"/>
          </w:tcPr>
          <w:p w14:paraId="79DF372B" w14:textId="77777777" w:rsidR="009355C7" w:rsidRDefault="009355C7">
            <w:pPr>
              <w:snapToGrid w:val="0"/>
              <w:jc w:val="center"/>
            </w:pPr>
          </w:p>
        </w:tc>
      </w:tr>
      <w:tr w:rsidR="009355C7" w14:paraId="3D0D644D" w14:textId="77777777">
        <w:trPr>
          <w:trHeight w:val="315"/>
          <w:jc w:val="center"/>
        </w:trPr>
        <w:tc>
          <w:tcPr>
            <w:tcW w:w="2859" w:type="dxa"/>
            <w:shd w:val="clear" w:color="auto" w:fill="FFFFFF"/>
            <w:vAlign w:val="bottom"/>
          </w:tcPr>
          <w:p w14:paraId="5684078E" w14:textId="77777777" w:rsidR="009355C7" w:rsidRDefault="009355C7">
            <w:r>
              <w:t>Litter Size</w:t>
            </w:r>
          </w:p>
        </w:tc>
        <w:tc>
          <w:tcPr>
            <w:tcW w:w="1860" w:type="dxa"/>
            <w:shd w:val="clear" w:color="auto" w:fill="FFFFFF"/>
            <w:vAlign w:val="bottom"/>
          </w:tcPr>
          <w:p w14:paraId="2222C861" w14:textId="77777777" w:rsidR="009355C7" w:rsidRDefault="009355C7">
            <w:pPr>
              <w:snapToGrid w:val="0"/>
              <w:jc w:val="center"/>
            </w:pPr>
          </w:p>
        </w:tc>
        <w:tc>
          <w:tcPr>
            <w:tcW w:w="666" w:type="dxa"/>
            <w:shd w:val="clear" w:color="auto" w:fill="FFFFFF"/>
            <w:vAlign w:val="bottom"/>
          </w:tcPr>
          <w:p w14:paraId="2B6DEA09" w14:textId="77777777" w:rsidR="009355C7" w:rsidRDefault="009355C7">
            <w:pPr>
              <w:snapToGrid w:val="0"/>
              <w:jc w:val="center"/>
            </w:pPr>
          </w:p>
        </w:tc>
        <w:tc>
          <w:tcPr>
            <w:tcW w:w="733" w:type="dxa"/>
            <w:shd w:val="clear" w:color="auto" w:fill="FFFFFF"/>
            <w:vAlign w:val="bottom"/>
          </w:tcPr>
          <w:p w14:paraId="32B828F9" w14:textId="77777777" w:rsidR="009355C7" w:rsidRDefault="009355C7">
            <w:pPr>
              <w:snapToGrid w:val="0"/>
              <w:jc w:val="center"/>
            </w:pPr>
          </w:p>
        </w:tc>
        <w:tc>
          <w:tcPr>
            <w:tcW w:w="739" w:type="dxa"/>
            <w:shd w:val="clear" w:color="auto" w:fill="FFFFFF"/>
            <w:vAlign w:val="bottom"/>
          </w:tcPr>
          <w:p w14:paraId="5E0899CB" w14:textId="77777777" w:rsidR="009355C7" w:rsidRDefault="009355C7">
            <w:pPr>
              <w:snapToGrid w:val="0"/>
              <w:jc w:val="center"/>
            </w:pPr>
          </w:p>
        </w:tc>
        <w:tc>
          <w:tcPr>
            <w:tcW w:w="666" w:type="dxa"/>
            <w:shd w:val="clear" w:color="auto" w:fill="FFFFFF"/>
            <w:vAlign w:val="bottom"/>
          </w:tcPr>
          <w:p w14:paraId="0B00E993" w14:textId="77777777" w:rsidR="009355C7" w:rsidRDefault="009355C7">
            <w:pPr>
              <w:snapToGrid w:val="0"/>
              <w:jc w:val="center"/>
            </w:pPr>
          </w:p>
        </w:tc>
      </w:tr>
      <w:tr w:rsidR="009355C7" w14:paraId="4608A487" w14:textId="77777777">
        <w:trPr>
          <w:trHeight w:val="315"/>
          <w:jc w:val="center"/>
        </w:trPr>
        <w:tc>
          <w:tcPr>
            <w:tcW w:w="2859" w:type="dxa"/>
            <w:shd w:val="clear" w:color="auto" w:fill="FFFFFF"/>
            <w:vAlign w:val="bottom"/>
          </w:tcPr>
          <w:p w14:paraId="45CDA4C8" w14:textId="77777777" w:rsidR="009355C7" w:rsidRDefault="009355C7">
            <w:r>
              <w:t>(</w:t>
            </w:r>
            <w:r>
              <w:rPr>
                <w:i/>
                <w:iCs/>
              </w:rPr>
              <w:t>Gaussian GLM's</w:t>
            </w:r>
            <w:r>
              <w:t>)</w:t>
            </w:r>
          </w:p>
        </w:tc>
        <w:tc>
          <w:tcPr>
            <w:tcW w:w="1860" w:type="dxa"/>
            <w:shd w:val="clear" w:color="auto" w:fill="FFFFFF"/>
            <w:vAlign w:val="bottom"/>
          </w:tcPr>
          <w:p w14:paraId="7D375914" w14:textId="77777777" w:rsidR="009355C7" w:rsidRDefault="009355C7">
            <w:pPr>
              <w:snapToGrid w:val="0"/>
              <w:jc w:val="center"/>
            </w:pPr>
          </w:p>
        </w:tc>
        <w:tc>
          <w:tcPr>
            <w:tcW w:w="666" w:type="dxa"/>
            <w:shd w:val="clear" w:color="auto" w:fill="FFFFFF"/>
            <w:vAlign w:val="bottom"/>
          </w:tcPr>
          <w:p w14:paraId="4F615EF5" w14:textId="77777777" w:rsidR="009355C7" w:rsidRDefault="009355C7">
            <w:pPr>
              <w:snapToGrid w:val="0"/>
              <w:jc w:val="center"/>
            </w:pPr>
          </w:p>
        </w:tc>
        <w:tc>
          <w:tcPr>
            <w:tcW w:w="733" w:type="dxa"/>
            <w:shd w:val="clear" w:color="auto" w:fill="FFFFFF"/>
            <w:vAlign w:val="bottom"/>
          </w:tcPr>
          <w:p w14:paraId="6584BF3C" w14:textId="77777777" w:rsidR="009355C7" w:rsidRDefault="009355C7">
            <w:pPr>
              <w:snapToGrid w:val="0"/>
              <w:jc w:val="center"/>
            </w:pPr>
          </w:p>
        </w:tc>
        <w:tc>
          <w:tcPr>
            <w:tcW w:w="739" w:type="dxa"/>
            <w:shd w:val="clear" w:color="auto" w:fill="FFFFFF"/>
            <w:vAlign w:val="bottom"/>
          </w:tcPr>
          <w:p w14:paraId="30A93FA8" w14:textId="77777777" w:rsidR="009355C7" w:rsidRDefault="009355C7">
            <w:pPr>
              <w:snapToGrid w:val="0"/>
              <w:jc w:val="center"/>
            </w:pPr>
          </w:p>
        </w:tc>
        <w:tc>
          <w:tcPr>
            <w:tcW w:w="666" w:type="dxa"/>
            <w:shd w:val="clear" w:color="auto" w:fill="FFFFFF"/>
            <w:vAlign w:val="bottom"/>
          </w:tcPr>
          <w:p w14:paraId="67FBE838" w14:textId="77777777" w:rsidR="009355C7" w:rsidRDefault="009355C7">
            <w:pPr>
              <w:snapToGrid w:val="0"/>
              <w:jc w:val="center"/>
            </w:pPr>
          </w:p>
        </w:tc>
      </w:tr>
      <w:tr w:rsidR="009355C7" w14:paraId="185B21FE" w14:textId="77777777">
        <w:trPr>
          <w:trHeight w:val="330"/>
          <w:jc w:val="center"/>
        </w:trPr>
        <w:tc>
          <w:tcPr>
            <w:tcW w:w="2859" w:type="dxa"/>
            <w:tcBorders>
              <w:bottom w:val="single" w:sz="8" w:space="0" w:color="000000"/>
            </w:tcBorders>
            <w:shd w:val="clear" w:color="auto" w:fill="FFFFFF"/>
            <w:vAlign w:val="bottom"/>
          </w:tcPr>
          <w:p w14:paraId="549CB65E" w14:textId="77777777" w:rsidR="009355C7" w:rsidRDefault="009355C7">
            <w:r>
              <w:t>Intercept</w:t>
            </w:r>
          </w:p>
        </w:tc>
        <w:tc>
          <w:tcPr>
            <w:tcW w:w="1860" w:type="dxa"/>
            <w:tcBorders>
              <w:bottom w:val="single" w:sz="8" w:space="0" w:color="000000"/>
            </w:tcBorders>
            <w:shd w:val="clear" w:color="auto" w:fill="FFFFFF"/>
            <w:vAlign w:val="bottom"/>
          </w:tcPr>
          <w:p w14:paraId="1B0D207F" w14:textId="77777777" w:rsidR="009355C7" w:rsidRDefault="009355C7">
            <w:pPr>
              <w:jc w:val="center"/>
            </w:pPr>
            <w:r>
              <w:t>3.00</w:t>
            </w:r>
          </w:p>
        </w:tc>
        <w:tc>
          <w:tcPr>
            <w:tcW w:w="666" w:type="dxa"/>
            <w:tcBorders>
              <w:bottom w:val="single" w:sz="8" w:space="0" w:color="000000"/>
            </w:tcBorders>
            <w:shd w:val="clear" w:color="auto" w:fill="FFFFFF"/>
            <w:vAlign w:val="bottom"/>
          </w:tcPr>
          <w:p w14:paraId="61A474A3" w14:textId="77777777" w:rsidR="009355C7" w:rsidRDefault="009355C7">
            <w:pPr>
              <w:jc w:val="center"/>
            </w:pPr>
            <w:r>
              <w:t>0.19</w:t>
            </w:r>
          </w:p>
        </w:tc>
        <w:tc>
          <w:tcPr>
            <w:tcW w:w="733" w:type="dxa"/>
            <w:tcBorders>
              <w:bottom w:val="single" w:sz="8" w:space="0" w:color="000000"/>
            </w:tcBorders>
            <w:shd w:val="clear" w:color="auto" w:fill="FFFFFF"/>
            <w:vAlign w:val="bottom"/>
          </w:tcPr>
          <w:p w14:paraId="7D1B7C82" w14:textId="77777777" w:rsidR="009355C7" w:rsidRDefault="009355C7">
            <w:pPr>
              <w:jc w:val="center"/>
            </w:pPr>
            <w:r>
              <w:t>2.64</w:t>
            </w:r>
          </w:p>
        </w:tc>
        <w:tc>
          <w:tcPr>
            <w:tcW w:w="739" w:type="dxa"/>
            <w:tcBorders>
              <w:bottom w:val="single" w:sz="8" w:space="0" w:color="000000"/>
            </w:tcBorders>
            <w:shd w:val="clear" w:color="auto" w:fill="FFFFFF"/>
            <w:vAlign w:val="bottom"/>
          </w:tcPr>
          <w:p w14:paraId="22848BA1" w14:textId="77777777" w:rsidR="009355C7" w:rsidRDefault="009355C7">
            <w:pPr>
              <w:jc w:val="center"/>
            </w:pPr>
            <w:r>
              <w:t>3.38</w:t>
            </w:r>
          </w:p>
        </w:tc>
        <w:tc>
          <w:tcPr>
            <w:tcW w:w="666" w:type="dxa"/>
            <w:tcBorders>
              <w:bottom w:val="single" w:sz="8" w:space="0" w:color="000000"/>
            </w:tcBorders>
            <w:shd w:val="clear" w:color="auto" w:fill="FFFFFF"/>
            <w:vAlign w:val="bottom"/>
          </w:tcPr>
          <w:p w14:paraId="51ED5177" w14:textId="77777777" w:rsidR="009355C7" w:rsidRDefault="009355C7">
            <w:pPr>
              <w:jc w:val="center"/>
            </w:pPr>
            <w:r>
              <w:t>1.00</w:t>
            </w:r>
          </w:p>
        </w:tc>
      </w:tr>
    </w:tbl>
    <w:p w14:paraId="7B33C5FE" w14:textId="77777777" w:rsidR="009355C7" w:rsidRDefault="009355C7"/>
    <w:p w14:paraId="0C3F8E5F" w14:textId="77777777" w:rsidR="009355C7" w:rsidRDefault="009355C7"/>
    <w:p w14:paraId="7D4597F8" w14:textId="77777777" w:rsidR="009355C7" w:rsidRDefault="009355C7"/>
    <w:p w14:paraId="71E3ED8B" w14:textId="77777777" w:rsidR="009355C7" w:rsidRDefault="009355C7"/>
    <w:p w14:paraId="501CCF47" w14:textId="77777777" w:rsidR="009355C7" w:rsidRDefault="009355C7"/>
    <w:p w14:paraId="7C48B247" w14:textId="77777777" w:rsidR="009355C7" w:rsidRDefault="009355C7"/>
    <w:p w14:paraId="0BEC45AF" w14:textId="77777777" w:rsidR="009355C7" w:rsidRDefault="009355C7"/>
    <w:p w14:paraId="0239EFAB" w14:textId="77777777" w:rsidR="009355C7" w:rsidRDefault="009355C7"/>
    <w:p w14:paraId="03AC233B" w14:textId="77777777" w:rsidR="009355C7" w:rsidRDefault="009355C7"/>
    <w:p w14:paraId="7DD03313" w14:textId="77777777" w:rsidR="009355C7" w:rsidRDefault="009355C7"/>
    <w:p w14:paraId="374449EC" w14:textId="77777777" w:rsidR="009355C7" w:rsidRDefault="009355C7"/>
    <w:p w14:paraId="51D4B5D4" w14:textId="6C9F6B8B" w:rsidR="009355C7" w:rsidRDefault="009355C7" w:rsidP="009355C7">
      <w:pPr>
        <w:pageBreakBefore/>
        <w:rPr>
          <w:b/>
        </w:rPr>
      </w:pPr>
    </w:p>
    <w:p w14:paraId="685070B6" w14:textId="77777777" w:rsidR="009355C7" w:rsidRDefault="009355C7" w:rsidP="009355C7">
      <w:pPr>
        <w:rPr>
          <w:b/>
        </w:rPr>
      </w:pPr>
    </w:p>
    <w:p w14:paraId="7100E921" w14:textId="77777777" w:rsidR="009355C7" w:rsidRDefault="009355C7" w:rsidP="00391B8C">
      <w:pPr>
        <w:spacing w:line="360" w:lineRule="auto"/>
      </w:pPr>
      <w: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14:paraId="4AFC9039" w14:textId="77777777" w:rsidR="009355C7" w:rsidRDefault="009355C7" w:rsidP="009355C7"/>
    <w:p w14:paraId="5635B080" w14:textId="1E26CB32" w:rsidR="009355C7" w:rsidRDefault="009355C7" w:rsidP="009355C7"/>
    <w:p w14:paraId="64C0F783" w14:textId="77777777" w:rsidR="009355C7" w:rsidRDefault="009355C7"/>
    <w:p w14:paraId="59E454B3" w14:textId="77777777" w:rsidR="009355C7" w:rsidRDefault="009355C7"/>
    <w:p w14:paraId="27923763" w14:textId="77777777" w:rsidR="009355C7" w:rsidRDefault="009355C7"/>
    <w:p w14:paraId="2F639B12" w14:textId="77777777" w:rsidR="009355C7" w:rsidRDefault="009355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v:imagedata r:id="rId9" o:title="Psiplot"/>
          </v:shape>
        </w:pict>
      </w:r>
    </w:p>
    <w:p w14:paraId="1B40CDAB" w14:textId="77777777" w:rsidR="009355C7" w:rsidRDefault="009355C7"/>
    <w:p w14:paraId="201EE194" w14:textId="77777777" w:rsidR="009355C7" w:rsidRDefault="009355C7"/>
    <w:p w14:paraId="5BC0B70B" w14:textId="77777777" w:rsidR="009355C7" w:rsidRDefault="009355C7"/>
    <w:p w14:paraId="0B3AF764" w14:textId="77777777" w:rsidR="009355C7" w:rsidRDefault="009355C7"/>
    <w:p w14:paraId="70317B5C" w14:textId="77777777" w:rsidR="009355C7" w:rsidRDefault="009355C7"/>
    <w:p w14:paraId="355675EE" w14:textId="77777777" w:rsidR="009355C7" w:rsidRDefault="009355C7"/>
    <w:p w14:paraId="50F6E887" w14:textId="77777777" w:rsidR="009355C7" w:rsidRDefault="009355C7"/>
    <w:p w14:paraId="2B435E4F" w14:textId="77777777" w:rsidR="009355C7" w:rsidRDefault="009355C7"/>
    <w:p w14:paraId="5285B951" w14:textId="77777777" w:rsidR="009355C7" w:rsidRDefault="009355C7"/>
    <w:p w14:paraId="6F23303D" w14:textId="77777777" w:rsidR="009355C7" w:rsidRDefault="009355C7"/>
    <w:p w14:paraId="33FE8FDE" w14:textId="77777777" w:rsidR="009355C7" w:rsidRDefault="009355C7"/>
    <w:p w14:paraId="47E20D4B" w14:textId="77777777" w:rsidR="009355C7" w:rsidRDefault="009355C7"/>
    <w:p w14:paraId="4624C153" w14:textId="77777777" w:rsidR="009355C7" w:rsidRDefault="009355C7"/>
    <w:p w14:paraId="0B196725" w14:textId="77777777" w:rsidR="009355C7" w:rsidRDefault="009355C7"/>
    <w:p w14:paraId="6896AFAF" w14:textId="77777777" w:rsidR="009355C7" w:rsidRDefault="009355C7" w:rsidP="00391B8C">
      <w:pPr>
        <w:spacing w:line="360" w:lineRule="auto"/>
      </w:pPr>
      <w:r>
        <w:t>Figure 2: Apparent survival for adult female hoary marmots in the Ruby Range, Yukon, between 1999 and 2004. Survival rates for breeding and non-breeding individuals are shown. Values are model-averaged parameter estimates ± 1 SE.</w:t>
      </w:r>
    </w:p>
    <w:p w14:paraId="77DEC415" w14:textId="77777777" w:rsidR="009355C7" w:rsidRDefault="009355C7" w:rsidP="009355C7"/>
    <w:p w14:paraId="248344CE" w14:textId="77777777" w:rsidR="009355C7" w:rsidRDefault="009355C7"/>
    <w:p w14:paraId="5AF35BF7" w14:textId="77777777" w:rsidR="009355C7" w:rsidRDefault="009355C7">
      <w:r>
        <w:lastRenderedPageBreak/>
        <w:pict>
          <v:shape id="_x0000_i1026" type="#_x0000_t75" style="width:6in;height:6in">
            <v:imagedata r:id="rId10" o:title="multisurv"/>
          </v:shape>
        </w:pict>
      </w:r>
    </w:p>
    <w:p w14:paraId="451BF75C" w14:textId="77777777" w:rsidR="009355C7" w:rsidRDefault="009355C7"/>
    <w:p w14:paraId="5CED5C16" w14:textId="77777777" w:rsidR="009355C7" w:rsidRDefault="009355C7"/>
    <w:p w14:paraId="18F2A5C4" w14:textId="77777777" w:rsidR="009355C7" w:rsidRDefault="009355C7"/>
    <w:p w14:paraId="2FCE07A7" w14:textId="77777777" w:rsidR="009355C7" w:rsidRDefault="009355C7">
      <w:pPr>
        <w:sectPr w:rsidR="009355C7" w:rsidSect="009355C7">
          <w:pgSz w:w="12240" w:h="15840"/>
          <w:pgMar w:top="1693" w:right="1134" w:bottom="1134" w:left="1134" w:header="720" w:footer="720" w:gutter="0"/>
          <w:lnNumType w:countBy="1" w:distance="283" w:restart="continuous"/>
          <w:cols w:space="720"/>
          <w:docGrid w:linePitch="360"/>
        </w:sectPr>
      </w:pPr>
    </w:p>
    <w:p w14:paraId="0E085508" w14:textId="77777777" w:rsidR="009355C7" w:rsidRDefault="009355C7" w:rsidP="00391B8C">
      <w:pPr>
        <w:spacing w:line="360" w:lineRule="auto"/>
      </w:pPr>
      <w:r>
        <w:lastRenderedPageBreak/>
        <w:t xml:space="preserve">Figure 3: Change in log-transformed body condition index (mass / </w:t>
      </w:r>
      <w:proofErr w:type="spellStart"/>
      <w:r>
        <w:t>zygomatic</w:t>
      </w:r>
      <w:proofErr w:type="spellEnd"/>
      <w:r>
        <w:t xml:space="preserve"> arch width) over time for non-breeding and breeding female hoary marmots in the Ruby Range, Yukon. Data from 1999-2004 are shown pooled across years. The best fit lines for linear regressions are shown.</w:t>
      </w:r>
    </w:p>
    <w:p w14:paraId="70B2D2B2" w14:textId="77777777" w:rsidR="009355C7" w:rsidRPr="00391B8C" w:rsidRDefault="009355C7">
      <w:pPr>
        <w:rPr>
          <w:b/>
        </w:rPr>
      </w:pPr>
    </w:p>
    <w:p w14:paraId="1749D8BF" w14:textId="77777777" w:rsidR="009355C7" w:rsidRDefault="009355C7">
      <w:pPr>
        <w:rPr>
          <w:b/>
        </w:rPr>
      </w:pPr>
    </w:p>
    <w:p w14:paraId="070CE863" w14:textId="77777777" w:rsidR="009355C7" w:rsidRDefault="009355C7">
      <w:pPr/>
      <w:r>
        <w:lastRenderedPageBreak/>
        <w:pict>
          <v:shape id="_x0000_s1027" type="#_x0000_t75" style="position:absolute;margin-left:111.45pt;margin-top:247.85pt;width:395.8pt;height:395.8pt;z-index:251657728;mso-wrap-distance-left:0;mso-wrap-distance-right:0;mso-position-horizontal-relative:page;mso-position-vertical-relative:page" filled="t">
            <v:fill color2="black"/>
            <v:imagedata r:id="rId11" o:title=""/>
            <w10:wrap type="square" side="largest"/>
          </v:shape>
        </w:pict>
      </w:r>
    </w:p>
    <w:sectPr w:rsidR="009355C7">
      <w:type w:val="continuous"/>
      <w:pgSz w:w="12240" w:h="15840"/>
      <w:pgMar w:top="1693" w:right="1134" w:bottom="1134" w:left="1134" w:header="720" w:footer="720" w:gutter="0"/>
      <w:lnNumType w:countBy="1" w:distance="283"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DejaVu Sans Mon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041F"/>
    <w:rsid w:val="00083DB2"/>
    <w:rsid w:val="000E2314"/>
    <w:rsid w:val="00143436"/>
    <w:rsid w:val="001525C6"/>
    <w:rsid w:val="001550AA"/>
    <w:rsid w:val="001842A9"/>
    <w:rsid w:val="002656A7"/>
    <w:rsid w:val="002B58B2"/>
    <w:rsid w:val="003671D3"/>
    <w:rsid w:val="00391B8C"/>
    <w:rsid w:val="003A7B1B"/>
    <w:rsid w:val="003C04A8"/>
    <w:rsid w:val="003F472F"/>
    <w:rsid w:val="0049662A"/>
    <w:rsid w:val="004C265B"/>
    <w:rsid w:val="004D6683"/>
    <w:rsid w:val="0051736C"/>
    <w:rsid w:val="005A798D"/>
    <w:rsid w:val="005C06F0"/>
    <w:rsid w:val="005D6DD4"/>
    <w:rsid w:val="006824F0"/>
    <w:rsid w:val="006C5163"/>
    <w:rsid w:val="007D0F9E"/>
    <w:rsid w:val="0081038E"/>
    <w:rsid w:val="00822A69"/>
    <w:rsid w:val="008D2699"/>
    <w:rsid w:val="008F028D"/>
    <w:rsid w:val="008F3759"/>
    <w:rsid w:val="009355C7"/>
    <w:rsid w:val="00975C8A"/>
    <w:rsid w:val="009F368B"/>
    <w:rsid w:val="00A53B17"/>
    <w:rsid w:val="00AE1126"/>
    <w:rsid w:val="00B0221D"/>
    <w:rsid w:val="00B2310D"/>
    <w:rsid w:val="00BB041F"/>
    <w:rsid w:val="00C37298"/>
    <w:rsid w:val="00C860AA"/>
    <w:rsid w:val="00CE6840"/>
    <w:rsid w:val="00DF4D48"/>
    <w:rsid w:val="00E6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lme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srl.noaa.gov/psd/data/climateind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18658-7028-47B7-824F-846CCF84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7974</Words>
  <Characters>45456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Introduction</vt:lpstr>
    </vt:vector>
  </TitlesOfParts>
  <Company>Microsoft</Company>
  <LinksUpToDate>false</LinksUpToDate>
  <CharactersWithSpaces>53324</CharactersWithSpaces>
  <SharedDoc>false</SharedDoc>
  <HLinks>
    <vt:vector size="18" baseType="variant">
      <vt:variant>
        <vt:i4>5111838</vt:i4>
      </vt:variant>
      <vt:variant>
        <vt:i4>0</vt:i4>
      </vt:variant>
      <vt:variant>
        <vt:i4>0</vt:i4>
      </vt:variant>
      <vt:variant>
        <vt:i4>5</vt:i4>
      </vt:variant>
      <vt:variant>
        <vt:lpwstr>http://www.esrl.noaa.gov/psd/data/climateindices</vt:lpwstr>
      </vt:variant>
      <vt:variant>
        <vt:lpwstr/>
      </vt:variant>
      <vt:variant>
        <vt:i4>7077889</vt:i4>
      </vt:variant>
      <vt:variant>
        <vt:i4>62112</vt:i4>
      </vt:variant>
      <vt:variant>
        <vt:i4>1025</vt:i4>
      </vt:variant>
      <vt:variant>
        <vt:i4>1</vt:i4>
      </vt:variant>
      <vt:variant>
        <vt:lpwstr>Psiplot</vt:lpwstr>
      </vt:variant>
      <vt:variant>
        <vt:lpwstr/>
      </vt:variant>
      <vt:variant>
        <vt:i4>107</vt:i4>
      </vt:variant>
      <vt:variant>
        <vt:i4>62370</vt:i4>
      </vt:variant>
      <vt:variant>
        <vt:i4>1026</vt:i4>
      </vt:variant>
      <vt:variant>
        <vt:i4>1</vt:i4>
      </vt:variant>
      <vt:variant>
        <vt:lpwstr>multisurv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Sam</cp:lastModifiedBy>
  <cp:revision>2</cp:revision>
  <cp:lastPrinted>2010-04-13T06:26:00Z</cp:lastPrinted>
  <dcterms:created xsi:type="dcterms:W3CDTF">2013-03-29T21:16:00Z</dcterms:created>
  <dcterms:modified xsi:type="dcterms:W3CDTF">2013-03-29T21:16:00Z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Alberta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zotero-version="3.0.11"&gt;&lt;session id="slsUPqTQ"/&gt;&lt;style id="http://www.zotero.org/styles/oikos" hasBibliography="1" bibliographyStyleHasBeenSet="0"/&gt;&lt;prefs&gt;&lt;pref name="fieldType" value="ReferenceMark"/&gt;&lt;pref name="storeReferences" va</vt:lpwstr>
  </property>
  <property fmtid="{D5CDD505-2E9C-101B-9397-08002B2CF9AE}" pid="10" name="ZOTERO_PREF_2">
    <vt:lpwstr>lue="true"/&gt;&lt;pref name="noteType" value="0"/&gt;&lt;/prefs&gt;&lt;/data&gt;</vt:lpwstr>
  </property>
</Properties>
</file>