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95909">
      <w:pPr>
        <w:spacing w:before="12" w:line="439" w:lineRule="exact"/>
        <w:ind w:left="1010" w:right="1007"/>
        <w:jc w:val="center"/>
        <w:rPr>
          <w:rStyle w:val="6"/>
        </w:rPr>
      </w:pPr>
      <w:r>
        <w:rPr>
          <w:b/>
          <w:sz w:val="36"/>
        </w:rPr>
        <w:t>Vipul Sapra</w:t>
      </w:r>
      <w:bookmarkStart w:id="0" w:name="_GoBack"/>
      <w:bookmarkEnd w:id="0"/>
    </w:p>
    <w:p w14:paraId="6B3AAF2C">
      <w:pPr>
        <w:pStyle w:val="2"/>
        <w:spacing w:line="292" w:lineRule="exact"/>
        <w:ind w:right="1011"/>
        <w:jc w:val="center"/>
        <w:rPr>
          <w:rStyle w:val="6"/>
        </w:rPr>
      </w:pPr>
      <w:r>
        <w:t>Charlotte, North Carolina | 513-693-6897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/>
        </w:rPr>
        <w:t xml:space="preserve">Concepts: </w:t>
      </w:r>
      <w:r>
        <w:t xml:space="preserve">Business Intelligence, Data Visualization, </w:t>
      </w:r>
      <w:r>
        <w:rPr>
          <w:rFonts w:eastAsiaTheme="minorHAnsi"/>
          <w:lang w:bidi="ar-SA"/>
        </w:rPr>
        <w:t>Statistical Analysis, Predictive modelling, Machine Learning,</w:t>
      </w:r>
      <w:r>
        <w:rPr>
          <w:rFonts w:hint="default" w:eastAsiaTheme="minorHAnsi"/>
          <w:lang w:val="en-US" w:bidi="ar-SA"/>
        </w:rPr>
        <w:t xml:space="preserve"> AI application development,</w:t>
      </w:r>
      <w:r>
        <w:t xml:space="preserve"> Data Mining Concepts, Data Governance, Cloud Computing</w:t>
      </w:r>
      <w:r>
        <w:rPr>
          <w:rFonts w:hint="default"/>
          <w:lang w:val="en-US"/>
        </w:rPr>
        <w:t>, A/B testing</w:t>
      </w:r>
      <w:r>
        <w:t>.</w:t>
      </w:r>
    </w:p>
    <w:p w14:paraId="570787D9">
      <w:pPr>
        <w:ind w:left="120"/>
        <w:rPr>
          <w:rFonts w:hint="default"/>
          <w:lang w:val="en-US"/>
        </w:rPr>
      </w:pPr>
      <w:r>
        <w:rPr>
          <w:b/>
        </w:rPr>
        <w:t xml:space="preserve">Programming Languages and Tools: </w:t>
      </w:r>
      <w:r>
        <w:rPr>
          <w:rFonts w:hint="default" w:asciiTheme="minorHAnsi" w:hAnsiTheme="minorHAnsi" w:cstheme="minorHAnsi"/>
          <w:lang w:val="en-US"/>
        </w:rPr>
        <w:t xml:space="preserve">Agentic AI powered KIRO IDE, </w:t>
      </w:r>
      <w:r>
        <w:rPr>
          <w:rFonts w:asciiTheme="minorHAnsi" w:hAnsiTheme="minorHAnsi" w:cstheme="minorHAnsi"/>
        </w:rPr>
        <w:t xml:space="preserve">SQL, Python, </w:t>
      </w:r>
      <w:r>
        <w:rPr>
          <w:rFonts w:asciiTheme="minorHAnsi" w:hAnsiTheme="minorHAnsi" w:eastAsiaTheme="minorHAnsi" w:cstheme="minorHAnsi"/>
          <w:lang w:bidi="ar-SA"/>
        </w:rPr>
        <w:t>UNIX Shell Scripting,</w:t>
      </w:r>
      <w:r>
        <w:rPr>
          <w:rFonts w:asciiTheme="minorHAnsi" w:hAnsiTheme="minorHAnsi" w:cstheme="minorHAnsi"/>
        </w:rPr>
        <w:t xml:space="preserve"> Redshift, </w:t>
      </w:r>
      <w:r>
        <w:rPr>
          <w:rFonts w:asciiTheme="minorHAnsi" w:hAnsiTheme="minorHAnsi" w:eastAsiaTheme="minorHAnsi" w:cstheme="minorHAnsi"/>
          <w:lang w:bidi="ar-SA"/>
        </w:rPr>
        <w:t>Teradata,</w:t>
      </w:r>
      <w:r>
        <w:rPr>
          <w:rFonts w:asciiTheme="minorHAnsi" w:hAnsiTheme="minorHAnsi" w:cstheme="minorHAnsi"/>
        </w:rPr>
        <w:t xml:space="preserve"> Snowflake,</w:t>
      </w:r>
      <w:r>
        <w:rPr>
          <w:rFonts w:hint="default"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Apache Spark, Hadoop</w:t>
      </w:r>
      <w:r>
        <w:rPr>
          <w:rFonts w:hint="default" w:asciiTheme="minorHAnsi" w:hAnsiTheme="minorHAnsi" w:cstheme="minorHAnsi"/>
          <w:lang w:val="en-US"/>
        </w:rPr>
        <w:t xml:space="preserve">, </w:t>
      </w:r>
      <w:r>
        <w:rPr>
          <w:rFonts w:asciiTheme="minorHAnsi" w:hAnsiTheme="minorHAnsi" w:cstheme="minorHAnsi"/>
        </w:rPr>
        <w:t>MSTR, Tableau,</w:t>
      </w:r>
      <w:r>
        <w:rPr>
          <w:rFonts w:hint="default"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TensorFlow, Keras, XGBoost, Scikit-Learn</w:t>
      </w:r>
      <w:r>
        <w:rPr>
          <w:rFonts w:hint="default" w:asciiTheme="minorHAnsi" w:hAnsiTheme="minorHAnsi" w:cstheme="minorHAnsi"/>
          <w:lang w:val="en-US"/>
        </w:rPr>
        <w:t>,</w:t>
      </w:r>
      <w:r>
        <w:rPr>
          <w:rFonts w:asciiTheme="minorHAnsi" w:hAnsiTheme="minorHAnsi" w:cstheme="minorHAnsi"/>
        </w:rPr>
        <w:t xml:space="preserve"> JIRA, </w:t>
      </w:r>
      <w:r>
        <w:rPr>
          <w:rFonts w:asciiTheme="minorHAnsi" w:hAnsiTheme="minorHAnsi" w:cstheme="minorHAnsi"/>
          <w:bCs/>
        </w:rPr>
        <w:t>Collibra</w:t>
      </w:r>
      <w:r>
        <w:rPr>
          <w:rFonts w:hint="default" w:asciiTheme="minorHAnsi" w:hAnsiTheme="minorHAnsi" w:cstheme="minorHAnsi"/>
          <w:bCs/>
          <w:lang w:val="en-US"/>
        </w:rPr>
        <w:t xml:space="preserve">, </w:t>
      </w:r>
      <w:r>
        <w:rPr>
          <w:rFonts w:asciiTheme="minorHAnsi" w:hAnsiTheme="minorHAnsi" w:cstheme="minorHAnsi"/>
        </w:rPr>
        <w:t>One Automation,</w:t>
      </w:r>
      <w:r>
        <w:rPr>
          <w:rFonts w:hint="default" w:asciiTheme="minorHAnsi" w:hAnsiTheme="minorHAnsi" w:cstheme="minorHAnsi"/>
          <w:lang w:val="en-US"/>
        </w:rPr>
        <w:t xml:space="preserve"> Airflow, </w:t>
      </w:r>
      <w:r>
        <w:rPr>
          <w:rFonts w:asciiTheme="minorHAnsi" w:hAnsiTheme="minorHAnsi" w:cstheme="minorHAnsi"/>
        </w:rPr>
        <w:t>Microsoft Excel</w:t>
      </w:r>
      <w:r>
        <w:rPr>
          <w:rFonts w:hint="default" w:asciiTheme="minorHAnsi" w:hAnsiTheme="minorHAnsi" w:cstheme="minorHAnsi"/>
          <w:lang w:val="en-US"/>
        </w:rPr>
        <w:t>.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–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Data Scientist &amp; AI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–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an enterprise AI-driven reporting platform</w:t>
      </w:r>
      <w:r>
        <w:rPr>
          <w:rFonts w:hint="default" w:ascii="Calibri" w:hAnsi="Calibri" w:cs="Calibri"/>
          <w:sz w:val="22"/>
          <w:szCs w:val="22"/>
        </w:rPr>
        <w:t xml:space="preserve"> that autonomously answers ad-hoc data questions, streamlining scheduled report delivery and reducing manual reporting turnaround for business stakeholders.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Theme="minorHAnsi" w:hAnsiTheme="minorHAnsi" w:cstheme="minorHAnsi"/>
          <w:b/>
          <w:bCs/>
          <w:sz w:val="22"/>
          <w:szCs w:val="22"/>
          <w:lang w:val="en-US"/>
        </w:rPr>
        <w:t>Agentic AI powered KIRO IDE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Built and deployed XGBoost classification models</w:t>
      </w:r>
      <w:r>
        <w:rPr>
          <w:rFonts w:hint="default" w:ascii="Calibri" w:hAnsi="Calibri" w:cs="Calibri"/>
          <w:sz w:val="22"/>
          <w:szCs w:val="22"/>
        </w:rPr>
        <w:t xml:space="preserve"> to predict customer support-seeking behaviors and repair calls, contributing to a </w:t>
      </w:r>
      <w:r>
        <w:rPr>
          <w:rFonts w:hint="default" w:ascii="Calibri" w:hAnsi="Calibri" w:cs="Calibri"/>
          <w:b/>
          <w:bCs/>
          <w:sz w:val="22"/>
          <w:szCs w:val="22"/>
        </w:rPr>
        <w:t>20% improvement in service reliability.</w:t>
      </w:r>
      <w:r>
        <w:rPr>
          <w:rFonts w:hint="default" w:ascii="Calibri" w:hAnsi="Calibri" w:eastAsia="SimSun" w:cs="Calibri"/>
          <w:sz w:val="22"/>
          <w:szCs w:val="22"/>
        </w:rPr>
        <w:t xml:space="preserve">  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En</w:t>
      </w:r>
      <w:r>
        <w:rPr>
          <w:rFonts w:hint="default" w:ascii="Calibri" w:hAnsi="Calibri" w:cs="Calibri"/>
          <w:b/>
          <w:bCs/>
          <w:sz w:val="22"/>
          <w:szCs w:val="22"/>
        </w:rPr>
        <w:t>gineered and deployed an autonomous AI anomaly detection framework</w:t>
      </w:r>
      <w:r>
        <w:rPr>
          <w:rFonts w:hint="default" w:ascii="Calibri" w:hAnsi="Calibri" w:cs="Calibri"/>
          <w:sz w:val="22"/>
          <w:szCs w:val="22"/>
        </w:rPr>
        <w:t xml:space="preserve">, identifying schema variations and data drift with </w:t>
      </w:r>
      <w:r>
        <w:rPr>
          <w:rFonts w:hint="default" w:ascii="Calibri" w:hAnsi="Calibri" w:cs="Calibri"/>
          <w:b/>
          <w:bCs/>
          <w:sz w:val="22"/>
          <w:szCs w:val="22"/>
        </w:rPr>
        <w:t>95% precision</w:t>
      </w:r>
      <w:r>
        <w:rPr>
          <w:rFonts w:hint="default" w:ascii="Calibri" w:hAnsi="Calibri" w:cs="Calibri"/>
          <w:sz w:val="22"/>
          <w:szCs w:val="22"/>
        </w:rPr>
        <w:t xml:space="preserve"> to safeguard downstream enterprise BI pipeline integrity.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advanced predictive models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 (SARIMA)</w:t>
      </w:r>
      <w:r>
        <w:rPr>
          <w:rFonts w:hint="default" w:ascii="Calibri" w:hAnsi="Calibri" w:cs="Calibri"/>
          <w:sz w:val="22"/>
          <w:szCs w:val="22"/>
        </w:rPr>
        <w:t xml:space="preserve"> to forecast </w:t>
      </w:r>
      <w:r>
        <w:rPr>
          <w:rFonts w:hint="default" w:ascii="Calibri" w:hAnsi="Calibri" w:cs="Calibri"/>
          <w:sz w:val="22"/>
          <w:szCs w:val="22"/>
          <w:lang w:val="en-US"/>
        </w:rPr>
        <w:t>truck rolls for customers</w:t>
      </w:r>
      <w:r>
        <w:rPr>
          <w:rFonts w:hint="default" w:ascii="Calibri" w:hAnsi="Calibri" w:cs="Calibri"/>
          <w:sz w:val="22"/>
          <w:szCs w:val="22"/>
        </w:rPr>
        <w:t xml:space="preserve">, optimizing workforce capacity planning and </w:t>
      </w:r>
      <w:r>
        <w:rPr>
          <w:rFonts w:hint="default" w:ascii="Calibri" w:hAnsi="Calibri" w:cs="Calibri"/>
          <w:b/>
          <w:bCs/>
          <w:sz w:val="22"/>
          <w:szCs w:val="22"/>
        </w:rPr>
        <w:t xml:space="preserve">reducing response times by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20</w:t>
      </w:r>
      <w:r>
        <w:rPr>
          <w:rFonts w:hint="default" w:ascii="Calibri" w:hAnsi="Calibri" w:cs="Calibri"/>
          <w:b/>
          <w:bCs/>
          <w:sz w:val="22"/>
          <w:szCs w:val="22"/>
        </w:rPr>
        <w:t>%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>ETL Developer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Architected a modular Data Quality Audit framework</w:t>
      </w:r>
      <w:r>
        <w:rPr>
          <w:rFonts w:hint="default" w:ascii="Calibri" w:hAnsi="Calibri" w:eastAsia="SimSun" w:cs="Calibri"/>
          <w:sz w:val="22"/>
          <w:szCs w:val="22"/>
        </w:rPr>
        <w:t xml:space="preserve"> that enables the seamless integration of new audit logic, creating a scalable and maintainable suite that serves as the organization’s primary data integrity engine.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comprehensive Data Quality dashboards</w:t>
      </w:r>
      <w:r>
        <w:rPr>
          <w:rFonts w:hint="default" w:ascii="Calibri" w:hAnsi="Calibri" w:cs="Calibri"/>
          <w:sz w:val="22"/>
          <w:szCs w:val="22"/>
        </w:rPr>
        <w:t xml:space="preserve"> to facilitate a seamless migration of BI assets from Teradata to AWS Redshift, maintaining 100% data integrity during the transition.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Engineered an automated, notification-driven Data Quality Audit framework</w:t>
      </w:r>
      <w:r>
        <w:rPr>
          <w:rFonts w:hint="default" w:ascii="Calibri" w:hAnsi="Calibri" w:eastAsia="SimSun" w:cs="Calibri"/>
          <w:sz w:val="22"/>
          <w:szCs w:val="22"/>
        </w:rPr>
        <w:t xml:space="preserve"> that streamlined short-term validation cycles; reduced operational turnaround time by </w:t>
      </w:r>
      <w:r>
        <w:rPr>
          <w:rFonts w:hint="default" w:ascii="Calibri" w:hAnsi="Calibri" w:eastAsia="SimSun" w:cs="Calibri"/>
          <w:b/>
          <w:bCs/>
          <w:sz w:val="22"/>
          <w:szCs w:val="22"/>
        </w:rPr>
        <w:t>over 80%</w:t>
      </w:r>
      <w:r>
        <w:rPr>
          <w:rFonts w:hint="default" w:ascii="Calibri" w:hAnsi="Calibri" w:eastAsia="SimSun" w:cs="Calibri"/>
          <w:sz w:val="22"/>
          <w:szCs w:val="22"/>
        </w:rPr>
        <w:t xml:space="preserve"> while ensuring real-time data reliability.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>B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usiness </w:t>
      </w:r>
      <w:r>
        <w:rPr>
          <w:rFonts w:asciiTheme="minorHAnsi" w:hAnsiTheme="minorHAnsi" w:eastAsiaTheme="minorHAnsi" w:cstheme="minorHAnsi"/>
          <w:b/>
          <w:bCs/>
          <w:lang w:bidi="ar-SA"/>
        </w:rPr>
        <w:t>I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>ntelligence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Analyst                                                                                                            </w:t>
      </w:r>
      <w:r>
        <w:rPr>
          <w:rFonts w:eastAsiaTheme="minorHAnsi"/>
          <w:lang w:bidi="ar-SA"/>
        </w:rPr>
        <w:t xml:space="preserve">                                 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Designed Key Operating Metric (KOM) Dashboard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s</w:t>
      </w:r>
      <w:r>
        <w:rPr>
          <w:rFonts w:hint="default" w:ascii="Calibri" w:hAnsi="Calibri" w:cs="Calibri"/>
          <w:sz w:val="22"/>
          <w:szCs w:val="22"/>
        </w:rPr>
        <w:t xml:space="preserve"> for executive leadership, synthesizing complex datasets into high-level visualizations to drive data-informed corporate strategy.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multi-layered Data Quality Audits</w:t>
      </w:r>
      <w:r>
        <w:rPr>
          <w:rFonts w:hint="default" w:ascii="Calibri" w:hAnsi="Calibri" w:cs="Calibri"/>
          <w:sz w:val="22"/>
          <w:szCs w:val="22"/>
        </w:rPr>
        <w:t xml:space="preserve"> leveraging </w:t>
      </w:r>
      <w:r>
        <w:rPr>
          <w:rFonts w:hint="default" w:ascii="Calibri" w:hAnsi="Calibri" w:cs="Calibri"/>
          <w:b/>
          <w:bCs/>
          <w:sz w:val="22"/>
          <w:szCs w:val="22"/>
        </w:rPr>
        <w:t>Stored Procedures, MicroStrategy, and Tableau</w:t>
      </w:r>
      <w:r>
        <w:rPr>
          <w:rFonts w:hint="default" w:ascii="Calibri" w:hAnsi="Calibri" w:cs="Calibri"/>
          <w:sz w:val="22"/>
          <w:szCs w:val="22"/>
        </w:rPr>
        <w:t>; implemented automated "firewall" audits that preemptively block reporting during data breaches to maintain organizational trust.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Postmortem Root-Cause Analysis (RCA)</w:t>
      </w:r>
      <w:r>
        <w:rPr>
          <w:rFonts w:hint="default" w:ascii="Calibri" w:hAnsi="Calibri" w:cs="Calibri"/>
          <w:sz w:val="22"/>
          <w:szCs w:val="22"/>
        </w:rPr>
        <w:t xml:space="preserve"> for critical data integrity failures, synthesizing business impact reports and collaborating with cross-functional stakeholders to deploy long-term preventative frameworks.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–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–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7713742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AB53B1"/>
    <w:rsid w:val="2BB85896"/>
    <w:rsid w:val="2BB96D37"/>
    <w:rsid w:val="2C603BDB"/>
    <w:rsid w:val="2C8F472B"/>
    <w:rsid w:val="3013786F"/>
    <w:rsid w:val="3135093F"/>
    <w:rsid w:val="344D27DA"/>
    <w:rsid w:val="35833459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9742590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28743F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0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2026-10-29T01:44:03Z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