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SecureBank India – Customer Service Escalation Matrix</w:t>
      </w:r>
      <w:r/>
    </w:p>
    <w:p>
      <w:pPr>
        <w:pBdr/>
        <w:spacing/>
        <w:ind/>
        <w:rPr/>
      </w:pPr>
      <w:r>
        <w:t xml:space="preserve">Internal Operating Procedure — Operational Grade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1. Objective</w:t>
      </w:r>
      <w:r/>
    </w:p>
    <w:p>
      <w:pPr>
        <w:pBdr/>
        <w:spacing/>
        <w:ind/>
        <w:rPr/>
      </w:pPr>
      <w:r>
        <w:t xml:space="preserve">This document outlines the operational framework for handling customer disputes that cannot be resolved through self-service or tier-1 conversational interfaces.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2. Level 1 Escalation: Immediate Operations</w:t>
      </w:r>
      <w:r/>
    </w:p>
    <w:p>
      <w:pPr>
        <w:pBdr/>
        <w:spacing/>
        <w:ind/>
        <w:rPr/>
      </w:pPr>
      <w:r>
        <w:t xml:space="preserve">- Target Resolution Window: 24 Hours</w:t>
      </w:r>
      <w:r/>
    </w:p>
    <w:p>
      <w:pPr>
        <w:pBdr/>
        <w:spacing/>
        <w:ind/>
        <w:rPr/>
      </w:pPr>
      <w:r>
        <w:t xml:space="preserve">- Triggers: Explicit customer frustration expressions, multi-turn sentiment drops, or direct requests to speak to a human.</w:t>
      </w:r>
      <w:r/>
    </w:p>
    <w:p>
      <w:pPr>
        <w:pBdr/>
        <w:spacing/>
        <w:ind/>
        <w:rPr/>
      </w:pPr>
      <w:r>
        <w:t xml:space="preserve">- Routing Target: General Banking Support Team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3. Level 2 Escalation: Specialized Groups</w:t>
      </w:r>
      <w:r/>
    </w:p>
    <w:p>
      <w:pPr>
        <w:pBdr/>
        <w:spacing/>
        <w:ind/>
        <w:rPr/>
      </w:pPr>
      <w:r>
        <w:t xml:space="preserve">- Target Resolution Window: 3 to 5 Working Days</w:t>
      </w:r>
      <w:r/>
    </w:p>
    <w:p>
      <w:pPr>
        <w:pBdr/>
        <w:spacing/>
        <w:ind/>
        <w:rPr/>
      </w:pPr>
      <w:r>
        <w:t xml:space="preserve">- Triggers: Contested fees, missing line items, or complex loan pre-closure fee arguments.</w:t>
      </w:r>
      <w:r/>
    </w:p>
    <w:p>
      <w:pPr>
        <w:pBdr/>
        <w:spacing/>
        <w:ind/>
        <w:rPr/>
      </w:pPr>
      <w:r>
        <w:t xml:space="preserve">- Specialized Desks:</w:t>
      </w:r>
      <w:r/>
    </w:p>
    <w:p>
      <w:pPr>
        <w:pBdr/>
        <w:spacing/>
        <w:ind/>
        <w:rPr/>
      </w:pPr>
      <w:r>
        <w:t xml:space="preserve">  a) Card Disputes Team: Handles duplicate vendor charges, chargebacks, and active fraud containment.</w:t>
      </w:r>
      <w:r/>
    </w:p>
    <w:p>
      <w:pPr>
        <w:pBdr/>
        <w:spacing/>
        <w:ind/>
        <w:rPr/>
      </w:pPr>
      <w:r>
        <w:t xml:space="preserve">  b) Loans Operations Desk: Manages EMI mismatches, floating rate recalculations, and mortgage deed collection cycles.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4. Level 3 Escalation: Principal Grievance Redressal</w:t>
      </w:r>
      <w:r/>
    </w:p>
    <w:p>
      <w:pPr>
        <w:pBdr/>
        <w:spacing/>
        <w:ind/>
        <w:rPr/>
      </w:pPr>
      <w:r>
        <w:t xml:space="preserve">- Target Resolution Window: 10 Working Days</w:t>
      </w:r>
      <w:r/>
    </w:p>
    <w:p>
      <w:pPr>
        <w:pBdr/>
        <w:spacing/>
        <w:ind/>
        <w:rPr/>
      </w:pPr>
      <w:r>
        <w:t xml:space="preserve">- Triggers: Unresolved complaints open past 7 working days or formal regulatory inquiries.</w:t>
      </w:r>
      <w:r/>
    </w:p>
    <w:p>
      <w:pPr>
        <w:pBdr/>
        <w:spacing/>
        <w:ind/>
        <w:rPr/>
      </w:pPr>
      <w:r>
        <w:t xml:space="preserve">- Action Requirement: Generation of a high-priority tracking ticket ID prefixed with 'GRIEV-'.</w:t>
      </w:r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4"/>
    <w:next w:val="664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4"/>
    <w:next w:val="664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4"/>
    <w:next w:val="664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4"/>
    <w:next w:val="664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4"/>
    <w:next w:val="664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4"/>
    <w:next w:val="664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4"/>
    <w:next w:val="664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4"/>
    <w:next w:val="664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4"/>
    <w:next w:val="664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4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4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4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4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89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0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1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2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3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4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5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6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147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2026-07-04T13:55:27Z</dcterms:modified>
</cp:coreProperties>
</file>