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Calibri" w:cs="Calibri" w:eastAsia="Calibri" w:hAnsi="Calibri"/>
          <w:b/>
          <w:bCs/>
          <w:color w:val="1E293B"/>
          <w:sz w:val="92"/>
          <w:szCs w:val="92"/>
        </w:rPr>
        <w:t xml:space="preserve">InsightHub</w:t>
      </w:r>
    </w:p>
    <w:p>
      <w:pPr>
        <w:spacing w:after="480"/>
      </w:pPr>
      <w:r>
        <w:rPr>
          <w:rFonts w:ascii="Calibri" w:cs="Calibri" w:eastAsia="Calibri" w:hAnsi="Calibri"/>
          <w:color w:val="2563EB"/>
          <w:sz w:val="40"/>
          <w:szCs w:val="40"/>
        </w:rPr>
        <w:t xml:space="preserve">AI-Powered Data &amp; Analytics Platform</w:t>
      </w:r>
    </w:p>
    <w:p>
      <w:pPr>
        <w:spacing w:after="80"/>
      </w:pPr>
      <w:r>
        <w:rPr>
          <w:rFonts w:ascii="Calibri" w:cs="Calibri" w:eastAsia="Calibri" w:hAnsi="Calibri"/>
          <w:b/>
          <w:bCs/>
          <w:color w:val="475569"/>
          <w:sz w:val="28"/>
          <w:szCs w:val="28"/>
        </w:rPr>
        <w:t xml:space="preserve">Business Requirements Document, User Stories &amp; Solution Architecture Decisions</w:t>
      </w:r>
    </w:p>
    <w:p>
      <w:pPr>
        <w:spacing w:after="800"/>
      </w:pPr>
      <w:r>
        <w:rPr>
          <w:rFonts w:ascii="Calibri" w:cs="Calibri" w:eastAsia="Calibri" w:hAnsi="Calibri"/>
          <w:i/>
          <w:iCs/>
          <w:color w:val="475569"/>
          <w:sz w:val="24"/>
          <w:szCs w:val="24"/>
        </w:rPr>
        <w:t xml:space="preserve">Including Achievability Assessment and Current-Product Gap Analysis</w:t>
      </w:r>
    </w:p>
    <w:p>
      <w:pPr>
        <w:spacing w:after="40"/>
      </w:pPr>
      <w:r>
        <w:rPr>
          <w:rFonts w:ascii="Calibri" w:cs="Calibri" w:eastAsia="Calibri" w:hAnsi="Calibri"/>
          <w:color w:val="1E293B"/>
          <w:sz w:val="22"/>
          <w:szCs w:val="22"/>
        </w:rPr>
        <w:t xml:space="preserve">Version 1.0  ·  Draft for Review</w:t>
      </w:r>
    </w:p>
    <w:p>
      <w:pPr>
        <w:spacing w:after="40"/>
      </w:pPr>
      <w:r>
        <w:rPr>
          <w:rFonts w:ascii="Calibri" w:cs="Calibri" w:eastAsia="Calibri" w:hAnsi="Calibri"/>
          <w:color w:val="1E293B"/>
          <w:sz w:val="22"/>
          <w:szCs w:val="22"/>
        </w:rPr>
        <w:t xml:space="preserve">Date: July 2026</w:t>
      </w:r>
    </w:p>
    <w:p>
      <w:pPr>
        <w:spacing w:after="40"/>
      </w:pPr>
      <w:r>
        <w:rPr>
          <w:rFonts w:ascii="Calibri" w:cs="Calibri" w:eastAsia="Calibri" w:hAnsi="Calibri"/>
          <w:color w:val="1E293B"/>
          <w:sz w:val="22"/>
          <w:szCs w:val="22"/>
        </w:rPr>
        <w:t xml:space="preserve">Owner: Product / Founding Team</w:t>
      </w:r>
    </w:p>
    <w:p>
      <w:pPr>
        <w:spacing w:after="40"/>
      </w:pPr>
      <w:r>
        <w:rPr>
          <w:rFonts w:ascii="Calibri" w:cs="Calibri" w:eastAsia="Calibri" w:hAnsi="Calibri"/>
          <w:color w:val="1E293B"/>
          <w:sz w:val="22"/>
          <w:szCs w:val="22"/>
        </w:rPr>
        <w:t xml:space="preserve">Segment: SMB (with Enterprise-enable path)</w:t>
      </w:r>
    </w:p>
    <w:p>
      <w:r>
        <w:br w:type="page"/>
      </w:r>
    </w:p>
    <w:p>
      <w:pPr>
        <w:pStyle w:val="Heading1"/>
        <w:spacing w:after="120" w:before="360"/>
      </w:pPr>
      <w:r>
        <w:rPr>
          <w:rFonts w:ascii="Calibri" w:cs="Calibri" w:eastAsia="Calibri" w:hAnsi="Calibri"/>
          <w:b/>
          <w:bCs/>
          <w:color w:val="1E293B"/>
          <w:sz w:val="34"/>
          <w:szCs w:val="34"/>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E293B"/>
          <w:sz w:val="34"/>
          <w:szCs w:val="34"/>
        </w:rPr>
        <w:t xml:space="preserve">1. Executive Summary</w:t>
      </w:r>
    </w:p>
    <w:p>
      <w:pPr>
        <w:spacing w:after="120" w:line="276"/>
      </w:pPr>
      <w:r>
        <w:rPr>
          <w:rFonts w:ascii="Calibri" w:cs="Calibri" w:eastAsia="Calibri" w:hAnsi="Calibri"/>
          <w:color w:val="1E293B"/>
          <w:sz w:val="21"/>
          <w:szCs w:val="21"/>
        </w:rPr>
        <w:t xml:space="preserve">InsightHub is an AI-powered, multi-tenant Data &amp; Analytics platform that compresses the entire modern-analytics value chain — ingestion, transformation, modeling, analytics, and AI-driven insight — into a single self-serve product. Where Power BI or Tableau require a developer to connect sources, build ETL, design a data model, and hand-craft dashboards before a business user sees value, InsightHub performs those steps automatically on upload or connector sync and serves governed analytics inside the same platform. Where ChatGPT or Claude give a brilliant but one-time answer to an uploaded file, InsightHub persists the data, keeps it current, governs who sees what, and proactively surfaces changes.</w:t>
      </w:r>
    </w:p>
    <w:p>
      <w:pPr>
        <w:spacing w:after="120" w:line="276"/>
      </w:pPr>
      <w:r>
        <w:rPr>
          <w:rFonts w:ascii="Calibri" w:cs="Calibri" w:eastAsia="Calibri" w:hAnsi="Calibri"/>
          <w:color w:val="1E293B"/>
          <w:sz w:val="21"/>
          <w:szCs w:val="21"/>
        </w:rPr>
        <w:t xml:space="preserve">This document does three things. First, it assesses whether the platform as envisioned is </w:t>
      </w:r>
      <w:r>
        <w:rPr>
          <w:rFonts w:ascii="Calibri" w:cs="Calibri" w:eastAsia="Calibri" w:hAnsi="Calibri"/>
          <w:b/>
          <w:bCs/>
          <w:color w:val="1E293B"/>
          <w:sz w:val="21"/>
          <w:szCs w:val="21"/>
        </w:rPr>
        <w:t xml:space="preserve">achievable</w:t>
      </w:r>
      <w:r>
        <w:rPr>
          <w:rFonts w:ascii="Calibri" w:cs="Calibri" w:eastAsia="Calibri" w:hAnsi="Calibri"/>
          <w:color w:val="1E293B"/>
          <w:sz w:val="21"/>
          <w:szCs w:val="21"/>
        </w:rPr>
        <w:t xml:space="preserve"> — the verdict is </w:t>
      </w:r>
      <w:r>
        <w:rPr>
          <w:rFonts w:ascii="Calibri" w:cs="Calibri" w:eastAsia="Calibri" w:hAnsi="Calibri"/>
          <w:b/>
          <w:bCs/>
          <w:color w:val="059669"/>
          <w:sz w:val="21"/>
          <w:szCs w:val="21"/>
        </w:rPr>
        <w:t xml:space="preserve">yes, and largely already de-risked</w:t>
      </w:r>
      <w:r>
        <w:rPr>
          <w:rFonts w:ascii="Calibri" w:cs="Calibri" w:eastAsia="Calibri" w:hAnsi="Calibri"/>
          <w:color w:val="1E293B"/>
          <w:sz w:val="21"/>
          <w:szCs w:val="21"/>
        </w:rPr>
        <w:t xml:space="preserve">, provided scope is staged rather than boiled in one release. Second, it converts the vision into a Business Requirements Document with functional/non-functional requirements and user stories. Third, it makes a firm recommendation on every open architecture decision you flagged, and maps the target state against what already exists in the current InsightHub codebase, with a phased plan to close the gap.</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Headline verdict</w:t>
            </w:r>
          </w:p>
          <w:p>
            <w:pPr>
              <w:spacing w:after="40" w:line="264"/>
            </w:pPr>
            <w:r>
              <w:rPr>
                <w:rFonts w:ascii="Calibri" w:cs="Calibri" w:eastAsia="Calibri" w:hAnsi="Calibri"/>
                <w:color w:val="1E293B"/>
                <w:sz w:val="20"/>
                <w:szCs w:val="20"/>
              </w:rPr>
              <w:t xml:space="preserve">• The vision is achievable and differentiated. The hardest parts (multi-tenant RBAC, domain auto-detection, an agentic AI layer, alerts, billing) already exist in the current product.</w:t>
            </w:r>
          </w:p>
          <w:p>
            <w:pPr>
              <w:spacing w:after="40" w:line="264"/>
            </w:pPr>
            <w:r>
              <w:rPr>
                <w:rFonts w:ascii="Calibri" w:cs="Calibri" w:eastAsia="Calibri" w:hAnsi="Calibri"/>
                <w:color w:val="1E293B"/>
                <w:sz w:val="20"/>
                <w:szCs w:val="20"/>
              </w:rPr>
              <w:t xml:space="preserve">• The main gap is not AI — it is the data foundation: a real warehouse model (star schema), an orchestrated ETL layer, and a customer-facing UI. These are well-understood engineering, not research risk.</w:t>
            </w:r>
          </w:p>
          <w:p>
            <w:pPr>
              <w:spacing w:after="40" w:line="264"/>
            </w:pPr>
            <w:r>
              <w:rPr>
                <w:rFonts w:ascii="Calibri" w:cs="Calibri" w:eastAsia="Calibri" w:hAnsi="Calibri"/>
                <w:color w:val="1E293B"/>
                <w:sz w:val="20"/>
                <w:szCs w:val="20"/>
              </w:rPr>
              <w:t xml:space="preserve">• The single biggest strategic risk is over-engineering for enterprise scale (PySpark + Airflow + Next.js + mobile) before revenue justifies it. This document recommends an SMB-right-sized stack that scales up, not a scaled-down enterprise stack.</w:t>
            </w:r>
          </w:p>
        </w:tc>
      </w:tr>
    </w:tbl>
    <w:p>
      <w:pPr>
        <w:pStyle w:val="Heading1"/>
        <w:spacing w:after="120" w:before="360"/>
      </w:pPr>
      <w:r>
        <w:rPr>
          <w:rFonts w:ascii="Calibri" w:cs="Calibri" w:eastAsia="Calibri" w:hAnsi="Calibri"/>
          <w:b/>
          <w:bCs/>
          <w:color w:val="1E293B"/>
          <w:sz w:val="34"/>
          <w:szCs w:val="34"/>
        </w:rPr>
        <w:t xml:space="preserve">2. Product Vision &amp; Positioning</w:t>
      </w:r>
    </w:p>
    <w:p>
      <w:pPr>
        <w:spacing w:after="120" w:line="276"/>
      </w:pPr>
      <w:r>
        <w:rPr>
          <w:rFonts w:ascii="Calibri" w:cs="Calibri" w:eastAsia="Calibri" w:hAnsi="Calibri"/>
          <w:color w:val="1E293B"/>
          <w:sz w:val="21"/>
          <w:szCs w:val="21"/>
        </w:rPr>
        <w:t xml:space="preserve">InsightHub's positioning statement, as drafted, is sound and worth preserving: it is a complete AI-enabled Data &amp; Analytics platform, not a one-time upload-and-analyze tool. The differentiation rests on collapsing the analytics engineering pipeline into a one-click, self-serve experience for businesses that have no data team.</w:t>
      </w:r>
    </w:p>
    <w:p>
      <w:pPr>
        <w:pStyle w:val="Heading2"/>
        <w:spacing w:after="80" w:before="240"/>
      </w:pPr>
      <w:r>
        <w:rPr>
          <w:rFonts w:ascii="Calibri" w:cs="Calibri" w:eastAsia="Calibri" w:hAnsi="Calibri"/>
          <w:b/>
          <w:bCs/>
          <w:color w:val="2563EB"/>
          <w:sz w:val="27"/>
          <w:szCs w:val="27"/>
        </w:rPr>
        <w:t xml:space="preserve">2.1 The category, restated</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1900"/>
        <w:gridCol w:w="2200"/>
        <w:gridCol w:w="2100"/>
        <w:gridCol w:w="3160"/>
      </w:tblGrid>
      <w:tr>
        <w:trPr>
          <w:tblHeader/>
        </w:trPr>
        <w:tc>
          <w:tcPr>
            <w:tcW w:type="dxa" w:w="19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Capability</w:t>
            </w:r>
          </w:p>
        </w:tc>
        <w:tc>
          <w:tcPr>
            <w:tcW w:type="dxa" w:w="22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Power BI / Tableau</w:t>
            </w:r>
          </w:p>
        </w:tc>
        <w:tc>
          <w:tcPr>
            <w:tcW w:type="dxa" w:w="21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ChatGPT / Claude</w:t>
            </w:r>
          </w:p>
        </w:tc>
        <w:tc>
          <w:tcPr>
            <w:tcW w:type="dxa" w:w="31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InsightHub</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Connect / ingest data</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Developer connects sources</w:t>
            </w:r>
          </w:p>
        </w:tc>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Manual file paste per session</w:t>
            </w:r>
          </w:p>
        </w:tc>
        <w:tc>
          <w:tcPr>
            <w:tcW w:type="dxa" w:w="3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One-click upload or scheduled connector</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ETL / transformation</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Developer builds ETL</w:t>
            </w:r>
          </w:p>
        </w:tc>
        <w:tc>
          <w:tcPr>
            <w:tcW w:type="dxa" w:w="21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None (in-context only)</w:t>
            </w:r>
          </w:p>
        </w:tc>
        <w:tc>
          <w:tcPr>
            <w:tcW w:type="dxa" w:w="3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Automatic, domain-aware pipeline on every load</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modeling</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Developer designs model</w:t>
            </w:r>
          </w:p>
        </w:tc>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None</w:t>
            </w:r>
          </w:p>
        </w:tc>
        <w:tc>
          <w:tcPr>
            <w:tcW w:type="dxa" w:w="3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Pre-built domain warehouse model</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Persistence &amp; history</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Yes (if built)</w:t>
            </w:r>
          </w:p>
        </w:tc>
        <w:tc>
          <w:tcPr>
            <w:tcW w:type="dxa" w:w="21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 — resets each chat</w:t>
            </w:r>
          </w:p>
        </w:tc>
        <w:tc>
          <w:tcPr>
            <w:tcW w:type="dxa" w:w="3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Yes — accumulates across loads</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Governance / RBAC</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Enterprise add-on</w:t>
            </w:r>
          </w:p>
        </w:tc>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None</w:t>
            </w:r>
          </w:p>
        </w:tc>
        <w:tc>
          <w:tcPr>
            <w:tcW w:type="dxa" w:w="3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Built-in, tenant + intra-tenant</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AI narrative &amp; Q&amp;A</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Copilot (paid, add-on)</w:t>
            </w:r>
          </w:p>
        </w:tc>
        <w:tc>
          <w:tcPr>
            <w:tcW w:type="dxa" w:w="21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Excellent, one-shot</w:t>
            </w:r>
          </w:p>
        </w:tc>
        <w:tc>
          <w:tcPr>
            <w:tcW w:type="dxa" w:w="3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Built-in, grounded in the warehouse</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Proactive alerts</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Limited</w:t>
            </w:r>
          </w:p>
        </w:tc>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w:t>
            </w:r>
          </w:p>
        </w:tc>
        <w:tc>
          <w:tcPr>
            <w:tcW w:type="dxa" w:w="3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Threshold + anomaly, multi-channel</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Time-to-first-insight</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Days–weeks</w:t>
            </w:r>
          </w:p>
        </w:tc>
        <w:tc>
          <w:tcPr>
            <w:tcW w:type="dxa" w:w="21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Minutes (but ephemeral)</w:t>
            </w:r>
          </w:p>
        </w:tc>
        <w:tc>
          <w:tcPr>
            <w:tcW w:type="dxa" w:w="3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Minutes (and durable)</w:t>
            </w:r>
          </w:p>
        </w:tc>
      </w:tr>
    </w:tbl>
    <w:p>
      <w:pPr>
        <w:spacing w:after="120"/>
      </w:pPr>
    </w:p>
    <w:tbl>
      <w:tblPr>
        <w:tblW w:type="dxa" w:w="9360"/>
        <w:tblBorders>
          <w:top w:val="single" w:color="D97706" w:sz="4"/>
          <w:left w:val="single" w:color="D97706" w:sz="12"/>
          <w:bottom w:val="single" w:color="D97706" w:sz="4"/>
          <w:right w:val="single" w:color="D97706" w:sz="4"/>
          <w:insideH w:val="none"/>
          <w:insideV w:val="none"/>
        </w:tblBorders>
      </w:tblPr>
      <w:tblGrid>
        <w:gridCol w:w="9360"/>
      </w:tblGrid>
      <w:tr>
        <w:tc>
          <w:tcPr>
            <w:shd w:fill="FFFBEB" w:color="auto" w:val="clear"/>
            <w:tcMar>
              <w:top w:type="dxa" w:w="100"/>
              <w:left w:type="dxa" w:w="160"/>
              <w:bottom w:type="dxa" w:w="100"/>
              <w:right w:type="dxa" w:w="160"/>
            </w:tcMar>
          </w:tcPr>
          <w:p>
            <w:pPr>
              <w:spacing w:after="60"/>
            </w:pPr>
            <w:r>
              <w:rPr>
                <w:rFonts w:ascii="Calibri" w:cs="Calibri" w:eastAsia="Calibri" w:hAnsi="Calibri"/>
                <w:b/>
                <w:bCs/>
                <w:color w:val="D97706"/>
                <w:sz w:val="21"/>
                <w:szCs w:val="21"/>
              </w:rPr>
              <w:t xml:space="preserve">Positioning guardrail (important)</w:t>
            </w:r>
          </w:p>
          <w:p>
            <w:pPr>
              <w:spacing w:after="40" w:line="264"/>
            </w:pPr>
            <w:r>
              <w:rPr>
                <w:rFonts w:ascii="Calibri" w:cs="Calibri" w:eastAsia="Calibri" w:hAnsi="Calibri"/>
                <w:color w:val="1E293B"/>
                <w:sz w:val="20"/>
                <w:szCs w:val="20"/>
              </w:rPr>
              <w:t xml:space="preserve">Do NOT market InsightHub as "better AI analysis than ChatGPT." You cannot win that race against frontier labs, and the first answer quality is commoditizing. Market the system around it: persistence, governance, proactivity, and domain-tuning — the operational layer that turns one-off AI brilliance into a recurring, governed, alert-driven habit for a business with no data team. The AI is a feature inside the product, not the product.</w:t>
            </w:r>
          </w:p>
        </w:tc>
      </w:tr>
    </w:tbl>
    <w:p>
      <w:pPr>
        <w:pStyle w:val="Heading1"/>
        <w:spacing w:after="120" w:before="360"/>
      </w:pPr>
      <w:r>
        <w:rPr>
          <w:rFonts w:ascii="Calibri" w:cs="Calibri" w:eastAsia="Calibri" w:hAnsi="Calibri"/>
          <w:b/>
          <w:bCs/>
          <w:color w:val="1E293B"/>
          <w:sz w:val="34"/>
          <w:szCs w:val="34"/>
        </w:rPr>
        <w:t xml:space="preserve">3. Achievability Assessment</w:t>
      </w:r>
    </w:p>
    <w:p>
      <w:pPr>
        <w:spacing w:after="120" w:line="276"/>
      </w:pPr>
      <w:r>
        <w:rPr>
          <w:rFonts w:ascii="Calibri" w:cs="Calibri" w:eastAsia="Calibri" w:hAnsi="Calibri"/>
          <w:color w:val="1E293B"/>
          <w:sz w:val="21"/>
          <w:szCs w:val="21"/>
        </w:rPr>
        <w:t xml:space="preserve">Each capability in the drafted architecture is rated for achievability and current maturity. Ratings: Built (exists in current product), Partial (foundation exists, needs extension), New (net-new build). Risk reflects engineering/technical difficulty, not business risk.</w:t>
      </w:r>
    </w:p>
    <w:tbl>
      <w:tblPr>
        <w:tblW w:type="dxa" w:w="9160"/>
        <w:tblBorders>
          <w:top w:val="single" w:color="E2E8F0" w:sz="2"/>
          <w:left w:val="single" w:color="E2E8F0" w:sz="2"/>
          <w:bottom w:val="single" w:color="E2E8F0" w:sz="2"/>
          <w:right w:val="single" w:color="E2E8F0" w:sz="2"/>
          <w:insideH w:val="single" w:color="E2E8F0" w:sz="1"/>
          <w:insideV w:val="single" w:color="E2E8F0" w:sz="1"/>
        </w:tblBorders>
      </w:tblPr>
      <w:tblGrid>
        <w:gridCol w:w="3050"/>
        <w:gridCol w:w="1000"/>
        <w:gridCol w:w="900"/>
        <w:gridCol w:w="4210"/>
      </w:tblGrid>
      <w:tr>
        <w:trPr>
          <w:tblHeader/>
        </w:trPr>
        <w:tc>
          <w:tcPr>
            <w:tcW w:type="dxa" w:w="305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Capability</w:t>
            </w:r>
          </w:p>
        </w:tc>
        <w:tc>
          <w:tcPr>
            <w:tcW w:type="dxa" w:w="10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Status</w:t>
            </w:r>
          </w:p>
        </w:tc>
        <w:tc>
          <w:tcPr>
            <w:tcW w:type="dxa" w:w="9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Risk</w:t>
            </w:r>
          </w:p>
        </w:tc>
        <w:tc>
          <w:tcPr>
            <w:tcW w:type="dxa" w:w="421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Notes</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Multi-tenant onboarding (customer code, tenant id, domain)</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local_tenants + RBAC roles exist; needs formal tenant provisioning + domain field flow</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Domain auto-detection</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domain_config.py detects 5 domains from column signatures</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warehouse (star schema, SCD2)</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New</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Currently flat sales/purchases tables; needs proper dimensional model</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ETL on every upload + scheduled connectors</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Upload ETL + Square/Shopify parsers + Marg file-drop exist; needs orchestration + connector framework</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Transformation engine (Spark/Airflow)</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pandas today; recommend dbt+Polars, not Spark, at SMB scale (see 5.5)</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Analytics from warehouse tables</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tenant_analytics renders overview/revenue/costs/customers/cashflow</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AI layer (RAG, agents, LLM)</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Groq Llama + agent framework (schema/analytics/forecast/insight) + Chroma path exist</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BYO / paid LLM provisioning</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New</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Add a provider-abstraction layer over the existing Groq client</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Vector DB</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Chroma present; recommend pgvector to consolidate on Postgres (see 5.8)</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Customer-facing UI (Next.js)</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New</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Dash today; recommend Next.js for customer app, keep Dash internal (see 5.7)</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Mobile app (exec view)</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New</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None today; recommend responsive PWA before native (see 5.9)</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Ad hoc analysis playground</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Domain detection + adhoc rendering exist; needs named workspace + isolated store</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governance / compliance</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Partial</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Medium</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CCPA + MFA + audit basics; SOC 2 / HIPAA are process + control programs (see 8)</w:t>
            </w:r>
          </w:p>
        </w:tc>
      </w:tr>
      <w:tr>
        <w:tc>
          <w:tcPr>
            <w:tcW w:type="dxa" w:w="30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Alerts &amp; notifications</w:t>
            </w:r>
          </w:p>
        </w:tc>
        <w:tc>
          <w:tcPr>
            <w:tcW w:type="dxa" w:w="10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w:t>
            </w:r>
          </w:p>
        </w:tc>
        <w:tc>
          <w:tcPr>
            <w:tcW w:type="dxa" w:w="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Twilio/SendGrid/Slack/WhatsApp + anomaly + scheduler</w:t>
            </w:r>
          </w:p>
        </w:tc>
      </w:tr>
      <w:tr>
        <w:tc>
          <w:tcPr>
            <w:tcW w:type="dxa" w:w="30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Billing &amp; subscriptions</w:t>
            </w:r>
          </w:p>
        </w:tc>
        <w:tc>
          <w:tcPr>
            <w:tcW w:type="dxa" w:w="1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Built</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Low</w:t>
            </w:r>
          </w:p>
        </w:tc>
        <w:tc>
          <w:tcPr>
            <w:tcW w:type="dxa" w:w="421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Stripe + Razorpay + plans</w:t>
            </w:r>
          </w:p>
        </w:tc>
      </w:tr>
    </w:tbl>
    <w:p>
      <w:pPr>
        <w:spacing w:after="120"/>
      </w:pPr>
    </w:p>
    <w:p>
      <w:pPr>
        <w:spacing w:after="120" w:line="276"/>
      </w:pPr>
      <w:r>
        <w:rPr>
          <w:rFonts w:ascii="Calibri" w:cs="Calibri" w:eastAsia="Calibri" w:hAnsi="Calibri"/>
          <w:b/>
          <w:bCs/>
          <w:color w:val="1E293B"/>
          <w:sz w:val="21"/>
          <w:szCs w:val="21"/>
        </w:rPr>
        <w:t xml:space="preserve">Interpretation: </w:t>
      </w:r>
      <w:r>
        <w:rPr>
          <w:rFonts w:ascii="Calibri" w:cs="Calibri" w:eastAsia="Calibri" w:hAnsi="Calibri"/>
          <w:color w:val="1E293B"/>
          <w:sz w:val="21"/>
          <w:szCs w:val="21"/>
        </w:rPr>
        <w:t xml:space="preserve">of fifteen headline capabilities, six are already built, six have a working foundation, and only three are net-new (warehouse model, customer UI, mobile). None require unproven technology. The platform is achievable; the work is disciplined engineering and sequencing, not invention.</w:t>
      </w:r>
    </w:p>
    <w:p>
      <w:pPr>
        <w:pStyle w:val="Heading1"/>
        <w:spacing w:after="120" w:before="360"/>
      </w:pPr>
      <w:r>
        <w:rPr>
          <w:rFonts w:ascii="Calibri" w:cs="Calibri" w:eastAsia="Calibri" w:hAnsi="Calibri"/>
          <w:b/>
          <w:bCs/>
          <w:color w:val="1E293B"/>
          <w:sz w:val="34"/>
          <w:szCs w:val="34"/>
        </w:rPr>
        <w:t xml:space="preserve">4. Scope</w:t>
      </w:r>
    </w:p>
    <w:p>
      <w:pPr>
        <w:pStyle w:val="Heading2"/>
        <w:spacing w:after="80" w:before="240"/>
      </w:pPr>
      <w:r>
        <w:rPr>
          <w:rFonts w:ascii="Calibri" w:cs="Calibri" w:eastAsia="Calibri" w:hAnsi="Calibri"/>
          <w:b/>
          <w:bCs/>
          <w:color w:val="2563EB"/>
          <w:sz w:val="27"/>
          <w:szCs w:val="27"/>
        </w:rPr>
        <w:t xml:space="preserve">4.1 In scope (target platform)</w:t>
      </w:r>
    </w:p>
    <w:p>
      <w:pPr>
        <w:pStyle w:val="ListParagraph"/>
        <w:numPr>
          <w:ilvl w:val="0"/>
          <w:numId w:val="2"/>
        </w:numPr>
        <w:spacing w:after="60" w:line="264"/>
      </w:pPr>
      <w:r>
        <w:rPr>
          <w:rFonts w:ascii="Calibri" w:cs="Calibri" w:eastAsia="Calibri" w:hAnsi="Calibri"/>
          <w:color w:val="1E293B"/>
          <w:sz w:val="21"/>
          <w:szCs w:val="21"/>
        </w:rPr>
        <w:t xml:space="preserve">Self-serve tenant onboarding with customer code, tenant id, and domain assignment.</w:t>
      </w:r>
    </w:p>
    <w:p>
      <w:pPr>
        <w:pStyle w:val="ListParagraph"/>
        <w:numPr>
          <w:ilvl w:val="0"/>
          <w:numId w:val="2"/>
        </w:numPr>
        <w:spacing w:after="60" w:line="264"/>
      </w:pPr>
      <w:r>
        <w:rPr>
          <w:rFonts w:ascii="Calibri" w:cs="Calibri" w:eastAsia="Calibri" w:hAnsi="Calibri"/>
          <w:color w:val="1E293B"/>
          <w:sz w:val="21"/>
          <w:szCs w:val="21"/>
        </w:rPr>
        <w:t xml:space="preserve">Customer-admin user management with role assignment, captured as auditable events.</w:t>
      </w:r>
    </w:p>
    <w:p>
      <w:pPr>
        <w:pStyle w:val="ListParagraph"/>
        <w:numPr>
          <w:ilvl w:val="0"/>
          <w:numId w:val="2"/>
        </w:numPr>
        <w:spacing w:after="60" w:line="264"/>
      </w:pPr>
      <w:r>
        <w:rPr>
          <w:rFonts w:ascii="Calibri" w:cs="Calibri" w:eastAsia="Calibri" w:hAnsi="Calibri"/>
          <w:color w:val="1E293B"/>
          <w:sz w:val="21"/>
          <w:szCs w:val="21"/>
        </w:rPr>
        <w:t xml:space="preserve">Automated ingestion via file upload and scheduled connectors (POS, e-commerce, accounting, ERP file-drop).</w:t>
      </w:r>
    </w:p>
    <w:p>
      <w:pPr>
        <w:pStyle w:val="ListParagraph"/>
        <w:numPr>
          <w:ilvl w:val="0"/>
          <w:numId w:val="2"/>
        </w:numPr>
        <w:spacing w:after="60" w:line="264"/>
      </w:pPr>
      <w:r>
        <w:rPr>
          <w:rFonts w:ascii="Calibri" w:cs="Calibri" w:eastAsia="Calibri" w:hAnsi="Calibri"/>
          <w:color w:val="1E293B"/>
          <w:sz w:val="21"/>
          <w:szCs w:val="21"/>
        </w:rPr>
        <w:t xml:space="preserve">Domain-aware ETL that transforms raw data into a governed warehouse model on every load.</w:t>
      </w:r>
    </w:p>
    <w:p>
      <w:pPr>
        <w:pStyle w:val="ListParagraph"/>
        <w:numPr>
          <w:ilvl w:val="0"/>
          <w:numId w:val="2"/>
        </w:numPr>
        <w:spacing w:after="60" w:line="264"/>
      </w:pPr>
      <w:r>
        <w:rPr>
          <w:rFonts w:ascii="Calibri" w:cs="Calibri" w:eastAsia="Calibri" w:hAnsi="Calibri"/>
          <w:color w:val="1E293B"/>
          <w:sz w:val="21"/>
          <w:szCs w:val="21"/>
        </w:rPr>
        <w:t xml:space="preserve">A dimensional data warehouse (conformed facts + dimensions) with slowly-changing dimension handling.</w:t>
      </w:r>
    </w:p>
    <w:p>
      <w:pPr>
        <w:pStyle w:val="ListParagraph"/>
        <w:numPr>
          <w:ilvl w:val="0"/>
          <w:numId w:val="2"/>
        </w:numPr>
        <w:spacing w:after="60" w:line="264"/>
      </w:pPr>
      <w:r>
        <w:rPr>
          <w:rFonts w:ascii="Calibri" w:cs="Calibri" w:eastAsia="Calibri" w:hAnsi="Calibri"/>
          <w:color w:val="1E293B"/>
          <w:sz w:val="21"/>
          <w:szCs w:val="21"/>
        </w:rPr>
        <w:t xml:space="preserve">An ad hoc analysis playground for data that does not fit a known domain.</w:t>
      </w:r>
    </w:p>
    <w:p>
      <w:pPr>
        <w:pStyle w:val="ListParagraph"/>
        <w:numPr>
          <w:ilvl w:val="0"/>
          <w:numId w:val="2"/>
        </w:numPr>
        <w:spacing w:after="60" w:line="264"/>
      </w:pPr>
      <w:r>
        <w:rPr>
          <w:rFonts w:ascii="Calibri" w:cs="Calibri" w:eastAsia="Calibri" w:hAnsi="Calibri"/>
          <w:color w:val="1E293B"/>
          <w:sz w:val="21"/>
          <w:szCs w:val="21"/>
        </w:rPr>
        <w:t xml:space="preserve">Analytics served from the warehouse: KPIs, trends, comparisons, cash flow, cohorts.</w:t>
      </w:r>
    </w:p>
    <w:p>
      <w:pPr>
        <w:pStyle w:val="ListParagraph"/>
        <w:numPr>
          <w:ilvl w:val="0"/>
          <w:numId w:val="2"/>
        </w:numPr>
        <w:spacing w:after="60" w:line="264"/>
      </w:pPr>
      <w:r>
        <w:rPr>
          <w:rFonts w:ascii="Calibri" w:cs="Calibri" w:eastAsia="Calibri" w:hAnsi="Calibri"/>
          <w:color w:val="1E293B"/>
          <w:sz w:val="21"/>
          <w:szCs w:val="21"/>
        </w:rPr>
        <w:t xml:space="preserve">An AI layer: grounded narrative, conversational Q&amp;A, forecasting, anomaly explanation — with pluggable LLMs.</w:t>
      </w:r>
    </w:p>
    <w:p>
      <w:pPr>
        <w:pStyle w:val="ListParagraph"/>
        <w:numPr>
          <w:ilvl w:val="0"/>
          <w:numId w:val="2"/>
        </w:numPr>
        <w:spacing w:after="60" w:line="264"/>
      </w:pPr>
      <w:r>
        <w:rPr>
          <w:rFonts w:ascii="Calibri" w:cs="Calibri" w:eastAsia="Calibri" w:hAnsi="Calibri"/>
          <w:color w:val="1E293B"/>
          <w:sz w:val="21"/>
          <w:szCs w:val="21"/>
        </w:rPr>
        <w:t xml:space="preserve">RBAC across tenants and within a tenant (row/column-level restriction by role).</w:t>
      </w:r>
    </w:p>
    <w:p>
      <w:pPr>
        <w:pStyle w:val="ListParagraph"/>
        <w:numPr>
          <w:ilvl w:val="0"/>
          <w:numId w:val="2"/>
        </w:numPr>
        <w:spacing w:after="60" w:line="264"/>
      </w:pPr>
      <w:r>
        <w:rPr>
          <w:rFonts w:ascii="Calibri" w:cs="Calibri" w:eastAsia="Calibri" w:hAnsi="Calibri"/>
          <w:color w:val="1E293B"/>
          <w:sz w:val="21"/>
          <w:szCs w:val="21"/>
        </w:rPr>
        <w:t xml:space="preserve">Proactive alerts and notifications across channels.</w:t>
      </w:r>
    </w:p>
    <w:p>
      <w:pPr>
        <w:pStyle w:val="ListParagraph"/>
        <w:numPr>
          <w:ilvl w:val="0"/>
          <w:numId w:val="2"/>
        </w:numPr>
        <w:spacing w:after="60" w:line="264"/>
      </w:pPr>
      <w:r>
        <w:rPr>
          <w:rFonts w:ascii="Calibri" w:cs="Calibri" w:eastAsia="Calibri" w:hAnsi="Calibri"/>
          <w:color w:val="1E293B"/>
          <w:sz w:val="21"/>
          <w:szCs w:val="21"/>
        </w:rPr>
        <w:t xml:space="preserve">A customer-facing web application and an executive mobile/PWA view.</w:t>
      </w:r>
    </w:p>
    <w:p>
      <w:pPr>
        <w:pStyle w:val="ListParagraph"/>
        <w:numPr>
          <w:ilvl w:val="0"/>
          <w:numId w:val="2"/>
        </w:numPr>
        <w:spacing w:after="60" w:line="264"/>
      </w:pPr>
      <w:r>
        <w:rPr>
          <w:rFonts w:ascii="Calibri" w:cs="Calibri" w:eastAsia="Calibri" w:hAnsi="Calibri"/>
          <w:color w:val="1E293B"/>
          <w:sz w:val="21"/>
          <w:szCs w:val="21"/>
        </w:rPr>
        <w:t xml:space="preserve">A data governance and compliance control framework.</w:t>
      </w:r>
    </w:p>
    <w:p>
      <w:pPr>
        <w:pStyle w:val="Heading2"/>
        <w:spacing w:after="80" w:before="240"/>
      </w:pPr>
      <w:r>
        <w:rPr>
          <w:rFonts w:ascii="Calibri" w:cs="Calibri" w:eastAsia="Calibri" w:hAnsi="Calibri"/>
          <w:b/>
          <w:bCs/>
          <w:color w:val="2563EB"/>
          <w:sz w:val="27"/>
          <w:szCs w:val="27"/>
        </w:rPr>
        <w:t xml:space="preserve">4.2 Out of scope (this phase)</w:t>
      </w:r>
    </w:p>
    <w:p>
      <w:pPr>
        <w:pStyle w:val="ListParagraph"/>
        <w:numPr>
          <w:ilvl w:val="0"/>
          <w:numId w:val="2"/>
        </w:numPr>
        <w:spacing w:after="60" w:line="264"/>
      </w:pPr>
      <w:r>
        <w:rPr>
          <w:rFonts w:ascii="Calibri" w:cs="Calibri" w:eastAsia="Calibri" w:hAnsi="Calibri"/>
          <w:color w:val="1E293B"/>
          <w:sz w:val="21"/>
          <w:szCs w:val="21"/>
        </w:rPr>
        <w:t xml:space="preserve">Full enterprise data-lake / lakehouse for petabyte workloads (revisit at enterprise tier).</w:t>
      </w:r>
    </w:p>
    <w:p>
      <w:pPr>
        <w:pStyle w:val="ListParagraph"/>
        <w:numPr>
          <w:ilvl w:val="0"/>
          <w:numId w:val="2"/>
        </w:numPr>
        <w:spacing w:after="60" w:line="264"/>
      </w:pPr>
      <w:r>
        <w:rPr>
          <w:rFonts w:ascii="Calibri" w:cs="Calibri" w:eastAsia="Calibri" w:hAnsi="Calibri"/>
          <w:color w:val="1E293B"/>
          <w:sz w:val="21"/>
          <w:szCs w:val="21"/>
        </w:rPr>
        <w:t xml:space="preserve">Native iOS/Android apps (start with responsive PWA).</w:t>
      </w:r>
    </w:p>
    <w:p>
      <w:pPr>
        <w:pStyle w:val="ListParagraph"/>
        <w:numPr>
          <w:ilvl w:val="0"/>
          <w:numId w:val="2"/>
        </w:numPr>
        <w:spacing w:after="60" w:line="264"/>
      </w:pPr>
      <w:r>
        <w:rPr>
          <w:rFonts w:ascii="Calibri" w:cs="Calibri" w:eastAsia="Calibri" w:hAnsi="Calibri"/>
          <w:color w:val="1E293B"/>
          <w:sz w:val="21"/>
          <w:szCs w:val="21"/>
        </w:rPr>
        <w:t xml:space="preserve">Real-time streaming ingestion (batch/micro-batch first).</w:t>
      </w:r>
    </w:p>
    <w:p>
      <w:pPr>
        <w:pStyle w:val="ListParagraph"/>
        <w:numPr>
          <w:ilvl w:val="0"/>
          <w:numId w:val="2"/>
        </w:numPr>
        <w:spacing w:after="60" w:line="264"/>
      </w:pPr>
      <w:r>
        <w:rPr>
          <w:rFonts w:ascii="Calibri" w:cs="Calibri" w:eastAsia="Calibri" w:hAnsi="Calibri"/>
          <w:color w:val="1E293B"/>
          <w:sz w:val="21"/>
          <w:szCs w:val="21"/>
        </w:rPr>
        <w:t xml:space="preserve">Marketplace of third-party analytics extensions.</w:t>
      </w:r>
    </w:p>
    <w:p>
      <w:pPr>
        <w:pStyle w:val="Heading1"/>
        <w:spacing w:after="120" w:before="360"/>
      </w:pPr>
      <w:r>
        <w:rPr>
          <w:rFonts w:ascii="Calibri" w:cs="Calibri" w:eastAsia="Calibri" w:hAnsi="Calibri"/>
          <w:b/>
          <w:bCs/>
          <w:color w:val="1E293B"/>
          <w:sz w:val="34"/>
          <w:szCs w:val="34"/>
        </w:rPr>
        <w:t xml:space="preserve">5. Architecture Decisions &amp; Recommendations</w:t>
      </w:r>
    </w:p>
    <w:p>
      <w:pPr>
        <w:spacing w:after="120" w:line="276"/>
      </w:pPr>
      <w:r>
        <w:rPr>
          <w:rFonts w:ascii="Calibri" w:cs="Calibri" w:eastAsia="Calibri" w:hAnsi="Calibri"/>
          <w:color w:val="1E293B"/>
          <w:sz w:val="21"/>
          <w:szCs w:val="21"/>
        </w:rPr>
        <w:t xml:space="preserve">This section resolves every decision you flagged as "recommendation required," "help required," or "plan required." Each carries a firm recommendation, the reasoning, and the trade-off you are accepting.</w:t>
      </w:r>
    </w:p>
    <w:p>
      <w:pPr>
        <w:pStyle w:val="Heading2"/>
        <w:spacing w:after="80" w:before="240"/>
      </w:pPr>
      <w:r>
        <w:rPr>
          <w:rFonts w:ascii="Calibri" w:cs="Calibri" w:eastAsia="Calibri" w:hAnsi="Calibri"/>
          <w:b/>
          <w:bCs/>
          <w:color w:val="2563EB"/>
          <w:sz w:val="27"/>
          <w:szCs w:val="27"/>
        </w:rPr>
        <w:t xml:space="preserve">5.1  Data model: Star schema vs one big table</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Adopt a star schema (Kimball dimensional model) as the warehouse core. Materialize denormalized "one-big-table" analytics marts on top of it for query speed and AI context.</w:t>
            </w:r>
          </w:p>
        </w:tc>
      </w:tr>
    </w:tbl>
    <w:p>
      <w:pPr>
        <w:spacing w:after="120" w:line="276"/>
      </w:pPr>
      <w:r>
        <w:rPr>
          <w:rFonts w:ascii="Calibri" w:cs="Calibri" w:eastAsia="Calibri" w:hAnsi="Calibri"/>
          <w:color w:val="1E293B"/>
          <w:sz w:val="21"/>
          <w:szCs w:val="21"/>
        </w:rPr>
        <w:t xml:space="preserve">A single wide denormalized table is tempting for speed of build, but it degrades badly as domains and history grow: every new domain widens the table, SCD history bloats rows, and RBAC filtering becomes error-prone. A star schema keeps facts (measures/events) separate from dimensions (customer, product, date, branch, domain), which is exactly the structure your multi-domain, multi-tenant, history-preserving requirements demand.</w:t>
      </w:r>
    </w:p>
    <w:p>
      <w:pPr>
        <w:spacing w:after="120" w:line="276"/>
      </w:pPr>
      <w:r>
        <w:rPr>
          <w:rFonts w:ascii="Calibri" w:cs="Calibri" w:eastAsia="Calibri" w:hAnsi="Calibri"/>
          <w:color w:val="1E293B"/>
          <w:sz w:val="21"/>
          <w:szCs w:val="21"/>
        </w:rPr>
        <w:t xml:space="preserve">You get the best of both by materializing per-domain "one-big-table" marts (a flattened view joining the fact to its dimensions) for the analytics and AI layers to read. Those marts are cheap to rebuild and are the ideal shape for both dashboard queries and LLM context windows. So the answer to "star schema or OBT?" is: star schema to store, OBT-style marts to serve.</w:t>
      </w:r>
    </w:p>
    <w:p>
      <w:pPr>
        <w:pStyle w:val="Heading2"/>
        <w:spacing w:after="80" w:before="240"/>
      </w:pPr>
      <w:r>
        <w:rPr>
          <w:rFonts w:ascii="Calibri" w:cs="Calibri" w:eastAsia="Calibri" w:hAnsi="Calibri"/>
          <w:b/>
          <w:bCs/>
          <w:color w:val="2563EB"/>
          <w:sz w:val="27"/>
          <w:szCs w:val="27"/>
        </w:rPr>
        <w:t xml:space="preserve">5.2  Per-domain tables vs one common table with keys</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Use ONE set of conformed fact tables keyed by tenant_id + domain + customer_code, with domain-specific dimension extensions and per-domain serving marts. Do not create physically separate schemas per domain.</w:t>
            </w:r>
          </w:p>
        </w:tc>
      </w:tr>
    </w:tbl>
    <w:p>
      <w:pPr>
        <w:spacing w:after="120" w:line="276"/>
      </w:pPr>
      <w:r>
        <w:rPr>
          <w:rFonts w:ascii="Calibri" w:cs="Calibri" w:eastAsia="Calibri" w:hAnsi="Calibri"/>
          <w:color w:val="1E293B"/>
          <w:sz w:val="21"/>
          <w:szCs w:val="21"/>
        </w:rPr>
        <w:t xml:space="preserve">A common conformed fact table (e.g., fct_transaction) with tenant_id, customer_code, domain, and a role-scoping key on every row is the right backbone: it makes RBAC a single consistent WHERE-clause pattern, keeps the ETL generic, and lets you add a domain without a schema migration. Domain-specific attributes live in extension dimensions (dim_pharmacy_item, dim_saas_subscription) joined only when relevant.</w:t>
      </w:r>
    </w:p>
    <w:p>
      <w:pPr>
        <w:spacing w:after="120" w:line="276"/>
      </w:pPr>
      <w:r>
        <w:rPr>
          <w:rFonts w:ascii="Calibri" w:cs="Calibri" w:eastAsia="Calibri" w:hAnsi="Calibri"/>
          <w:color w:val="1E293B"/>
          <w:sz w:val="21"/>
          <w:szCs w:val="21"/>
        </w:rPr>
        <w:t xml:space="preserve">Physically separate tables/schemas per domain multiply maintenance, fragment RBAC logic, and make cross-domain features (a tenant that is both retail and accounting) painful. Keep one model, partition by tenant_id (and domain) for performance and isolation. Reserve fully isolated schemas only for enterprise customers with a contractual data-isolation requirement.</w:t>
      </w:r>
    </w:p>
    <w:p>
      <w:pPr>
        <w:pStyle w:val="Heading2"/>
        <w:spacing w:after="80" w:before="240"/>
      </w:pPr>
      <w:r>
        <w:rPr>
          <w:rFonts w:ascii="Calibri" w:cs="Calibri" w:eastAsia="Calibri" w:hAnsi="Calibri"/>
          <w:b/>
          <w:bCs/>
          <w:color w:val="2563EB"/>
          <w:sz w:val="27"/>
          <w:szCs w:val="27"/>
        </w:rPr>
        <w:t xml:space="preserve">5.3  Slowly Changing Dimensions when the same data is re-uploaded</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Implement SCD Type 2 on dimensions and idempotent, upsert-based loading on facts keyed by a natural business key + load hash, so re-uploads update history instead of duplicating it.</w:t>
            </w:r>
          </w:p>
        </w:tc>
      </w:tr>
    </w:tbl>
    <w:p>
      <w:pPr>
        <w:spacing w:after="120" w:line="276"/>
      </w:pPr>
      <w:r>
        <w:rPr>
          <w:rFonts w:ascii="Calibri" w:cs="Calibri" w:eastAsia="Calibri" w:hAnsi="Calibri"/>
          <w:color w:val="1E293B"/>
          <w:sz w:val="21"/>
          <w:szCs w:val="21"/>
        </w:rPr>
        <w:t xml:space="preserve">Your current pipeline appends on re-upload (it already flags duplicates). For a warehouse, move to idempotent loads: each fact row carries a deterministic business key and a content hash; a re-upload of unchanged rows is a no-op, changed rows close the old dimension version (SCD2: valid_from/valid_to/is_current) and open a new one. This gives correct point-in-time history — essential for YoY, cohort, and trend integrity — and eliminates the duplicate-merge problem you have been patching.</w:t>
      </w:r>
    </w:p>
    <w:p>
      <w:pPr>
        <w:pStyle w:val="Heading2"/>
        <w:spacing w:after="80" w:before="240"/>
      </w:pPr>
      <w:r>
        <w:rPr>
          <w:rFonts w:ascii="Calibri" w:cs="Calibri" w:eastAsia="Calibri" w:hAnsi="Calibri"/>
          <w:b/>
          <w:bCs/>
          <w:color w:val="2563EB"/>
          <w:sz w:val="27"/>
          <w:szCs w:val="27"/>
        </w:rPr>
        <w:t xml:space="preserve">5.4  Ad hoc data that does not fit a known domain</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Provide a named "Analysis Playground": the customer names the dataset, InsightHub profiles it, stores it in a tenant-namespaced generic store (schema-on-read), and generates a menu entry keyed to that name. Promote successful playgrounds into first-class domains over time.</w:t>
            </w:r>
          </w:p>
        </w:tc>
      </w:tr>
    </w:tbl>
    <w:p>
      <w:pPr>
        <w:spacing w:after="120" w:line="276"/>
      </w:pPr>
      <w:r>
        <w:rPr>
          <w:rFonts w:ascii="Calibri" w:cs="Calibri" w:eastAsia="Calibri" w:hAnsi="Calibri"/>
          <w:color w:val="1E293B"/>
          <w:sz w:val="21"/>
          <w:szCs w:val="21"/>
        </w:rPr>
        <w:t xml:space="preserve">Not all data maps to pharmacy/SaaS/retail/accounting. For these, let the user name the upload; the system profiles columns (types, cardinality, candidate dates/measures/dimensions), stores rows in a generic keyed table (tenant_id, dataset_key, row_json or typed columns), and exposes a dynamic menu item under that name. The AI layer and generic analytics (distributions, trends, top-N, correlations) work against it without a bespoke model.</w:t>
      </w:r>
    </w:p>
    <w:p>
      <w:pPr>
        <w:spacing w:after="120" w:line="276"/>
      </w:pPr>
      <w:r>
        <w:rPr>
          <w:rFonts w:ascii="Calibri" w:cs="Calibri" w:eastAsia="Calibri" w:hAnsi="Calibri"/>
          <w:color w:val="1E293B"/>
          <w:sz w:val="21"/>
          <w:szCs w:val="21"/>
        </w:rPr>
        <w:t xml:space="preserve">This directly satisfies your requirement that "if the data fits any domain we give tuned analysis, otherwise we still give adhoc analysis." Over time, if many tenants upload the same shape, you codify it as a new domain — the playground is also your domain-discovery funnel.</w:t>
      </w:r>
    </w:p>
    <w:p>
      <w:pPr>
        <w:pStyle w:val="Heading2"/>
        <w:spacing w:after="80" w:before="240"/>
      </w:pPr>
      <w:r>
        <w:rPr>
          <w:rFonts w:ascii="Calibri" w:cs="Calibri" w:eastAsia="Calibri" w:hAnsi="Calibri"/>
          <w:b/>
          <w:bCs/>
          <w:color w:val="2563EB"/>
          <w:sz w:val="27"/>
          <w:szCs w:val="27"/>
        </w:rPr>
        <w:t xml:space="preserve">5.5  Transformation engine: PySpark vs alternatives</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Do NOT start with PySpark. Use dbt for SQL-based transformation/modeling in Postgres, with Python (Polars/pandas) for pre-load parsing and profiling. Introduce Spark only when a single tenant's data exceeds what Postgres comfortably handles (tens of millions+ of rows per load).</w:t>
            </w:r>
          </w:p>
        </w:tc>
      </w:tr>
    </w:tbl>
    <w:p>
      <w:pPr>
        <w:spacing w:after="120" w:line="276"/>
      </w:pPr>
      <w:r>
        <w:rPr>
          <w:rFonts w:ascii="Calibri" w:cs="Calibri" w:eastAsia="Calibri" w:hAnsi="Calibri"/>
          <w:color w:val="1E293B"/>
          <w:sz w:val="21"/>
          <w:szCs w:val="21"/>
        </w:rPr>
        <w:t xml:space="preserve">PySpark is built for distributed processing of very large datasets. SMB uploads are megabytes-to-low-gigabytes — running Spark for them adds a cluster, JVM overhead, and operational complexity that buys you nothing and burns cash. dbt gives you version-controlled, testable, documented transformations that run in your existing Postgres warehouse, which is exactly the right tool for building and maintaining a star schema. Polars handles fast in-process transformation of larger single files without a cluster.</w:t>
      </w:r>
    </w:p>
    <w:p>
      <w:pPr>
        <w:spacing w:after="120" w:line="276"/>
      </w:pPr>
      <w:r>
        <w:rPr>
          <w:rFonts w:ascii="Calibri" w:cs="Calibri" w:eastAsia="Calibri" w:hAnsi="Calibri"/>
          <w:color w:val="1E293B"/>
          <w:sz w:val="21"/>
          <w:szCs w:val="21"/>
        </w:rPr>
        <w:t xml:space="preserve">Keep a clean seam so Spark can be slotted in later for enterprise tenants without rewriting the model — dbt models are portable to Spark/Databricks SQL. This is the "scale up, don't scale down" principle in practice.</w:t>
      </w:r>
    </w:p>
    <w:p>
      <w:pPr>
        <w:pStyle w:val="Heading2"/>
        <w:spacing w:after="80" w:before="240"/>
      </w:pPr>
      <w:r>
        <w:rPr>
          <w:rFonts w:ascii="Calibri" w:cs="Calibri" w:eastAsia="Calibri" w:hAnsi="Calibri"/>
          <w:b/>
          <w:bCs/>
          <w:color w:val="2563EB"/>
          <w:sz w:val="27"/>
          <w:szCs w:val="27"/>
        </w:rPr>
        <w:t xml:space="preserve">5.6  Orchestration: Airflow vs alternatives</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Use a lightweight modern orchestrator (Dagster or Prefect) or a managed scheduler for launch; adopt Airflow only if/when you reach enterprise-grade, many-connector complexity. For per-upload ETL, trigger the pipeline event-driven, not on a cron.</w:t>
            </w:r>
          </w:p>
        </w:tc>
      </w:tr>
    </w:tbl>
    <w:p>
      <w:pPr>
        <w:spacing w:after="120" w:line="276"/>
      </w:pPr>
      <w:r>
        <w:rPr>
          <w:rFonts w:ascii="Calibri" w:cs="Calibri" w:eastAsia="Calibri" w:hAnsi="Calibri"/>
          <w:color w:val="1E293B"/>
          <w:sz w:val="21"/>
          <w:szCs w:val="21"/>
        </w:rPr>
        <w:t xml:space="preserve">Airflow is powerful but operationally heavy (scheduler, workers, metadata DB) and cron-centric. Your dominant trigger is event-driven ("run ETL on every upload"), which suits an event/queue-driven pipeline better than Airflow's DAG-on-a-schedule model. Dagster/Prefect are lighter, data-asset-aware, and pair naturally with dbt. Scheduled connector syncs (the cron-like case) are handled by the same orchestrator.</w:t>
      </w:r>
    </w:p>
    <w:p>
      <w:pPr>
        <w:spacing w:after="120" w:line="276"/>
      </w:pPr>
      <w:r>
        <w:rPr>
          <w:rFonts w:ascii="Calibri" w:cs="Calibri" w:eastAsia="Calibri" w:hAnsi="Calibri"/>
          <w:color w:val="1E293B"/>
          <w:sz w:val="21"/>
          <w:szCs w:val="21"/>
        </w:rPr>
        <w:t xml:space="preserve">Your current APScheduler already covers digests/alerts; keep it for those. Add a proper orchestrator for the data pipeline as a separate concern.</w:t>
      </w:r>
    </w:p>
    <w:p>
      <w:pPr>
        <w:pStyle w:val="Heading2"/>
        <w:spacing w:after="80" w:before="240"/>
      </w:pPr>
      <w:r>
        <w:rPr>
          <w:rFonts w:ascii="Calibri" w:cs="Calibri" w:eastAsia="Calibri" w:hAnsi="Calibri"/>
          <w:b/>
          <w:bCs/>
          <w:color w:val="2563EB"/>
          <w:sz w:val="27"/>
          <w:szCs w:val="27"/>
        </w:rPr>
        <w:t xml:space="preserve">5.7  Customer-facing UI: Next.js vs Dash</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Yes to Next.js for the customer-facing application. Keep Dash/Plotly for internal ops and rapid analytics prototyping. Serve charts via an API the Next.js app consumes.</w:t>
            </w:r>
          </w:p>
        </w:tc>
      </w:tr>
    </w:tbl>
    <w:p>
      <w:pPr>
        <w:spacing w:after="120" w:line="276"/>
      </w:pPr>
      <w:r>
        <w:rPr>
          <w:rFonts w:ascii="Calibri" w:cs="Calibri" w:eastAsia="Calibri" w:hAnsi="Calibri"/>
          <w:color w:val="1E293B"/>
          <w:sz w:val="21"/>
          <w:szCs w:val="21"/>
        </w:rPr>
        <w:t xml:space="preserve">Dash is excellent for internal, data-team-facing dashboards and got you to a working product fast — but for a customer-facing SMB SaaS you want the control over UX, performance, SEO/marketing pages, auth flows, mobile responsiveness, and component ecosystem that Next.js (React) provides. It is also the right substrate for the PWA/mobile view.</w:t>
      </w:r>
    </w:p>
    <w:p>
      <w:pPr>
        <w:spacing w:after="120" w:line="276"/>
      </w:pPr>
      <w:r>
        <w:rPr>
          <w:rFonts w:ascii="Calibri" w:cs="Calibri" w:eastAsia="Calibri" w:hAnsi="Calibri"/>
          <w:color w:val="1E293B"/>
          <w:sz w:val="21"/>
          <w:szCs w:val="21"/>
        </w:rPr>
        <w:t xml:space="preserve">Recommended split: Next.js front end → your existing FastAPI backend (already in the stack) → warehouse. Charts render client-side (e.g., ECharts/Recharts/visx) from JSON the API returns. This decouples UI from compute and lets Dash remain your internal cockpit. Budget this as the largest single UI investment in the roadmap.</w:t>
      </w:r>
    </w:p>
    <w:p>
      <w:pPr>
        <w:pStyle w:val="Heading2"/>
        <w:spacing w:after="80" w:before="240"/>
      </w:pPr>
      <w:r>
        <w:rPr>
          <w:rFonts w:ascii="Calibri" w:cs="Calibri" w:eastAsia="Calibri" w:hAnsi="Calibri"/>
          <w:b/>
          <w:bCs/>
          <w:color w:val="2563EB"/>
          <w:sz w:val="27"/>
          <w:szCs w:val="27"/>
        </w:rPr>
        <w:t xml:space="preserve">5.8  Vector database</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Use pgvector inside your existing Postgres for launch. Move to a dedicated vector store (Qdrant/Milvus/managed) only if embedding volume or latency outgrows Postgres.</w:t>
            </w:r>
          </w:p>
        </w:tc>
      </w:tr>
    </w:tbl>
    <w:p>
      <w:pPr>
        <w:spacing w:after="120" w:line="276"/>
      </w:pPr>
      <w:r>
        <w:rPr>
          <w:rFonts w:ascii="Calibri" w:cs="Calibri" w:eastAsia="Calibri" w:hAnsi="Calibri"/>
          <w:color w:val="1E293B"/>
          <w:sz w:val="21"/>
          <w:szCs w:val="21"/>
        </w:rPr>
        <w:t xml:space="preserve">You already run Postgres and already have a Chroma path. Consolidating vectors into pgvector means one datastore to operate, back up, and secure, with transactional consistency between your warehouse rows and their embeddings — valuable for tenant-scoped RAG. Dedicated vector DBs earn their keep at large scale or very high QPS; at SMB launch scale pgvector is simpler and cheaper.</w:t>
      </w:r>
    </w:p>
    <w:p>
      <w:pPr>
        <w:pStyle w:val="Heading2"/>
        <w:spacing w:after="80" w:before="240"/>
      </w:pPr>
      <w:r>
        <w:rPr>
          <w:rFonts w:ascii="Calibri" w:cs="Calibri" w:eastAsia="Calibri" w:hAnsi="Calibri"/>
          <w:b/>
          <w:bCs/>
          <w:color w:val="2563EB"/>
          <w:sz w:val="27"/>
          <w:szCs w:val="27"/>
        </w:rPr>
        <w:t xml:space="preserve">5.9  LLM strategy: open-source + BYO paid</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Ship with an open-source default (Llama via Groq — already integrated) behind a provider-abstraction layer, and expose a BYO-key / paid-provider option (OpenAI, Anthropic, Azure OpenAI) per tenant for those who want frontier quality or their own compliance boundary.</w:t>
            </w:r>
          </w:p>
        </w:tc>
      </w:tr>
    </w:tbl>
    <w:p>
      <w:pPr>
        <w:spacing w:after="120" w:line="276"/>
      </w:pPr>
      <w:r>
        <w:rPr>
          <w:rFonts w:ascii="Calibri" w:cs="Calibri" w:eastAsia="Calibri" w:hAnsi="Calibri"/>
          <w:color w:val="1E293B"/>
          <w:sz w:val="21"/>
          <w:szCs w:val="21"/>
        </w:rPr>
        <w:t xml:space="preserve">The abstraction you need is a thin "LLM gateway": a single internal interface (chat, embed, stream) with pluggable backends and per-tenant routing/keys. Your current groq_client is already close — generalize it. This lets cost-sensitive SMBs run on the free/cheap open model while enterprise or regulated tenants bring their own paid provider and data-processing agreement. It also protects you from single-vendor risk.</w:t>
      </w:r>
    </w:p>
    <w:p>
      <w:pPr>
        <w:pStyle w:val="Heading2"/>
        <w:spacing w:after="80" w:before="240"/>
      </w:pPr>
      <w:r>
        <w:rPr>
          <w:rFonts w:ascii="Calibri" w:cs="Calibri" w:eastAsia="Calibri" w:hAnsi="Calibri"/>
          <w:b/>
          <w:bCs/>
          <w:color w:val="2563EB"/>
          <w:sz w:val="27"/>
          <w:szCs w:val="27"/>
        </w:rPr>
        <w:t xml:space="preserve">5.10  Deployment &amp; scalability</w:t>
      </w:r>
    </w:p>
    <w:tbl>
      <w:tblPr>
        <w:tblW w:type="dxa" w:w="9360"/>
        <w:tblBorders>
          <w:top w:val="single" w:color="059669" w:sz="4"/>
          <w:left w:val="single" w:color="059669" w:sz="12"/>
          <w:bottom w:val="single" w:color="059669" w:sz="4"/>
          <w:right w:val="single" w:color="059669" w:sz="4"/>
          <w:insideH w:val="none"/>
          <w:insideV w:val="none"/>
        </w:tblBorders>
      </w:tblPr>
      <w:tblGrid>
        <w:gridCol w:w="9360"/>
      </w:tblGrid>
      <w:tr>
        <w:tc>
          <w:tcPr>
            <w:shd w:fill="ECFDF5" w:color="auto" w:val="clear"/>
            <w:tcMar>
              <w:top w:type="dxa" w:w="100"/>
              <w:left w:type="dxa" w:w="160"/>
              <w:bottom w:type="dxa" w:w="100"/>
              <w:right w:type="dxa" w:w="160"/>
            </w:tcMar>
          </w:tcPr>
          <w:p>
            <w:pPr>
              <w:spacing w:after="60"/>
            </w:pPr>
            <w:r>
              <w:rPr>
                <w:rFonts w:ascii="Calibri" w:cs="Calibri" w:eastAsia="Calibri" w:hAnsi="Calibri"/>
                <w:b/>
                <w:bCs/>
                <w:color w:val="059669"/>
                <w:sz w:val="21"/>
                <w:szCs w:val="21"/>
              </w:rPr>
              <w:t xml:space="preserve">Recommendation</w:t>
            </w:r>
          </w:p>
          <w:p>
            <w:pPr>
              <w:spacing w:after="40" w:line="264"/>
            </w:pPr>
            <w:r>
              <w:rPr>
                <w:rFonts w:ascii="Calibri" w:cs="Calibri" w:eastAsia="Calibri" w:hAnsi="Calibri"/>
                <w:color w:val="1E293B"/>
                <w:sz w:val="20"/>
                <w:szCs w:val="20"/>
              </w:rPr>
              <w:t xml:space="preserve">Containerize and deploy on serverless containers with scale-to-zero (Google Cloud Run or Azure Container Apps) for launch; graduate to Kubernetes (GKE/AKS) only when steady always-on multi-service load and fine-grained scaling justify it. Keep the warehouse on managed Postgres (Neon serverless → managed Cloud SQL/Flexible Server as volume grows).</w:t>
            </w:r>
          </w:p>
        </w:tc>
      </w:tr>
    </w:tbl>
    <w:p>
      <w:pPr>
        <w:spacing w:after="120" w:line="276"/>
      </w:pPr>
      <w:r>
        <w:rPr>
          <w:rFonts w:ascii="Calibri" w:cs="Calibri" w:eastAsia="Calibri" w:hAnsi="Calibri"/>
          <w:color w:val="1E293B"/>
          <w:sz w:val="21"/>
          <w:szCs w:val="21"/>
        </w:rPr>
        <w:t xml:space="preserve">Scale-to-zero containers give you near-zero idle cost during the demo/pre-revenue phase and horizontal scale per service as traffic grows — matching your requirement to scale with customer additions and data volume without paying for idle capacity. The data pipeline (dbt/orchestrator) runs as jobs; the API and UI run as autoscaling services.</w:t>
      </w:r>
    </w:p>
    <w:p>
      <w:pPr>
        <w:spacing w:after="120" w:line="276"/>
      </w:pPr>
      <w:r>
        <w:rPr>
          <w:rFonts w:ascii="Calibri" w:cs="Calibri" w:eastAsia="Calibri" w:hAnsi="Calibri"/>
          <w:color w:val="1E293B"/>
          <w:sz w:val="21"/>
          <w:szCs w:val="21"/>
        </w:rPr>
        <w:t xml:space="preserve">Kubernetes becomes worthwhile once you are running many always-on services with complex networking and want portable multi-cloud control — a post-traction concern, not a launch one. Design services to be stateless and 12-factor now so the migration is mechanical later.</w:t>
      </w:r>
    </w:p>
    <w:p>
      <w:pPr>
        <w:pStyle w:val="Heading1"/>
        <w:spacing w:after="120" w:before="360"/>
      </w:pPr>
      <w:r>
        <w:rPr>
          <w:rFonts w:ascii="Calibri" w:cs="Calibri" w:eastAsia="Calibri" w:hAnsi="Calibri"/>
          <w:b/>
          <w:bCs/>
          <w:color w:val="1E293B"/>
          <w:sz w:val="34"/>
          <w:szCs w:val="34"/>
        </w:rPr>
        <w:t xml:space="preserve">6. Functional Requirements</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2500"/>
        <w:gridCol w:w="6860"/>
      </w:tblGrid>
      <w:tr>
        <w:trPr>
          <w:tblHeader/>
        </w:trPr>
        <w:tc>
          <w:tcPr>
            <w:tcW w:type="dxa" w:w="25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Requirement</w:t>
            </w:r>
          </w:p>
        </w:tc>
        <w:tc>
          <w:tcPr>
            <w:tcW w:type="dxa" w:w="68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Description</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 Tenant Onboarding</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Create tenant with unique customer_code, tenant_id, and domain; provision default admin; isolate all data by tenant_id.</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FR-2 User &amp; Role Management</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Customer admin creates users and assigns roles; every create/modify/deactivate is captured as an auditable event with actor, timestamp, and target.</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FR-3 Data Ingestion</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Accept Excel/CSV upload and scheduled connector syncs; validate, profile, and stage raw data with lineage back to source and load batch.</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FR-4 Domain Detection</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On ingest, detect domain from column signatures; route to the matching transformation; fall back to the ad hoc playground when confidence is low.</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FR-5 ETL Pipeline</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Run domain-aware transformation on every load; upsert into conformed facts and SCD2 dimensions idempotently; rebuild serving marts.</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FR-6 Data Warehouse</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Persist a star-schema model keyed by tenant_id + domain + customer_code with role-scoping keys on every fact row.</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FR-7 Ad hoc Playground</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Let users name a dataset; profile and store it in a tenant-namespaced generic store; expose it as a dynamic menu item with generic analytics.</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FR-8 Analytics</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Serve KPIs, trends, comparisons, cash flow, cohorts, and distributions from serving marts, adapted to the tenant's domain and currency.</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FR-9 AI Insights</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Grounded narrative summaries, conversational Q&amp;A over the tenant's warehouse, forecasting, and anomaly explanation via the LLM gateway.</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FR-10 Alerts &amp; Notifications</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Threshold and anomaly alerts delivered via email, SMS, WhatsApp, and Slack; per-tenant channel configuration.</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FR-11 RBAC</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Enforce tenant isolation and intra-tenant row/column restriction by role at the query layer, not just the UI.</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FR-12 Billing</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Plan-based subscriptions and metering via Stripe/Razorpay; enforce plan limits (data volume, users, connectors).</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FR-13 Customer Web App</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Next.js application for onboarding, upload, analytics, AI chat, alerts, and account management.</w:t>
            </w:r>
          </w:p>
        </w:tc>
      </w:tr>
      <w:tr>
        <w:tc>
          <w:tcPr>
            <w:tcW w:type="dxa" w:w="25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FR-14 Executive Mobile/PWA</w:t>
            </w:r>
          </w:p>
        </w:tc>
        <w:tc>
          <w:tcPr>
            <w:tcW w:type="dxa" w:w="68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Read-optimized mobile experience for leaders: headline KPIs, alerts, and AI summaries.</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FR-15 Governance &amp; Audit</w:t>
            </w:r>
          </w:p>
        </w:tc>
        <w:tc>
          <w:tcPr>
            <w:tcW w:type="dxa" w:w="6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retention, deletion (DSAR), consent, access logging, and exportable audit trail per tenant.</w:t>
            </w:r>
          </w:p>
        </w:tc>
      </w:tr>
    </w:tbl>
    <w:p>
      <w:pPr>
        <w:pStyle w:val="Heading1"/>
        <w:spacing w:after="120" w:before="360"/>
      </w:pPr>
      <w:r>
        <w:rPr>
          <w:rFonts w:ascii="Calibri" w:cs="Calibri" w:eastAsia="Calibri" w:hAnsi="Calibri"/>
          <w:b/>
          <w:bCs/>
          <w:color w:val="1E293B"/>
          <w:sz w:val="34"/>
          <w:szCs w:val="34"/>
        </w:rPr>
        <w:t xml:space="preserve">7. Non-Functional Requirements</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2200"/>
        <w:gridCol w:w="7160"/>
      </w:tblGrid>
      <w:tr>
        <w:trPr>
          <w:tblHeader/>
        </w:trPr>
        <w:tc>
          <w:tcPr>
            <w:tcW w:type="dxa" w:w="22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Category</w:t>
            </w:r>
          </w:p>
        </w:tc>
        <w:tc>
          <w:tcPr>
            <w:tcW w:type="dxa" w:w="71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Requirement / Target</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Performance</w:t>
            </w:r>
          </w:p>
        </w:tc>
        <w:tc>
          <w:tcPr>
            <w:tcW w:type="dxa" w:w="7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Interactive analytics queries &lt; 2s p95 on serving marts; upload-to-insight &lt; 60s for typical SMB files (≤ 1M rows).</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Scalability</w:t>
            </w:r>
          </w:p>
        </w:tc>
        <w:tc>
          <w:tcPr>
            <w:tcW w:type="dxa" w:w="7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Horizontal scale per service; support 10k tenants without model change; partition facts by tenant_id/domain.</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Availability</w:t>
            </w:r>
          </w:p>
        </w:tc>
        <w:tc>
          <w:tcPr>
            <w:tcW w:type="dxa" w:w="7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99.5% target at launch, 99.9% at enterprise tier; stateless services; managed DB with automated backups.</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Security</w:t>
            </w:r>
          </w:p>
        </w:tc>
        <w:tc>
          <w:tcPr>
            <w:tcW w:type="dxa" w:w="7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Encryption in transit (TLS 1.2+) and at rest; secrets in a vault; least-privilege service accounts; RBAC enforced at data layer.</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Privacy / Compliance</w:t>
            </w:r>
          </w:p>
        </w:tc>
        <w:tc>
          <w:tcPr>
            <w:tcW w:type="dxa" w:w="7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GDPR + CCPA at launch; SOC 2 Type II program in year one; HIPAA/PCI posture as domain demand requires.</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Observability</w:t>
            </w:r>
          </w:p>
        </w:tc>
        <w:tc>
          <w:tcPr>
            <w:tcW w:type="dxa" w:w="7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Centralized logs, metrics, traces; per-tenant usage metering; pipeline run history and data-quality test results.</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Maintainability</w:t>
            </w:r>
          </w:p>
        </w:tc>
        <w:tc>
          <w:tcPr>
            <w:tcW w:type="dxa" w:w="71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Version-controlled transformations (dbt); infrastructure as code; automated tests across ETL, API, and UI.</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Cost efficiency</w:t>
            </w:r>
          </w:p>
        </w:tc>
        <w:tc>
          <w:tcPr>
            <w:tcW w:type="dxa" w:w="71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Scale-to-zero at pre-revenue; per-tenant cost visibility; open-source LLM default with paid BYO option.</w:t>
            </w:r>
          </w:p>
        </w:tc>
      </w:tr>
    </w:tbl>
    <w:p>
      <w:pPr>
        <w:pStyle w:val="Heading1"/>
        <w:spacing w:after="120" w:before="360"/>
      </w:pPr>
      <w:r>
        <w:rPr>
          <w:rFonts w:ascii="Calibri" w:cs="Calibri" w:eastAsia="Calibri" w:hAnsi="Calibri"/>
          <w:b/>
          <w:bCs/>
          <w:color w:val="1E293B"/>
          <w:sz w:val="34"/>
          <w:szCs w:val="34"/>
        </w:rPr>
        <w:t xml:space="preserve">8. Data Governance &amp; Compliance (help requested)</w:t>
      </w:r>
    </w:p>
    <w:p>
      <w:pPr>
        <w:spacing w:after="120" w:line="276"/>
      </w:pPr>
      <w:r>
        <w:rPr>
          <w:rFonts w:ascii="Calibri" w:cs="Calibri" w:eastAsia="Calibri" w:hAnsi="Calibri"/>
          <w:color w:val="1E293B"/>
          <w:sz w:val="21"/>
          <w:szCs w:val="21"/>
        </w:rPr>
        <w:t xml:space="preserve">Governance is a program, not a feature toggle. The platform must provide the technical controls; the company must run the process controls and, for SOC 2 / HIPAA, obtain third-party attestation. Below is what each regime requires and how InsightHub should address it.</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1900"/>
        <w:gridCol w:w="2200"/>
        <w:gridCol w:w="5260"/>
      </w:tblGrid>
      <w:tr>
        <w:trPr>
          <w:tblHeader/>
        </w:trPr>
        <w:tc>
          <w:tcPr>
            <w:tcW w:type="dxa" w:w="19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Regime / Trigger</w:t>
            </w:r>
          </w:p>
        </w:tc>
        <w:tc>
          <w:tcPr>
            <w:tcW w:type="dxa" w:w="22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Applies when</w:t>
            </w:r>
          </w:p>
        </w:tc>
        <w:tc>
          <w:tcPr>
            <w:tcW w:type="dxa" w:w="52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What InsightHub must provide</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GDPR (EU personal data)</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Any EU data subject</w:t>
            </w:r>
          </w:p>
        </w:tc>
        <w:tc>
          <w:tcPr>
            <w:tcW w:type="dxa" w:w="52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Lawful basis, consent capture, data subject access &amp; erasure (DSAR), data processing records, EU data residency option.</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CCPA/CPRA (California)</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California consumers</w:t>
            </w:r>
          </w:p>
        </w:tc>
        <w:tc>
          <w:tcPr>
            <w:tcW w:type="dxa" w:w="52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Do-not-sell, deletion, disclosure — largely present today; extend to full DSAR workflow.</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SOC 2 Type II</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B2B SaaS trust baseline</w:t>
            </w:r>
          </w:p>
        </w:tc>
        <w:tc>
          <w:tcPr>
            <w:tcW w:type="dxa" w:w="52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Security, availability, confidentiality controls + independent audit over a period. This is the credential enterprise buyers ask for first.</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HIPAA (US health)</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Pharmacy/health PHI</w:t>
            </w:r>
          </w:p>
        </w:tc>
        <w:tc>
          <w:tcPr>
            <w:tcW w:type="dxa" w:w="52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BAA with customers, PHI encryption, access controls, audit logging, breach process. Relevant to your pharmacy domain.</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PCI-DSS</w:t>
            </w:r>
          </w:p>
        </w:tc>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Card data</w:t>
            </w:r>
          </w:p>
        </w:tc>
        <w:tc>
          <w:tcPr>
            <w:tcW w:type="dxa" w:w="52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Avoid storing card data — delegate to Stripe/Razorpay (already the case); keep scope minimal.</w:t>
            </w:r>
          </w:p>
        </w:tc>
      </w:tr>
      <w:tr>
        <w:tc>
          <w:tcPr>
            <w:tcW w:type="dxa" w:w="19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Banking / financial</w:t>
            </w:r>
          </w:p>
        </w:tc>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Financial services data</w:t>
            </w:r>
          </w:p>
        </w:tc>
        <w:tc>
          <w:tcPr>
            <w:tcW w:type="dxa" w:w="52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Stronger encryption, key management, segregation, and often in-country residency; treat as enterprise-tier add-on.</w:t>
            </w:r>
          </w:p>
        </w:tc>
      </w:tr>
    </w:tbl>
    <w:p>
      <w:pPr>
        <w:spacing w:after="120"/>
      </w:pPr>
    </w:p>
    <w:tbl>
      <w:tblPr>
        <w:tblW w:type="dxa" w:w="9360"/>
        <w:tblBorders>
          <w:top w:val="single" w:color="2563EB" w:sz="4"/>
          <w:left w:val="single" w:color="2563EB" w:sz="12"/>
          <w:bottom w:val="single" w:color="2563EB" w:sz="4"/>
          <w:right w:val="single" w:color="2563EB" w:sz="4"/>
          <w:insideH w:val="none"/>
          <w:insideV w:val="none"/>
        </w:tblBorders>
      </w:tblPr>
      <w:tblGrid>
        <w:gridCol w:w="9360"/>
      </w:tblGrid>
      <w:tr>
        <w:tc>
          <w:tcPr>
            <w:shd w:fill="EFF6FF" w:color="auto" w:val="clear"/>
            <w:tcMar>
              <w:top w:type="dxa" w:w="100"/>
              <w:left w:type="dxa" w:w="160"/>
              <w:bottom w:type="dxa" w:w="100"/>
              <w:right w:type="dxa" w:w="160"/>
            </w:tcMar>
          </w:tcPr>
          <w:p>
            <w:pPr>
              <w:spacing w:after="60"/>
            </w:pPr>
            <w:r>
              <w:rPr>
                <w:rFonts w:ascii="Calibri" w:cs="Calibri" w:eastAsia="Calibri" w:hAnsi="Calibri"/>
                <w:b/>
                <w:bCs/>
                <w:color w:val="2563EB"/>
                <w:sz w:val="21"/>
                <w:szCs w:val="21"/>
              </w:rPr>
              <w:t xml:space="preserve">Governance recommendation</w:t>
            </w:r>
          </w:p>
          <w:p>
            <w:pPr>
              <w:spacing w:after="40" w:line="264"/>
            </w:pPr>
            <w:r>
              <w:rPr>
                <w:rFonts w:ascii="Calibri" w:cs="Calibri" w:eastAsia="Calibri" w:hAnsi="Calibri"/>
                <w:color w:val="1E293B"/>
                <w:sz w:val="20"/>
                <w:szCs w:val="20"/>
              </w:rPr>
              <w:t xml:space="preserve">1. Build the technical primitives now (they are cheap and reusable): per-tenant encryption, full audit log, DSAR/erasure workflow, retention policies, consent records, access logging. You already have MFA, CCPA deletion, and audit basics — extend them.</w:t>
            </w:r>
          </w:p>
          <w:p>
            <w:pPr>
              <w:spacing w:after="40" w:line="264"/>
            </w:pPr>
            <w:r>
              <w:rPr>
                <w:rFonts w:ascii="Calibri" w:cs="Calibri" w:eastAsia="Calibri" w:hAnsi="Calibri"/>
                <w:color w:val="1E293B"/>
                <w:sz w:val="20"/>
                <w:szCs w:val="20"/>
              </w:rPr>
              <w:t xml:space="preserve">2. Pursue SOC 2 Type II first — it is the universal B2B trust credential and unblocks enterprise sales. Start the control program early; the audit observes a period (often 6–12 months).</w:t>
            </w:r>
          </w:p>
          <w:p>
            <w:pPr>
              <w:spacing w:after="40" w:line="264"/>
            </w:pPr>
            <w:r>
              <w:rPr>
                <w:rFonts w:ascii="Calibri" w:cs="Calibri" w:eastAsia="Calibri" w:hAnsi="Calibri"/>
                <w:color w:val="1E293B"/>
                <w:sz w:val="20"/>
                <w:szCs w:val="20"/>
              </w:rPr>
              <w:t xml:space="preserve">3. Treat HIPAA as a domain-gated capability for pharmacy/health tenants (offer a BAA), and banking-grade controls as an enterprise-tier upsell. Do not carry that compliance weight for every SMB tenant.</w:t>
            </w:r>
          </w:p>
        </w:tc>
      </w:tr>
    </w:tbl>
    <w:p>
      <w:pPr>
        <w:pStyle w:val="Heading1"/>
        <w:spacing w:after="120" w:before="360"/>
      </w:pPr>
      <w:r>
        <w:rPr>
          <w:rFonts w:ascii="Calibri" w:cs="Calibri" w:eastAsia="Calibri" w:hAnsi="Calibri"/>
          <w:b/>
          <w:bCs/>
          <w:color w:val="1E293B"/>
          <w:sz w:val="34"/>
          <w:szCs w:val="34"/>
        </w:rPr>
        <w:t xml:space="preserve">9. Security Framework &amp; Testing Plan (help requested)</w:t>
      </w:r>
    </w:p>
    <w:p>
      <w:pPr>
        <w:pStyle w:val="Heading2"/>
        <w:spacing w:after="80" w:before="240"/>
      </w:pPr>
      <w:r>
        <w:rPr>
          <w:rFonts w:ascii="Calibri" w:cs="Calibri" w:eastAsia="Calibri" w:hAnsi="Calibri"/>
          <w:b/>
          <w:bCs/>
          <w:color w:val="2563EB"/>
          <w:sz w:val="27"/>
          <w:szCs w:val="27"/>
        </w:rPr>
        <w:t xml:space="preserve">9.1 Layered controls</w:t>
      </w:r>
    </w:p>
    <w:p>
      <w:pPr>
        <w:pStyle w:val="ListParagraph"/>
        <w:numPr>
          <w:ilvl w:val="0"/>
          <w:numId w:val="2"/>
        </w:numPr>
        <w:spacing w:after="60" w:line="264"/>
      </w:pPr>
      <w:r>
        <w:rPr>
          <w:rFonts w:ascii="Calibri" w:cs="Calibri" w:eastAsia="Calibri" w:hAnsi="Calibri"/>
          <w:color w:val="1E293B"/>
          <w:sz w:val="21"/>
          <w:szCs w:val="21"/>
        </w:rPr>
        <w:t xml:space="preserve">Identity: SSO (Google already integrated) + MFA (present); enforce strong password + session policies.</w:t>
      </w:r>
    </w:p>
    <w:p>
      <w:pPr>
        <w:pStyle w:val="ListParagraph"/>
        <w:numPr>
          <w:ilvl w:val="0"/>
          <w:numId w:val="2"/>
        </w:numPr>
        <w:spacing w:after="60" w:line="264"/>
      </w:pPr>
      <w:r>
        <w:rPr>
          <w:rFonts w:ascii="Calibri" w:cs="Calibri" w:eastAsia="Calibri" w:hAnsi="Calibri"/>
          <w:color w:val="1E293B"/>
          <w:sz w:val="21"/>
          <w:szCs w:val="21"/>
        </w:rPr>
        <w:t xml:space="preserve">Authorization: RBAC enforced at the data/query layer — every fact query carries tenant_id and role-scoping predicates, not just UI hiding. This is the single most important control for a multi-tenant analytics platform.</w:t>
      </w:r>
    </w:p>
    <w:p>
      <w:pPr>
        <w:pStyle w:val="ListParagraph"/>
        <w:numPr>
          <w:ilvl w:val="0"/>
          <w:numId w:val="2"/>
        </w:numPr>
        <w:spacing w:after="60" w:line="264"/>
      </w:pPr>
      <w:r>
        <w:rPr>
          <w:rFonts w:ascii="Calibri" w:cs="Calibri" w:eastAsia="Calibri" w:hAnsi="Calibri"/>
          <w:color w:val="1E293B"/>
          <w:sz w:val="21"/>
          <w:szCs w:val="21"/>
        </w:rPr>
        <w:t xml:space="preserve">Data isolation: partition and filter by tenant_id everywhere; optional dedicated schema for enterprise; test cross-tenant leakage explicitly.</w:t>
      </w:r>
    </w:p>
    <w:p>
      <w:pPr>
        <w:pStyle w:val="ListParagraph"/>
        <w:numPr>
          <w:ilvl w:val="0"/>
          <w:numId w:val="2"/>
        </w:numPr>
        <w:spacing w:after="60" w:line="264"/>
      </w:pPr>
      <w:r>
        <w:rPr>
          <w:rFonts w:ascii="Calibri" w:cs="Calibri" w:eastAsia="Calibri" w:hAnsi="Calibri"/>
          <w:color w:val="1E293B"/>
          <w:sz w:val="21"/>
          <w:szCs w:val="21"/>
        </w:rPr>
        <w:t xml:space="preserve">Encryption: TLS in transit; at-rest encryption on DB, object storage, and backups; secrets in a managed vault (not .env in production).</w:t>
      </w:r>
    </w:p>
    <w:p>
      <w:pPr>
        <w:pStyle w:val="ListParagraph"/>
        <w:numPr>
          <w:ilvl w:val="0"/>
          <w:numId w:val="2"/>
        </w:numPr>
        <w:spacing w:after="60" w:line="264"/>
      </w:pPr>
      <w:r>
        <w:rPr>
          <w:rFonts w:ascii="Calibri" w:cs="Calibri" w:eastAsia="Calibri" w:hAnsi="Calibri"/>
          <w:color w:val="1E293B"/>
          <w:sz w:val="21"/>
          <w:szCs w:val="21"/>
        </w:rPr>
        <w:t xml:space="preserve">Network: private networking between services; least-privilege service accounts; WAF/DDoS at the edge once public.</w:t>
      </w:r>
    </w:p>
    <w:p>
      <w:pPr>
        <w:pStyle w:val="ListParagraph"/>
        <w:numPr>
          <w:ilvl w:val="0"/>
          <w:numId w:val="2"/>
        </w:numPr>
        <w:spacing w:after="60" w:line="264"/>
      </w:pPr>
      <w:r>
        <w:rPr>
          <w:rFonts w:ascii="Calibri" w:cs="Calibri" w:eastAsia="Calibri" w:hAnsi="Calibri"/>
          <w:color w:val="1E293B"/>
          <w:sz w:val="21"/>
          <w:szCs w:val="21"/>
        </w:rPr>
        <w:t xml:space="preserve">Auditability: immutable, exportable audit log of access and admin actions per tenant.</w:t>
      </w:r>
    </w:p>
    <w:p>
      <w:pPr>
        <w:pStyle w:val="Heading2"/>
        <w:spacing w:after="80" w:before="240"/>
      </w:pPr>
      <w:r>
        <w:rPr>
          <w:rFonts w:ascii="Calibri" w:cs="Calibri" w:eastAsia="Calibri" w:hAnsi="Calibri"/>
          <w:b/>
          <w:bCs/>
          <w:color w:val="2563EB"/>
          <w:sz w:val="27"/>
          <w:szCs w:val="27"/>
        </w:rPr>
        <w:t xml:space="preserve">9.2 Security testing that must be done</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2200"/>
        <w:gridCol w:w="4560"/>
        <w:gridCol w:w="2600"/>
      </w:tblGrid>
      <w:tr>
        <w:trPr>
          <w:tblHeader/>
        </w:trPr>
        <w:tc>
          <w:tcPr>
            <w:tcW w:type="dxa" w:w="22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Test type</w:t>
            </w:r>
          </w:p>
        </w:tc>
        <w:tc>
          <w:tcPr>
            <w:tcW w:type="dxa" w:w="45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Purpose</w:t>
            </w:r>
          </w:p>
        </w:tc>
        <w:tc>
          <w:tcPr>
            <w:tcW w:type="dxa" w:w="26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Cadence</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SAST (static analysis)</w:t>
            </w:r>
          </w:p>
        </w:tc>
        <w:tc>
          <w:tcPr>
            <w:tcW w:type="dxa" w:w="4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Find code-level vulnerabilities in CI</w:t>
            </w:r>
          </w:p>
        </w:tc>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Every PR</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SCA (dependency scanning)</w:t>
            </w:r>
          </w:p>
        </w:tc>
        <w:tc>
          <w:tcPr>
            <w:tcW w:type="dxa" w:w="45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Flag vulnerable/outdated libraries</w:t>
            </w:r>
          </w:p>
        </w:tc>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Continuous</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DAST (dynamic scan)</w:t>
            </w:r>
          </w:p>
        </w:tc>
        <w:tc>
          <w:tcPr>
            <w:tcW w:type="dxa" w:w="4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Probe the running app for OWASP Top 10</w:t>
            </w:r>
          </w:p>
        </w:tc>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Per release</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Multi-tenant isolation tests</w:t>
            </w:r>
          </w:p>
        </w:tc>
        <w:tc>
          <w:tcPr>
            <w:tcW w:type="dxa" w:w="45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Prove tenant A can never read tenant B's data (API + query layer)</w:t>
            </w:r>
          </w:p>
        </w:tc>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Every release (automated)</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RBAC/authorization tests</w:t>
            </w:r>
          </w:p>
        </w:tc>
        <w:tc>
          <w:tcPr>
            <w:tcW w:type="dxa" w:w="4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Verify each role sees only permitted rows/columns</w:t>
            </w:r>
          </w:p>
        </w:tc>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Every release (automated)</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Secrets scanning</w:t>
            </w:r>
          </w:p>
        </w:tc>
        <w:tc>
          <w:tcPr>
            <w:tcW w:type="dxa" w:w="45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Prevent credentials committed to the repo</w:t>
            </w:r>
          </w:p>
        </w:tc>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Every PR</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Penetration test</w:t>
            </w:r>
          </w:p>
        </w:tc>
        <w:tc>
          <w:tcPr>
            <w:tcW w:type="dxa" w:w="4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Independent adversarial assessment</w:t>
            </w:r>
          </w:p>
        </w:tc>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Pre-launch, then annually</w:t>
            </w:r>
          </w:p>
        </w:tc>
      </w:tr>
      <w:tr>
        <w:tc>
          <w:tcPr>
            <w:tcW w:type="dxa" w:w="22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Cloud posture review (CSPM)</w:t>
            </w:r>
          </w:p>
        </w:tc>
        <w:tc>
          <w:tcPr>
            <w:tcW w:type="dxa" w:w="45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Misconfigured buckets, IAM, networking</w:t>
            </w:r>
          </w:p>
        </w:tc>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Continuous</w:t>
            </w:r>
          </w:p>
        </w:tc>
      </w:tr>
    </w:tbl>
    <w:p>
      <w:pPr>
        <w:spacing w:after="120"/>
      </w:pPr>
    </w:p>
    <w:tbl>
      <w:tblPr>
        <w:tblW w:type="dxa" w:w="9360"/>
        <w:tblBorders>
          <w:top w:val="single" w:color="DC2626" w:sz="4"/>
          <w:left w:val="single" w:color="DC2626" w:sz="12"/>
          <w:bottom w:val="single" w:color="DC2626" w:sz="4"/>
          <w:right w:val="single" w:color="DC2626" w:sz="4"/>
          <w:insideH w:val="none"/>
          <w:insideV w:val="none"/>
        </w:tblBorders>
      </w:tblPr>
      <w:tblGrid>
        <w:gridCol w:w="9360"/>
      </w:tblGrid>
      <w:tr>
        <w:tc>
          <w:tcPr>
            <w:shd w:fill="FEF2F2" w:color="auto" w:val="clear"/>
            <w:tcMar>
              <w:top w:type="dxa" w:w="100"/>
              <w:left w:type="dxa" w:w="160"/>
              <w:bottom w:type="dxa" w:w="100"/>
              <w:right w:type="dxa" w:w="160"/>
            </w:tcMar>
          </w:tcPr>
          <w:p>
            <w:pPr>
              <w:spacing w:after="60"/>
            </w:pPr>
            <w:r>
              <w:rPr>
                <w:rFonts w:ascii="Calibri" w:cs="Calibri" w:eastAsia="Calibri" w:hAnsi="Calibri"/>
                <w:b/>
                <w:bCs/>
                <w:color w:val="DC2626"/>
                <w:sz w:val="21"/>
                <w:szCs w:val="21"/>
              </w:rPr>
              <w:t xml:space="preserve">Security recommendation</w:t>
            </w:r>
          </w:p>
          <w:p>
            <w:pPr>
              <w:spacing w:after="40" w:line="264"/>
            </w:pPr>
            <w:r>
              <w:rPr>
                <w:rFonts w:ascii="Calibri" w:cs="Calibri" w:eastAsia="Calibri" w:hAnsi="Calibri"/>
                <w:color w:val="1E293B"/>
                <w:sz w:val="20"/>
                <w:szCs w:val="20"/>
              </w:rPr>
              <w:t xml:space="preserve">The highest-priority, product-specific security work is automated multi-tenant isolation and RBAC tests in CI. For an analytics platform, a cross-tenant data leak is existential. Write these as failing-first tests now and run them on every deploy — you already scoped anomaly detection and AI chat to tenant_id, so extend that discipline into an enforced, tested invariant.</w:t>
            </w:r>
          </w:p>
        </w:tc>
      </w:tr>
    </w:tbl>
    <w:p>
      <w:pPr>
        <w:pStyle w:val="Heading1"/>
        <w:spacing w:after="120" w:before="360"/>
      </w:pPr>
      <w:r>
        <w:rPr>
          <w:rFonts w:ascii="Calibri" w:cs="Calibri" w:eastAsia="Calibri" w:hAnsi="Calibri"/>
          <w:b/>
          <w:bCs/>
          <w:color w:val="1E293B"/>
          <w:sz w:val="34"/>
          <w:szCs w:val="34"/>
        </w:rPr>
        <w:t xml:space="preserve">10. System Performance Plan (plan requested)</w:t>
      </w:r>
    </w:p>
    <w:p>
      <w:pPr>
        <w:pStyle w:val="ListParagraph"/>
        <w:numPr>
          <w:ilvl w:val="0"/>
          <w:numId w:val="2"/>
        </w:numPr>
        <w:spacing w:after="60" w:line="264"/>
      </w:pPr>
      <w:r>
        <w:rPr>
          <w:rFonts w:ascii="Calibri" w:cs="Calibri" w:eastAsia="Calibri" w:hAnsi="Calibri"/>
          <w:color w:val="1E293B"/>
          <w:sz w:val="21"/>
          <w:szCs w:val="21"/>
        </w:rPr>
        <w:t xml:space="preserve">Serve analytics from pre-computed serving marts, not from live joins over the raw fact — rebuild marts as part of ETL so reads are cheap.</w:t>
      </w:r>
    </w:p>
    <w:p>
      <w:pPr>
        <w:pStyle w:val="ListParagraph"/>
        <w:numPr>
          <w:ilvl w:val="0"/>
          <w:numId w:val="2"/>
        </w:numPr>
        <w:spacing w:after="60" w:line="264"/>
      </w:pPr>
      <w:r>
        <w:rPr>
          <w:rFonts w:ascii="Calibri" w:cs="Calibri" w:eastAsia="Calibri" w:hAnsi="Calibri"/>
          <w:color w:val="1E293B"/>
          <w:sz w:val="21"/>
          <w:szCs w:val="21"/>
        </w:rPr>
        <w:t xml:space="preserve">Partition fact tables by tenant_id (and domain) and index on the common filter keys (tenant_id, date, customer_code) to keep per-tenant queries fast as total volume grows.</w:t>
      </w:r>
    </w:p>
    <w:p>
      <w:pPr>
        <w:pStyle w:val="ListParagraph"/>
        <w:numPr>
          <w:ilvl w:val="0"/>
          <w:numId w:val="2"/>
        </w:numPr>
        <w:spacing w:after="60" w:line="264"/>
      </w:pPr>
      <w:r>
        <w:rPr>
          <w:rFonts w:ascii="Calibri" w:cs="Calibri" w:eastAsia="Calibri" w:hAnsi="Calibri"/>
          <w:color w:val="1E293B"/>
          <w:sz w:val="21"/>
          <w:szCs w:val="21"/>
        </w:rPr>
        <w:t xml:space="preserve">Cache expensive aggregates and AI context per tenant (Redis) with invalidation on new loads.</w:t>
      </w:r>
    </w:p>
    <w:p>
      <w:pPr>
        <w:pStyle w:val="ListParagraph"/>
        <w:numPr>
          <w:ilvl w:val="0"/>
          <w:numId w:val="2"/>
        </w:numPr>
        <w:spacing w:after="60" w:line="264"/>
      </w:pPr>
      <w:r>
        <w:rPr>
          <w:rFonts w:ascii="Calibri" w:cs="Calibri" w:eastAsia="Calibri" w:hAnsi="Calibri"/>
          <w:color w:val="1E293B"/>
          <w:sz w:val="21"/>
          <w:szCs w:val="21"/>
        </w:rPr>
        <w:t xml:space="preserve">Keep LLM context lean: feed the model compact serving-mart summaries (your current direct-injection RAG already does this well), not raw rows; use pgvector retrieval only when the question needs row-level lookup.</w:t>
      </w:r>
    </w:p>
    <w:p>
      <w:pPr>
        <w:pStyle w:val="ListParagraph"/>
        <w:numPr>
          <w:ilvl w:val="0"/>
          <w:numId w:val="2"/>
        </w:numPr>
        <w:spacing w:after="60" w:line="264"/>
      </w:pPr>
      <w:r>
        <w:rPr>
          <w:rFonts w:ascii="Calibri" w:cs="Calibri" w:eastAsia="Calibri" w:hAnsi="Calibri"/>
          <w:color w:val="1E293B"/>
          <w:sz w:val="21"/>
          <w:szCs w:val="21"/>
        </w:rPr>
        <w:t xml:space="preserve">Right-size compute: autoscale the API/UI on request concurrency; run ETL as isolated jobs so a heavy load never degrades interactive users.</w:t>
      </w:r>
    </w:p>
    <w:p>
      <w:pPr>
        <w:pStyle w:val="ListParagraph"/>
        <w:numPr>
          <w:ilvl w:val="0"/>
          <w:numId w:val="2"/>
        </w:numPr>
        <w:spacing w:after="60" w:line="264"/>
      </w:pPr>
      <w:r>
        <w:rPr>
          <w:rFonts w:ascii="Calibri" w:cs="Calibri" w:eastAsia="Calibri" w:hAnsi="Calibri"/>
          <w:color w:val="1E293B"/>
          <w:sz w:val="21"/>
          <w:szCs w:val="21"/>
        </w:rPr>
        <w:t xml:space="preserve">Establish SLOs (query p95 &lt; 2s, upload-to-insight &lt; 60s) and load-test against them before each major release.</w:t>
      </w:r>
    </w:p>
    <w:p>
      <w:pPr>
        <w:pStyle w:val="Heading1"/>
        <w:spacing w:after="120" w:before="360"/>
      </w:pPr>
      <w:r>
        <w:rPr>
          <w:rFonts w:ascii="Calibri" w:cs="Calibri" w:eastAsia="Calibri" w:hAnsi="Calibri"/>
          <w:b/>
          <w:bCs/>
          <w:color w:val="1E293B"/>
          <w:sz w:val="34"/>
          <w:szCs w:val="34"/>
        </w:rPr>
        <w:t xml:space="preserve">11. User Stories</w:t>
      </w:r>
    </w:p>
    <w:p>
      <w:pPr>
        <w:spacing w:after="120" w:line="276"/>
      </w:pPr>
      <w:r>
        <w:rPr>
          <w:rFonts w:ascii="Calibri" w:cs="Calibri" w:eastAsia="Calibri" w:hAnsi="Calibri"/>
          <w:color w:val="1E293B"/>
          <w:sz w:val="21"/>
          <w:szCs w:val="21"/>
        </w:rPr>
        <w:t xml:space="preserve">Stories are grouped by epic and written as role–goal–benefit with acceptance criteria (AC). Roles: Platform Admin (you), Customer Admin (tenant owner), Analyst (tenant power user), Executive (view-only leader).</w:t>
      </w:r>
    </w:p>
    <w:p>
      <w:pPr>
        <w:pStyle w:val="Heading2"/>
        <w:spacing w:after="80" w:before="240"/>
      </w:pPr>
      <w:r>
        <w:rPr>
          <w:rFonts w:ascii="Calibri" w:cs="Calibri" w:eastAsia="Calibri" w:hAnsi="Calibri"/>
          <w:b/>
          <w:bCs/>
          <w:color w:val="2563EB"/>
          <w:sz w:val="27"/>
          <w:szCs w:val="27"/>
        </w:rPr>
        <w:t xml:space="preserve">EPIC-A  Onboarding &amp; Tenancy</w:t>
      </w:r>
    </w:p>
    <w:p>
      <w:pPr>
        <w:spacing w:after="120" w:line="276"/>
      </w:pPr>
      <w:r>
        <w:rPr>
          <w:rFonts w:ascii="Calibri" w:cs="Calibri" w:eastAsia="Calibri" w:hAnsi="Calibri"/>
          <w:b/>
          <w:bCs/>
          <w:color w:val="2563EB"/>
          <w:sz w:val="21"/>
          <w:szCs w:val="21"/>
        </w:rPr>
        <w:t xml:space="preserve">US-A1  </w:t>
      </w:r>
      <w:r>
        <w:rPr>
          <w:rFonts w:ascii="Calibri" w:cs="Calibri" w:eastAsia="Calibri" w:hAnsi="Calibri"/>
          <w:b/>
          <w:bCs/>
          <w:color w:val="1E293B"/>
          <w:sz w:val="21"/>
          <w:szCs w:val="21"/>
        </w:rPr>
        <w:t xml:space="preserve">As a Platform Admin, I want to onboard a customer with a unique customer code, tenant id, and domain so their data is isolated and correctly modeled.</w:t>
      </w:r>
    </w:p>
    <w:p>
      <w:pPr>
        <w:pStyle w:val="ListParagraph"/>
        <w:numPr>
          <w:ilvl w:val="0"/>
          <w:numId w:val="2"/>
        </w:numPr>
        <w:spacing w:after="60" w:line="264"/>
      </w:pPr>
      <w:r>
        <w:rPr>
          <w:rFonts w:ascii="Calibri" w:cs="Calibri" w:eastAsia="Calibri" w:hAnsi="Calibri"/>
          <w:color w:val="1E293B"/>
          <w:sz w:val="21"/>
          <w:szCs w:val="21"/>
        </w:rPr>
        <w:t xml:space="preserve">Creating a tenant generates a unique customer_code and tenant_id.</w:t>
      </w:r>
    </w:p>
    <w:p>
      <w:pPr>
        <w:pStyle w:val="ListParagraph"/>
        <w:numPr>
          <w:ilvl w:val="0"/>
          <w:numId w:val="2"/>
        </w:numPr>
        <w:spacing w:after="60" w:line="264"/>
      </w:pPr>
      <w:r>
        <w:rPr>
          <w:rFonts w:ascii="Calibri" w:cs="Calibri" w:eastAsia="Calibri" w:hAnsi="Calibri"/>
          <w:color w:val="1E293B"/>
          <w:sz w:val="21"/>
          <w:szCs w:val="21"/>
        </w:rPr>
        <w:t xml:space="preserve">A domain is assigned (or set to generic) at creation.</w:t>
      </w:r>
    </w:p>
    <w:p>
      <w:pPr>
        <w:pStyle w:val="ListParagraph"/>
        <w:numPr>
          <w:ilvl w:val="0"/>
          <w:numId w:val="2"/>
        </w:numPr>
        <w:spacing w:after="60" w:line="264"/>
      </w:pPr>
      <w:r>
        <w:rPr>
          <w:rFonts w:ascii="Calibri" w:cs="Calibri" w:eastAsia="Calibri" w:hAnsi="Calibri"/>
          <w:color w:val="1E293B"/>
          <w:sz w:val="21"/>
          <w:szCs w:val="21"/>
        </w:rPr>
        <w:t xml:space="preserve">A default Customer Admin user is provisioned.</w:t>
      </w:r>
    </w:p>
    <w:p>
      <w:pPr>
        <w:pStyle w:val="ListParagraph"/>
        <w:numPr>
          <w:ilvl w:val="0"/>
          <w:numId w:val="2"/>
        </w:numPr>
        <w:spacing w:after="60" w:line="264"/>
      </w:pPr>
      <w:r>
        <w:rPr>
          <w:rFonts w:ascii="Calibri" w:cs="Calibri" w:eastAsia="Calibri" w:hAnsi="Calibri"/>
          <w:color w:val="1E293B"/>
          <w:sz w:val="21"/>
          <w:szCs w:val="21"/>
        </w:rPr>
        <w:t xml:space="preserve">All subsequent data is stamped with tenant_id and customer_code.</w:t>
      </w:r>
    </w:p>
    <w:p>
      <w:pPr>
        <w:spacing w:after="40"/>
      </w:pPr>
    </w:p>
    <w:p>
      <w:pPr>
        <w:spacing w:after="120" w:line="276"/>
      </w:pPr>
      <w:r>
        <w:rPr>
          <w:rFonts w:ascii="Calibri" w:cs="Calibri" w:eastAsia="Calibri" w:hAnsi="Calibri"/>
          <w:b/>
          <w:bCs/>
          <w:color w:val="2563EB"/>
          <w:sz w:val="21"/>
          <w:szCs w:val="21"/>
        </w:rPr>
        <w:t xml:space="preserve">US-A2  </w:t>
      </w:r>
      <w:r>
        <w:rPr>
          <w:rFonts w:ascii="Calibri" w:cs="Calibri" w:eastAsia="Calibri" w:hAnsi="Calibri"/>
          <w:b/>
          <w:bCs/>
          <w:color w:val="1E293B"/>
          <w:sz w:val="21"/>
          <w:szCs w:val="21"/>
        </w:rPr>
        <w:t xml:space="preserve">As a Customer Admin, I want to create users and assign roles so my team has appropriate access.</w:t>
      </w:r>
    </w:p>
    <w:p>
      <w:pPr>
        <w:pStyle w:val="ListParagraph"/>
        <w:numPr>
          <w:ilvl w:val="0"/>
          <w:numId w:val="2"/>
        </w:numPr>
        <w:spacing w:after="60" w:line="264"/>
      </w:pPr>
      <w:r>
        <w:rPr>
          <w:rFonts w:ascii="Calibri" w:cs="Calibri" w:eastAsia="Calibri" w:hAnsi="Calibri"/>
          <w:color w:val="1E293B"/>
          <w:sz w:val="21"/>
          <w:szCs w:val="21"/>
        </w:rPr>
        <w:t xml:space="preserve">Admin can invite users and assign a role.</w:t>
      </w:r>
    </w:p>
    <w:p>
      <w:pPr>
        <w:pStyle w:val="ListParagraph"/>
        <w:numPr>
          <w:ilvl w:val="0"/>
          <w:numId w:val="2"/>
        </w:numPr>
        <w:spacing w:after="60" w:line="264"/>
      </w:pPr>
      <w:r>
        <w:rPr>
          <w:rFonts w:ascii="Calibri" w:cs="Calibri" w:eastAsia="Calibri" w:hAnsi="Calibri"/>
          <w:color w:val="1E293B"/>
          <w:sz w:val="21"/>
          <w:szCs w:val="21"/>
        </w:rPr>
        <w:t xml:space="preserve">Each user action is scoped by role.</w:t>
      </w:r>
    </w:p>
    <w:p>
      <w:pPr>
        <w:pStyle w:val="ListParagraph"/>
        <w:numPr>
          <w:ilvl w:val="0"/>
          <w:numId w:val="2"/>
        </w:numPr>
        <w:spacing w:after="60" w:line="264"/>
      </w:pPr>
      <w:r>
        <w:rPr>
          <w:rFonts w:ascii="Calibri" w:cs="Calibri" w:eastAsia="Calibri" w:hAnsi="Calibri"/>
          <w:color w:val="1E293B"/>
          <w:sz w:val="21"/>
          <w:szCs w:val="21"/>
        </w:rPr>
        <w:t xml:space="preserve">Every user create/modify/deactivate is written to the audit log with actor and timestamp.</w:t>
      </w:r>
    </w:p>
    <w:p>
      <w:pPr>
        <w:spacing w:after="40"/>
      </w:pPr>
    </w:p>
    <w:p>
      <w:pPr>
        <w:pStyle w:val="Heading2"/>
        <w:spacing w:after="80" w:before="240"/>
      </w:pPr>
      <w:r>
        <w:rPr>
          <w:rFonts w:ascii="Calibri" w:cs="Calibri" w:eastAsia="Calibri" w:hAnsi="Calibri"/>
          <w:b/>
          <w:bCs/>
          <w:color w:val="2563EB"/>
          <w:sz w:val="27"/>
          <w:szCs w:val="27"/>
        </w:rPr>
        <w:t xml:space="preserve">EPIC-B  Ingestion &amp; ETL</w:t>
      </w:r>
    </w:p>
    <w:p>
      <w:pPr>
        <w:spacing w:after="120" w:line="276"/>
      </w:pPr>
      <w:r>
        <w:rPr>
          <w:rFonts w:ascii="Calibri" w:cs="Calibri" w:eastAsia="Calibri" w:hAnsi="Calibri"/>
          <w:b/>
          <w:bCs/>
          <w:color w:val="2563EB"/>
          <w:sz w:val="21"/>
          <w:szCs w:val="21"/>
        </w:rPr>
        <w:t xml:space="preserve">US-B1  </w:t>
      </w:r>
      <w:r>
        <w:rPr>
          <w:rFonts w:ascii="Calibri" w:cs="Calibri" w:eastAsia="Calibri" w:hAnsi="Calibri"/>
          <w:b/>
          <w:bCs/>
          <w:color w:val="1E293B"/>
          <w:sz w:val="21"/>
          <w:szCs w:val="21"/>
        </w:rPr>
        <w:t xml:space="preserve">As an Analyst, I want to upload an Excel/CSV file and have the platform detect the domain and transform it automatically so I get tuned analytics without setup.</w:t>
      </w:r>
    </w:p>
    <w:p>
      <w:pPr>
        <w:pStyle w:val="ListParagraph"/>
        <w:numPr>
          <w:ilvl w:val="0"/>
          <w:numId w:val="2"/>
        </w:numPr>
        <w:spacing w:after="60" w:line="264"/>
      </w:pPr>
      <w:r>
        <w:rPr>
          <w:rFonts w:ascii="Calibri" w:cs="Calibri" w:eastAsia="Calibri" w:hAnsi="Calibri"/>
          <w:color w:val="1E293B"/>
          <w:sz w:val="21"/>
          <w:szCs w:val="21"/>
        </w:rPr>
        <w:t xml:space="preserve">Upload accepts .xlsx/.xls/.csv.</w:t>
      </w:r>
    </w:p>
    <w:p>
      <w:pPr>
        <w:pStyle w:val="ListParagraph"/>
        <w:numPr>
          <w:ilvl w:val="0"/>
          <w:numId w:val="2"/>
        </w:numPr>
        <w:spacing w:after="60" w:line="264"/>
      </w:pPr>
      <w:r>
        <w:rPr>
          <w:rFonts w:ascii="Calibri" w:cs="Calibri" w:eastAsia="Calibri" w:hAnsi="Calibri"/>
          <w:color w:val="1E293B"/>
          <w:sz w:val="21"/>
          <w:szCs w:val="21"/>
        </w:rPr>
        <w:t xml:space="preserve">Domain is detected from columns; low confidence routes to the playground.</w:t>
      </w:r>
    </w:p>
    <w:p>
      <w:pPr>
        <w:pStyle w:val="ListParagraph"/>
        <w:numPr>
          <w:ilvl w:val="0"/>
          <w:numId w:val="2"/>
        </w:numPr>
        <w:spacing w:after="60" w:line="264"/>
      </w:pPr>
      <w:r>
        <w:rPr>
          <w:rFonts w:ascii="Calibri" w:cs="Calibri" w:eastAsia="Calibri" w:hAnsi="Calibri"/>
          <w:color w:val="1E293B"/>
          <w:sz w:val="21"/>
          <w:szCs w:val="21"/>
        </w:rPr>
        <w:t xml:space="preserve">ETL runs automatically and loads the warehouse.</w:t>
      </w:r>
    </w:p>
    <w:p>
      <w:pPr>
        <w:pStyle w:val="ListParagraph"/>
        <w:numPr>
          <w:ilvl w:val="0"/>
          <w:numId w:val="2"/>
        </w:numPr>
        <w:spacing w:after="60" w:line="264"/>
      </w:pPr>
      <w:r>
        <w:rPr>
          <w:rFonts w:ascii="Calibri" w:cs="Calibri" w:eastAsia="Calibri" w:hAnsi="Calibri"/>
          <w:color w:val="1E293B"/>
          <w:sz w:val="21"/>
          <w:szCs w:val="21"/>
        </w:rPr>
        <w:t xml:space="preserve">I am taken to the analysis view on success.</w:t>
      </w:r>
    </w:p>
    <w:p>
      <w:pPr>
        <w:spacing w:after="40"/>
      </w:pPr>
    </w:p>
    <w:p>
      <w:pPr>
        <w:spacing w:after="120" w:line="276"/>
      </w:pPr>
      <w:r>
        <w:rPr>
          <w:rFonts w:ascii="Calibri" w:cs="Calibri" w:eastAsia="Calibri" w:hAnsi="Calibri"/>
          <w:b/>
          <w:bCs/>
          <w:color w:val="2563EB"/>
          <w:sz w:val="21"/>
          <w:szCs w:val="21"/>
        </w:rPr>
        <w:t xml:space="preserve">US-B2  </w:t>
      </w:r>
      <w:r>
        <w:rPr>
          <w:rFonts w:ascii="Calibri" w:cs="Calibri" w:eastAsia="Calibri" w:hAnsi="Calibri"/>
          <w:b/>
          <w:bCs/>
          <w:color w:val="1E293B"/>
          <w:sz w:val="21"/>
          <w:szCs w:val="21"/>
        </w:rPr>
        <w:t xml:space="preserve">As an Analyst, I want to connect a source (POS/e-commerce/accounting) on a schedule so data stays current without manual uploads.</w:t>
      </w:r>
    </w:p>
    <w:p>
      <w:pPr>
        <w:pStyle w:val="ListParagraph"/>
        <w:numPr>
          <w:ilvl w:val="0"/>
          <w:numId w:val="2"/>
        </w:numPr>
        <w:spacing w:after="60" w:line="264"/>
      </w:pPr>
      <w:r>
        <w:rPr>
          <w:rFonts w:ascii="Calibri" w:cs="Calibri" w:eastAsia="Calibri" w:hAnsi="Calibri"/>
          <w:color w:val="1E293B"/>
          <w:sz w:val="21"/>
          <w:szCs w:val="21"/>
        </w:rPr>
        <w:t xml:space="preserve">I can configure a connector and sync frequency.</w:t>
      </w:r>
    </w:p>
    <w:p>
      <w:pPr>
        <w:pStyle w:val="ListParagraph"/>
        <w:numPr>
          <w:ilvl w:val="0"/>
          <w:numId w:val="2"/>
        </w:numPr>
        <w:spacing w:after="60" w:line="264"/>
      </w:pPr>
      <w:r>
        <w:rPr>
          <w:rFonts w:ascii="Calibri" w:cs="Calibri" w:eastAsia="Calibri" w:hAnsi="Calibri"/>
          <w:color w:val="1E293B"/>
          <w:sz w:val="21"/>
          <w:szCs w:val="21"/>
        </w:rPr>
        <w:t xml:space="preserve">Scheduled syncs run the same ETL as uploads.</w:t>
      </w:r>
    </w:p>
    <w:p>
      <w:pPr>
        <w:pStyle w:val="ListParagraph"/>
        <w:numPr>
          <w:ilvl w:val="0"/>
          <w:numId w:val="2"/>
        </w:numPr>
        <w:spacing w:after="60" w:line="264"/>
      </w:pPr>
      <w:r>
        <w:rPr>
          <w:rFonts w:ascii="Calibri" w:cs="Calibri" w:eastAsia="Calibri" w:hAnsi="Calibri"/>
          <w:color w:val="1E293B"/>
          <w:sz w:val="21"/>
          <w:szCs w:val="21"/>
        </w:rPr>
        <w:t xml:space="preserve">Sync failures are surfaced and retried.</w:t>
      </w:r>
    </w:p>
    <w:p>
      <w:pPr>
        <w:spacing w:after="40"/>
      </w:pPr>
    </w:p>
    <w:p>
      <w:pPr>
        <w:spacing w:after="120" w:line="276"/>
      </w:pPr>
      <w:r>
        <w:rPr>
          <w:rFonts w:ascii="Calibri" w:cs="Calibri" w:eastAsia="Calibri" w:hAnsi="Calibri"/>
          <w:b/>
          <w:bCs/>
          <w:color w:val="2563EB"/>
          <w:sz w:val="21"/>
          <w:szCs w:val="21"/>
        </w:rPr>
        <w:t xml:space="preserve">US-B3  </w:t>
      </w:r>
      <w:r>
        <w:rPr>
          <w:rFonts w:ascii="Calibri" w:cs="Calibri" w:eastAsia="Calibri" w:hAnsi="Calibri"/>
          <w:b/>
          <w:bCs/>
          <w:color w:val="1E293B"/>
          <w:sz w:val="21"/>
          <w:szCs w:val="21"/>
        </w:rPr>
        <w:t xml:space="preserve">As an Analyst, I want re-uploading the same data to update history rather than duplicate it so my trends stay correct.</w:t>
      </w:r>
    </w:p>
    <w:p>
      <w:pPr>
        <w:pStyle w:val="ListParagraph"/>
        <w:numPr>
          <w:ilvl w:val="0"/>
          <w:numId w:val="2"/>
        </w:numPr>
        <w:spacing w:after="60" w:line="264"/>
      </w:pPr>
      <w:r>
        <w:rPr>
          <w:rFonts w:ascii="Calibri" w:cs="Calibri" w:eastAsia="Calibri" w:hAnsi="Calibri"/>
          <w:color w:val="1E293B"/>
          <w:sz w:val="21"/>
          <w:szCs w:val="21"/>
        </w:rPr>
        <w:t xml:space="preserve">Unchanged rows are a no-op (idempotent load).</w:t>
      </w:r>
    </w:p>
    <w:p>
      <w:pPr>
        <w:pStyle w:val="ListParagraph"/>
        <w:numPr>
          <w:ilvl w:val="0"/>
          <w:numId w:val="2"/>
        </w:numPr>
        <w:spacing w:after="60" w:line="264"/>
      </w:pPr>
      <w:r>
        <w:rPr>
          <w:rFonts w:ascii="Calibri" w:cs="Calibri" w:eastAsia="Calibri" w:hAnsi="Calibri"/>
          <w:color w:val="1E293B"/>
          <w:sz w:val="21"/>
          <w:szCs w:val="21"/>
        </w:rPr>
        <w:t xml:space="preserve">Changed dimension values create a new SCD2 version.</w:t>
      </w:r>
    </w:p>
    <w:p>
      <w:pPr>
        <w:pStyle w:val="ListParagraph"/>
        <w:numPr>
          <w:ilvl w:val="0"/>
          <w:numId w:val="2"/>
        </w:numPr>
        <w:spacing w:after="60" w:line="264"/>
      </w:pPr>
      <w:r>
        <w:rPr>
          <w:rFonts w:ascii="Calibri" w:cs="Calibri" w:eastAsia="Calibri" w:hAnsi="Calibri"/>
          <w:color w:val="1E293B"/>
          <w:sz w:val="21"/>
          <w:szCs w:val="21"/>
        </w:rPr>
        <w:t xml:space="preserve">No duplicate facts are created.</w:t>
      </w:r>
    </w:p>
    <w:p>
      <w:pPr>
        <w:spacing w:after="40"/>
      </w:pPr>
    </w:p>
    <w:p>
      <w:pPr>
        <w:pStyle w:val="Heading2"/>
        <w:spacing w:after="80" w:before="240"/>
      </w:pPr>
      <w:r>
        <w:rPr>
          <w:rFonts w:ascii="Calibri" w:cs="Calibri" w:eastAsia="Calibri" w:hAnsi="Calibri"/>
          <w:b/>
          <w:bCs/>
          <w:color w:val="2563EB"/>
          <w:sz w:val="27"/>
          <w:szCs w:val="27"/>
        </w:rPr>
        <w:t xml:space="preserve">EPIC-C  Ad hoc Playground</w:t>
      </w:r>
    </w:p>
    <w:p>
      <w:pPr>
        <w:spacing w:after="120" w:line="276"/>
      </w:pPr>
      <w:r>
        <w:rPr>
          <w:rFonts w:ascii="Calibri" w:cs="Calibri" w:eastAsia="Calibri" w:hAnsi="Calibri"/>
          <w:b/>
          <w:bCs/>
          <w:color w:val="2563EB"/>
          <w:sz w:val="21"/>
          <w:szCs w:val="21"/>
        </w:rPr>
        <w:t xml:space="preserve">US-C1  </w:t>
      </w:r>
      <w:r>
        <w:rPr>
          <w:rFonts w:ascii="Calibri" w:cs="Calibri" w:eastAsia="Calibri" w:hAnsi="Calibri"/>
          <w:b/>
          <w:bCs/>
          <w:color w:val="1E293B"/>
          <w:sz w:val="21"/>
          <w:szCs w:val="21"/>
        </w:rPr>
        <w:t xml:space="preserve">As an Analyst, I want to name and analyze data that fits no known domain so I still get insight from any dataset.</w:t>
      </w:r>
    </w:p>
    <w:p>
      <w:pPr>
        <w:pStyle w:val="ListParagraph"/>
        <w:numPr>
          <w:ilvl w:val="0"/>
          <w:numId w:val="2"/>
        </w:numPr>
        <w:spacing w:after="60" w:line="264"/>
      </w:pPr>
      <w:r>
        <w:rPr>
          <w:rFonts w:ascii="Calibri" w:cs="Calibri" w:eastAsia="Calibri" w:hAnsi="Calibri"/>
          <w:color w:val="1E293B"/>
          <w:sz w:val="21"/>
          <w:szCs w:val="21"/>
        </w:rPr>
        <w:t xml:space="preserve">I can name the dataset on upload.</w:t>
      </w:r>
    </w:p>
    <w:p>
      <w:pPr>
        <w:pStyle w:val="ListParagraph"/>
        <w:numPr>
          <w:ilvl w:val="0"/>
          <w:numId w:val="2"/>
        </w:numPr>
        <w:spacing w:after="60" w:line="264"/>
      </w:pPr>
      <w:r>
        <w:rPr>
          <w:rFonts w:ascii="Calibri" w:cs="Calibri" w:eastAsia="Calibri" w:hAnsi="Calibri"/>
          <w:color w:val="1E293B"/>
          <w:sz w:val="21"/>
          <w:szCs w:val="21"/>
        </w:rPr>
        <w:t xml:space="preserve">The system profiles columns and stores it tenant-namespaced.</w:t>
      </w:r>
    </w:p>
    <w:p>
      <w:pPr>
        <w:pStyle w:val="ListParagraph"/>
        <w:numPr>
          <w:ilvl w:val="0"/>
          <w:numId w:val="2"/>
        </w:numPr>
        <w:spacing w:after="60" w:line="264"/>
      </w:pPr>
      <w:r>
        <w:rPr>
          <w:rFonts w:ascii="Calibri" w:cs="Calibri" w:eastAsia="Calibri" w:hAnsi="Calibri"/>
          <w:color w:val="1E293B"/>
          <w:sz w:val="21"/>
          <w:szCs w:val="21"/>
        </w:rPr>
        <w:t xml:space="preserve">A menu item appears under my chosen name.</w:t>
      </w:r>
    </w:p>
    <w:p>
      <w:pPr>
        <w:pStyle w:val="ListParagraph"/>
        <w:numPr>
          <w:ilvl w:val="0"/>
          <w:numId w:val="2"/>
        </w:numPr>
        <w:spacing w:after="60" w:line="264"/>
      </w:pPr>
      <w:r>
        <w:rPr>
          <w:rFonts w:ascii="Calibri" w:cs="Calibri" w:eastAsia="Calibri" w:hAnsi="Calibri"/>
          <w:color w:val="1E293B"/>
          <w:sz w:val="21"/>
          <w:szCs w:val="21"/>
        </w:rPr>
        <w:t xml:space="preserve">Generic analytics and AI Q&amp;A work against it.</w:t>
      </w:r>
    </w:p>
    <w:p>
      <w:pPr>
        <w:spacing w:after="40"/>
      </w:pPr>
    </w:p>
    <w:p>
      <w:pPr>
        <w:pStyle w:val="Heading2"/>
        <w:spacing w:after="80" w:before="240"/>
      </w:pPr>
      <w:r>
        <w:rPr>
          <w:rFonts w:ascii="Calibri" w:cs="Calibri" w:eastAsia="Calibri" w:hAnsi="Calibri"/>
          <w:b/>
          <w:bCs/>
          <w:color w:val="2563EB"/>
          <w:sz w:val="27"/>
          <w:szCs w:val="27"/>
        </w:rPr>
        <w:t xml:space="preserve">EPIC-D  Analytics &amp; AI</w:t>
      </w:r>
    </w:p>
    <w:p>
      <w:pPr>
        <w:spacing w:after="120" w:line="276"/>
      </w:pPr>
      <w:r>
        <w:rPr>
          <w:rFonts w:ascii="Calibri" w:cs="Calibri" w:eastAsia="Calibri" w:hAnsi="Calibri"/>
          <w:b/>
          <w:bCs/>
          <w:color w:val="2563EB"/>
          <w:sz w:val="21"/>
          <w:szCs w:val="21"/>
        </w:rPr>
        <w:t xml:space="preserve">US-D1  </w:t>
      </w:r>
      <w:r>
        <w:rPr>
          <w:rFonts w:ascii="Calibri" w:cs="Calibri" w:eastAsia="Calibri" w:hAnsi="Calibri"/>
          <w:b/>
          <w:bCs/>
          <w:color w:val="1E293B"/>
          <w:sz w:val="21"/>
          <w:szCs w:val="21"/>
        </w:rPr>
        <w:t xml:space="preserve">As an Analyst, I want domain-adapted KPIs, trends, and comparisons so the numbers speak my business's language.</w:t>
      </w:r>
    </w:p>
    <w:p>
      <w:pPr>
        <w:pStyle w:val="ListParagraph"/>
        <w:numPr>
          <w:ilvl w:val="0"/>
          <w:numId w:val="2"/>
        </w:numPr>
        <w:spacing w:after="60" w:line="264"/>
      </w:pPr>
      <w:r>
        <w:rPr>
          <w:rFonts w:ascii="Calibri" w:cs="Calibri" w:eastAsia="Calibri" w:hAnsi="Calibri"/>
          <w:color w:val="1E293B"/>
          <w:sz w:val="21"/>
          <w:szCs w:val="21"/>
        </w:rPr>
        <w:t xml:space="preserve">KPI labels, units, and tabs reflect the tenant's domain.</w:t>
      </w:r>
    </w:p>
    <w:p>
      <w:pPr>
        <w:pStyle w:val="ListParagraph"/>
        <w:numPr>
          <w:ilvl w:val="0"/>
          <w:numId w:val="2"/>
        </w:numPr>
        <w:spacing w:after="60" w:line="264"/>
      </w:pPr>
      <w:r>
        <w:rPr>
          <w:rFonts w:ascii="Calibri" w:cs="Calibri" w:eastAsia="Calibri" w:hAnsi="Calibri"/>
          <w:color w:val="1E293B"/>
          <w:sz w:val="21"/>
          <w:szCs w:val="21"/>
        </w:rPr>
        <w:t xml:space="preserve">Currency follows the tenant's configuration.</w:t>
      </w:r>
    </w:p>
    <w:p>
      <w:pPr>
        <w:pStyle w:val="ListParagraph"/>
        <w:numPr>
          <w:ilvl w:val="0"/>
          <w:numId w:val="2"/>
        </w:numPr>
        <w:spacing w:after="60" w:line="264"/>
      </w:pPr>
      <w:r>
        <w:rPr>
          <w:rFonts w:ascii="Calibri" w:cs="Calibri" w:eastAsia="Calibri" w:hAnsi="Calibri"/>
          <w:color w:val="1E293B"/>
          <w:sz w:val="21"/>
          <w:szCs w:val="21"/>
        </w:rPr>
        <w:t xml:space="preserve">Analytics read from serving marts.</w:t>
      </w:r>
    </w:p>
    <w:p>
      <w:pPr>
        <w:spacing w:after="40"/>
      </w:pPr>
    </w:p>
    <w:p>
      <w:pPr>
        <w:spacing w:after="120" w:line="276"/>
      </w:pPr>
      <w:r>
        <w:rPr>
          <w:rFonts w:ascii="Calibri" w:cs="Calibri" w:eastAsia="Calibri" w:hAnsi="Calibri"/>
          <w:b/>
          <w:bCs/>
          <w:color w:val="2563EB"/>
          <w:sz w:val="21"/>
          <w:szCs w:val="21"/>
        </w:rPr>
        <w:t xml:space="preserve">US-D2  </w:t>
      </w:r>
      <w:r>
        <w:rPr>
          <w:rFonts w:ascii="Calibri" w:cs="Calibri" w:eastAsia="Calibri" w:hAnsi="Calibri"/>
          <w:b/>
          <w:bCs/>
          <w:color w:val="1E293B"/>
          <w:sz w:val="21"/>
          <w:szCs w:val="21"/>
        </w:rPr>
        <w:t xml:space="preserve">As an Analyst, I want to ask questions about my data in plain language and get grounded answers so I do not need SQL.</w:t>
      </w:r>
    </w:p>
    <w:p>
      <w:pPr>
        <w:pStyle w:val="ListParagraph"/>
        <w:numPr>
          <w:ilvl w:val="0"/>
          <w:numId w:val="2"/>
        </w:numPr>
        <w:spacing w:after="60" w:line="264"/>
      </w:pPr>
      <w:r>
        <w:rPr>
          <w:rFonts w:ascii="Calibri" w:cs="Calibri" w:eastAsia="Calibri" w:hAnsi="Calibri"/>
          <w:color w:val="1E293B"/>
          <w:sz w:val="21"/>
          <w:szCs w:val="21"/>
        </w:rPr>
        <w:t xml:space="preserve">AI answers are grounded in the tenant's warehouse only.</w:t>
      </w:r>
    </w:p>
    <w:p>
      <w:pPr>
        <w:pStyle w:val="ListParagraph"/>
        <w:numPr>
          <w:ilvl w:val="0"/>
          <w:numId w:val="2"/>
        </w:numPr>
        <w:spacing w:after="60" w:line="264"/>
      </w:pPr>
      <w:r>
        <w:rPr>
          <w:rFonts w:ascii="Calibri" w:cs="Calibri" w:eastAsia="Calibri" w:hAnsi="Calibri"/>
          <w:color w:val="1E293B"/>
          <w:sz w:val="21"/>
          <w:szCs w:val="21"/>
        </w:rPr>
        <w:t xml:space="preserve">Answers never reference other tenants' data.</w:t>
      </w:r>
    </w:p>
    <w:p>
      <w:pPr>
        <w:pStyle w:val="ListParagraph"/>
        <w:numPr>
          <w:ilvl w:val="0"/>
          <w:numId w:val="2"/>
        </w:numPr>
        <w:spacing w:after="60" w:line="264"/>
      </w:pPr>
      <w:r>
        <w:rPr>
          <w:rFonts w:ascii="Calibri" w:cs="Calibri" w:eastAsia="Calibri" w:hAnsi="Calibri"/>
          <w:color w:val="1E293B"/>
          <w:sz w:val="21"/>
          <w:szCs w:val="21"/>
        </w:rPr>
        <w:t xml:space="preserve">I can choose the default open model or my own paid provider key.</w:t>
      </w:r>
    </w:p>
    <w:p>
      <w:pPr>
        <w:spacing w:after="40"/>
      </w:pPr>
    </w:p>
    <w:p>
      <w:pPr>
        <w:spacing w:after="120" w:line="276"/>
      </w:pPr>
      <w:r>
        <w:rPr>
          <w:rFonts w:ascii="Calibri" w:cs="Calibri" w:eastAsia="Calibri" w:hAnsi="Calibri"/>
          <w:b/>
          <w:bCs/>
          <w:color w:val="2563EB"/>
          <w:sz w:val="21"/>
          <w:szCs w:val="21"/>
        </w:rPr>
        <w:t xml:space="preserve">US-D3  </w:t>
      </w:r>
      <w:r>
        <w:rPr>
          <w:rFonts w:ascii="Calibri" w:cs="Calibri" w:eastAsia="Calibri" w:hAnsi="Calibri"/>
          <w:b/>
          <w:bCs/>
          <w:color w:val="1E293B"/>
          <w:sz w:val="21"/>
          <w:szCs w:val="21"/>
        </w:rPr>
        <w:t xml:space="preserve">As an Executive, I want proactive alerts when something important changes so I act without logging in.</w:t>
      </w:r>
    </w:p>
    <w:p>
      <w:pPr>
        <w:pStyle w:val="ListParagraph"/>
        <w:numPr>
          <w:ilvl w:val="0"/>
          <w:numId w:val="2"/>
        </w:numPr>
        <w:spacing w:after="60" w:line="264"/>
      </w:pPr>
      <w:r>
        <w:rPr>
          <w:rFonts w:ascii="Calibri" w:cs="Calibri" w:eastAsia="Calibri" w:hAnsi="Calibri"/>
          <w:color w:val="1E293B"/>
          <w:sz w:val="21"/>
          <w:szCs w:val="21"/>
        </w:rPr>
        <w:t xml:space="preserve">Threshold and anomaly alerts fire per my configuration.</w:t>
      </w:r>
    </w:p>
    <w:p>
      <w:pPr>
        <w:pStyle w:val="ListParagraph"/>
        <w:numPr>
          <w:ilvl w:val="0"/>
          <w:numId w:val="2"/>
        </w:numPr>
        <w:spacing w:after="60" w:line="264"/>
      </w:pPr>
      <w:r>
        <w:rPr>
          <w:rFonts w:ascii="Calibri" w:cs="Calibri" w:eastAsia="Calibri" w:hAnsi="Calibri"/>
          <w:color w:val="1E293B"/>
          <w:sz w:val="21"/>
          <w:szCs w:val="21"/>
        </w:rPr>
        <w:t xml:space="preserve">Delivered via my chosen channel (email/SMS/WhatsApp/Slack).</w:t>
      </w:r>
    </w:p>
    <w:p>
      <w:pPr>
        <w:pStyle w:val="ListParagraph"/>
        <w:numPr>
          <w:ilvl w:val="0"/>
          <w:numId w:val="2"/>
        </w:numPr>
        <w:spacing w:after="60" w:line="264"/>
      </w:pPr>
      <w:r>
        <w:rPr>
          <w:rFonts w:ascii="Calibri" w:cs="Calibri" w:eastAsia="Calibri" w:hAnsi="Calibri"/>
          <w:color w:val="1E293B"/>
          <w:sz w:val="21"/>
          <w:szCs w:val="21"/>
        </w:rPr>
        <w:t xml:space="preserve">Alerts are scoped to my tenant.</w:t>
      </w:r>
    </w:p>
    <w:p>
      <w:pPr>
        <w:spacing w:after="40"/>
      </w:pPr>
    </w:p>
    <w:p>
      <w:pPr>
        <w:pStyle w:val="Heading2"/>
        <w:spacing w:after="80" w:before="240"/>
      </w:pPr>
      <w:r>
        <w:rPr>
          <w:rFonts w:ascii="Calibri" w:cs="Calibri" w:eastAsia="Calibri" w:hAnsi="Calibri"/>
          <w:b/>
          <w:bCs/>
          <w:color w:val="2563EB"/>
          <w:sz w:val="27"/>
          <w:szCs w:val="27"/>
        </w:rPr>
        <w:t xml:space="preserve">EPIC-E  Governance, Security &amp; Access</w:t>
      </w:r>
    </w:p>
    <w:p>
      <w:pPr>
        <w:spacing w:after="120" w:line="276"/>
      </w:pPr>
      <w:r>
        <w:rPr>
          <w:rFonts w:ascii="Calibri" w:cs="Calibri" w:eastAsia="Calibri" w:hAnsi="Calibri"/>
          <w:b/>
          <w:bCs/>
          <w:color w:val="2563EB"/>
          <w:sz w:val="21"/>
          <w:szCs w:val="21"/>
        </w:rPr>
        <w:t xml:space="preserve">US-E1  </w:t>
      </w:r>
      <w:r>
        <w:rPr>
          <w:rFonts w:ascii="Calibri" w:cs="Calibri" w:eastAsia="Calibri" w:hAnsi="Calibri"/>
          <w:b/>
          <w:bCs/>
          <w:color w:val="1E293B"/>
          <w:sz w:val="21"/>
          <w:szCs w:val="21"/>
        </w:rPr>
        <w:t xml:space="preserve">As a Customer Admin, I want role-based restrictions inside my tenant so a branch manager sees only their branch.</w:t>
      </w:r>
    </w:p>
    <w:p>
      <w:pPr>
        <w:pStyle w:val="ListParagraph"/>
        <w:numPr>
          <w:ilvl w:val="0"/>
          <w:numId w:val="2"/>
        </w:numPr>
        <w:spacing w:after="60" w:line="264"/>
      </w:pPr>
      <w:r>
        <w:rPr>
          <w:rFonts w:ascii="Calibri" w:cs="Calibri" w:eastAsia="Calibri" w:hAnsi="Calibri"/>
          <w:color w:val="1E293B"/>
          <w:sz w:val="21"/>
          <w:szCs w:val="21"/>
        </w:rPr>
        <w:t xml:space="preserve">Row/column restrictions enforced at the query layer.</w:t>
      </w:r>
    </w:p>
    <w:p>
      <w:pPr>
        <w:pStyle w:val="ListParagraph"/>
        <w:numPr>
          <w:ilvl w:val="0"/>
          <w:numId w:val="2"/>
        </w:numPr>
        <w:spacing w:after="60" w:line="264"/>
      </w:pPr>
      <w:r>
        <w:rPr>
          <w:rFonts w:ascii="Calibri" w:cs="Calibri" w:eastAsia="Calibri" w:hAnsi="Calibri"/>
          <w:color w:val="1E293B"/>
          <w:sz w:val="21"/>
          <w:szCs w:val="21"/>
        </w:rPr>
        <w:t xml:space="preserve">UI reflects the same restrictions.</w:t>
      </w:r>
    </w:p>
    <w:p>
      <w:pPr>
        <w:pStyle w:val="ListParagraph"/>
        <w:numPr>
          <w:ilvl w:val="0"/>
          <w:numId w:val="2"/>
        </w:numPr>
        <w:spacing w:after="60" w:line="264"/>
      </w:pPr>
      <w:r>
        <w:rPr>
          <w:rFonts w:ascii="Calibri" w:cs="Calibri" w:eastAsia="Calibri" w:hAnsi="Calibri"/>
          <w:color w:val="1E293B"/>
          <w:sz w:val="21"/>
          <w:szCs w:val="21"/>
        </w:rPr>
        <w:t xml:space="preserve">Attempts to exceed scope are denied and logged.</w:t>
      </w:r>
    </w:p>
    <w:p>
      <w:pPr>
        <w:spacing w:after="40"/>
      </w:pPr>
    </w:p>
    <w:p>
      <w:pPr>
        <w:spacing w:after="120" w:line="276"/>
      </w:pPr>
      <w:r>
        <w:rPr>
          <w:rFonts w:ascii="Calibri" w:cs="Calibri" w:eastAsia="Calibri" w:hAnsi="Calibri"/>
          <w:b/>
          <w:bCs/>
          <w:color w:val="2563EB"/>
          <w:sz w:val="21"/>
          <w:szCs w:val="21"/>
        </w:rPr>
        <w:t xml:space="preserve">US-E2  </w:t>
      </w:r>
      <w:r>
        <w:rPr>
          <w:rFonts w:ascii="Calibri" w:cs="Calibri" w:eastAsia="Calibri" w:hAnsi="Calibri"/>
          <w:b/>
          <w:bCs/>
          <w:color w:val="1E293B"/>
          <w:sz w:val="21"/>
          <w:szCs w:val="21"/>
        </w:rPr>
        <w:t xml:space="preserve">As a Customer Admin, I want to export an audit trail and request data deletion so I can meet my compliance duties.</w:t>
      </w:r>
    </w:p>
    <w:p>
      <w:pPr>
        <w:pStyle w:val="ListParagraph"/>
        <w:numPr>
          <w:ilvl w:val="0"/>
          <w:numId w:val="2"/>
        </w:numPr>
        <w:spacing w:after="60" w:line="264"/>
      </w:pPr>
      <w:r>
        <w:rPr>
          <w:rFonts w:ascii="Calibri" w:cs="Calibri" w:eastAsia="Calibri" w:hAnsi="Calibri"/>
          <w:color w:val="1E293B"/>
          <w:sz w:val="21"/>
          <w:szCs w:val="21"/>
        </w:rPr>
        <w:t xml:space="preserve">Audit log is exportable per tenant.</w:t>
      </w:r>
    </w:p>
    <w:p>
      <w:pPr>
        <w:pStyle w:val="ListParagraph"/>
        <w:numPr>
          <w:ilvl w:val="0"/>
          <w:numId w:val="2"/>
        </w:numPr>
        <w:spacing w:after="60" w:line="264"/>
      </w:pPr>
      <w:r>
        <w:rPr>
          <w:rFonts w:ascii="Calibri" w:cs="Calibri" w:eastAsia="Calibri" w:hAnsi="Calibri"/>
          <w:color w:val="1E293B"/>
          <w:sz w:val="21"/>
          <w:szCs w:val="21"/>
        </w:rPr>
        <w:t xml:space="preserve">DSAR/erasure workflow removes personal data on request.</w:t>
      </w:r>
    </w:p>
    <w:p>
      <w:pPr>
        <w:pStyle w:val="ListParagraph"/>
        <w:numPr>
          <w:ilvl w:val="0"/>
          <w:numId w:val="2"/>
        </w:numPr>
        <w:spacing w:after="60" w:line="264"/>
      </w:pPr>
      <w:r>
        <w:rPr>
          <w:rFonts w:ascii="Calibri" w:cs="Calibri" w:eastAsia="Calibri" w:hAnsi="Calibri"/>
          <w:color w:val="1E293B"/>
          <w:sz w:val="21"/>
          <w:szCs w:val="21"/>
        </w:rPr>
        <w:t xml:space="preserve">Retention policy is configurable.</w:t>
      </w:r>
    </w:p>
    <w:p>
      <w:pPr>
        <w:spacing w:after="40"/>
      </w:pPr>
    </w:p>
    <w:p>
      <w:pPr>
        <w:pStyle w:val="Heading2"/>
        <w:spacing w:after="80" w:before="240"/>
      </w:pPr>
      <w:r>
        <w:rPr>
          <w:rFonts w:ascii="Calibri" w:cs="Calibri" w:eastAsia="Calibri" w:hAnsi="Calibri"/>
          <w:b/>
          <w:bCs/>
          <w:color w:val="2563EB"/>
          <w:sz w:val="27"/>
          <w:szCs w:val="27"/>
        </w:rPr>
        <w:t xml:space="preserve">EPIC-F  Mobile / Executive View</w:t>
      </w:r>
    </w:p>
    <w:p>
      <w:pPr>
        <w:spacing w:after="120" w:line="276"/>
      </w:pPr>
      <w:r>
        <w:rPr>
          <w:rFonts w:ascii="Calibri" w:cs="Calibri" w:eastAsia="Calibri" w:hAnsi="Calibri"/>
          <w:b/>
          <w:bCs/>
          <w:color w:val="2563EB"/>
          <w:sz w:val="21"/>
          <w:szCs w:val="21"/>
        </w:rPr>
        <w:t xml:space="preserve">US-F1  </w:t>
      </w:r>
      <w:r>
        <w:rPr>
          <w:rFonts w:ascii="Calibri" w:cs="Calibri" w:eastAsia="Calibri" w:hAnsi="Calibri"/>
          <w:b/>
          <w:bCs/>
          <w:color w:val="1E293B"/>
          <w:sz w:val="21"/>
          <w:szCs w:val="21"/>
        </w:rPr>
        <w:t xml:space="preserve">As an Executive, I want a mobile view of headline KPIs, alerts, and AI summaries so I stay informed on the go.</w:t>
      </w:r>
    </w:p>
    <w:p>
      <w:pPr>
        <w:pStyle w:val="ListParagraph"/>
        <w:numPr>
          <w:ilvl w:val="0"/>
          <w:numId w:val="2"/>
        </w:numPr>
        <w:spacing w:after="60" w:line="264"/>
      </w:pPr>
      <w:r>
        <w:rPr>
          <w:rFonts w:ascii="Calibri" w:cs="Calibri" w:eastAsia="Calibri" w:hAnsi="Calibri"/>
          <w:color w:val="1E293B"/>
          <w:sz w:val="21"/>
          <w:szCs w:val="21"/>
        </w:rPr>
        <w:t xml:space="preserve">Responsive PWA shows top KPIs and alerts.</w:t>
      </w:r>
    </w:p>
    <w:p>
      <w:pPr>
        <w:pStyle w:val="ListParagraph"/>
        <w:numPr>
          <w:ilvl w:val="0"/>
          <w:numId w:val="2"/>
        </w:numPr>
        <w:spacing w:after="60" w:line="264"/>
      </w:pPr>
      <w:r>
        <w:rPr>
          <w:rFonts w:ascii="Calibri" w:cs="Calibri" w:eastAsia="Calibri" w:hAnsi="Calibri"/>
          <w:color w:val="1E293B"/>
          <w:sz w:val="21"/>
          <w:szCs w:val="21"/>
        </w:rPr>
        <w:t xml:space="preserve">AI summary is available on mobile.</w:t>
      </w:r>
    </w:p>
    <w:p>
      <w:pPr>
        <w:pStyle w:val="ListParagraph"/>
        <w:numPr>
          <w:ilvl w:val="0"/>
          <w:numId w:val="2"/>
        </w:numPr>
        <w:spacing w:after="60" w:line="264"/>
      </w:pPr>
      <w:r>
        <w:rPr>
          <w:rFonts w:ascii="Calibri" w:cs="Calibri" w:eastAsia="Calibri" w:hAnsi="Calibri"/>
          <w:color w:val="1E293B"/>
          <w:sz w:val="21"/>
          <w:szCs w:val="21"/>
        </w:rPr>
        <w:t xml:space="preserve">View-only; no data mutation.</w:t>
      </w:r>
    </w:p>
    <w:p>
      <w:pPr>
        <w:spacing w:after="40"/>
      </w:pPr>
    </w:p>
    <w:p>
      <w:pPr>
        <w:pStyle w:val="Heading1"/>
        <w:spacing w:after="120" w:before="360"/>
      </w:pPr>
      <w:r>
        <w:rPr>
          <w:rFonts w:ascii="Calibri" w:cs="Calibri" w:eastAsia="Calibri" w:hAnsi="Calibri"/>
          <w:b/>
          <w:bCs/>
          <w:color w:val="1E293B"/>
          <w:sz w:val="34"/>
          <w:szCs w:val="34"/>
        </w:rPr>
        <w:t xml:space="preserve">12. Gap Analysis vs Current Product</w:t>
      </w:r>
    </w:p>
    <w:p>
      <w:pPr>
        <w:spacing w:after="120" w:line="276"/>
      </w:pPr>
      <w:r>
        <w:rPr>
          <w:rFonts w:ascii="Calibri" w:cs="Calibri" w:eastAsia="Calibri" w:hAnsi="Calibri"/>
          <w:color w:val="1E293B"/>
          <w:sz w:val="21"/>
          <w:szCs w:val="21"/>
        </w:rPr>
        <w:t xml:space="preserve">This maps the target platform against the current InsightHub codebase (Dash + Flask + FastAPI + Postgres/SQLite, Groq LLM, agent framework, flat data tables). "Reuse" means the current asset carries forward; "Build" is net-new; "Refactor" means an existing asset is reshaped.</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2650"/>
        <w:gridCol w:w="2650"/>
        <w:gridCol w:w="2760"/>
        <w:gridCol w:w="1300"/>
      </w:tblGrid>
      <w:tr>
        <w:trPr>
          <w:tblHeader/>
        </w:trPr>
        <w:tc>
          <w:tcPr>
            <w:tcW w:type="dxa" w:w="265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Target capability</w:t>
            </w:r>
          </w:p>
        </w:tc>
        <w:tc>
          <w:tcPr>
            <w:tcW w:type="dxa" w:w="265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Current state</w:t>
            </w:r>
          </w:p>
        </w:tc>
        <w:tc>
          <w:tcPr>
            <w:tcW w:type="dxa" w:w="27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Action</w:t>
            </w:r>
          </w:p>
        </w:tc>
        <w:tc>
          <w:tcPr>
            <w:tcW w:type="dxa" w:w="13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Priority</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Star-schema warehouse + SCD2</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Flat sales/purchases/upload_history tables</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(dbt models + dimensional design)</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P0</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Idempotent loads / de-dup</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Append + duplicate-flag patching</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Refactor into upsert + hash keys</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P0</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Orchestrated ETL</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Inline pandas ETL + APScheduler + file-drop</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(Dagster/Prefect) + keep APScheduler for alerts</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Connector framework</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Square/Shopify CSV + Marg file-drop</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connector abstraction + scheduling</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Domain detection</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domain_config.py (5 domains)</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 expand signatures + confidence + playground fallback</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Ad hoc playground</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Adhoc rendering + domain fallback partial</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named workspace + generic store</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Analytics from marts</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tenant_analytics renders live from tables</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Refactor to read serving marts</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AI layer (RAG/agents/LLM)</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Groq client + agent framework + Chroma path</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 add LLM gateway + pgvector + BYO keys</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Vector store</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Chroma (optional)</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Refactor to pgvector</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P2</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Customer-facing UI</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Dash/Plotly</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Next.js app; keep Dash internal</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Executive mobile</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None</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responsive PWA</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P2</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RBAC at data layer</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Role model + tenant scoping (recently hardened)</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 formalize + add automated isolation tests</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P0</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Alerts &amp; notifications</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Twilio/SendGrid/Slack/WhatsApp + anomaly</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Done</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Billing</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Stripe + Razorpay + plans</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 add plan-limit enforcement</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P2</w:t>
            </w:r>
          </w:p>
        </w:tc>
      </w:tr>
      <w:tr>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Governance / SOC 2</w:t>
            </w:r>
          </w:p>
        </w:tc>
        <w:tc>
          <w:tcPr>
            <w:tcW w:type="dxa" w:w="265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CCPA + MFA + audit basics</w:t>
            </w:r>
          </w:p>
        </w:tc>
        <w:tc>
          <w:tcPr>
            <w:tcW w:type="dxa" w:w="2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Build control program + technical primitives</w:t>
            </w:r>
          </w:p>
        </w:tc>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r>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Deployment</w:t>
            </w:r>
          </w:p>
        </w:tc>
        <w:tc>
          <w:tcPr>
            <w:tcW w:type="dxa" w:w="265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Container + Neon; guides prepared</w:t>
            </w:r>
          </w:p>
        </w:tc>
        <w:tc>
          <w:tcPr>
            <w:tcW w:type="dxa" w:w="2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Reuse; add IaC + CI/CD + autoscale</w:t>
            </w:r>
          </w:p>
        </w:tc>
        <w:tc>
          <w:tcPr>
            <w:tcW w:type="dxa" w:w="1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P1</w:t>
            </w:r>
          </w:p>
        </w:tc>
      </w:tr>
    </w:tbl>
    <w:p>
      <w:pPr>
        <w:pStyle w:val="Heading1"/>
        <w:spacing w:after="120" w:before="360"/>
      </w:pPr>
      <w:r>
        <w:rPr>
          <w:rFonts w:ascii="Calibri" w:cs="Calibri" w:eastAsia="Calibri" w:hAnsi="Calibri"/>
          <w:b/>
          <w:bCs/>
          <w:color w:val="1E293B"/>
          <w:sz w:val="34"/>
          <w:szCs w:val="34"/>
        </w:rPr>
        <w:t xml:space="preserve">13. Remediation Roadmap (phased)</w:t>
      </w:r>
    </w:p>
    <w:p>
      <w:pPr>
        <w:spacing w:after="120" w:line="276"/>
      </w:pPr>
      <w:r>
        <w:rPr>
          <w:rFonts w:ascii="Calibri" w:cs="Calibri" w:eastAsia="Calibri" w:hAnsi="Calibri"/>
          <w:color w:val="1E293B"/>
          <w:sz w:val="21"/>
          <w:szCs w:val="21"/>
        </w:rPr>
        <w:t xml:space="preserve">Sequenced to protect the demo path and reach a payable product without over-building. Each phase is independently demoable.</w:t>
      </w:r>
    </w:p>
    <w:p>
      <w:pPr>
        <w:pStyle w:val="Heading2"/>
        <w:spacing w:after="80" w:before="240"/>
      </w:pPr>
      <w:r>
        <w:rPr>
          <w:rFonts w:ascii="Calibri" w:cs="Calibri" w:eastAsia="Calibri" w:hAnsi="Calibri"/>
          <w:b/>
          <w:bCs/>
          <w:color w:val="2563EB"/>
          <w:sz w:val="27"/>
          <w:szCs w:val="27"/>
        </w:rPr>
        <w:t xml:space="preserve">Phase 0 — Demo-ready hardening (now → first demos)</w:t>
      </w:r>
    </w:p>
    <w:p>
      <w:pPr>
        <w:pStyle w:val="ListParagraph"/>
        <w:numPr>
          <w:ilvl w:val="0"/>
          <w:numId w:val="2"/>
        </w:numPr>
        <w:spacing w:after="60" w:line="264"/>
      </w:pPr>
      <w:r>
        <w:rPr>
          <w:rFonts w:ascii="Calibri" w:cs="Calibri" w:eastAsia="Calibri" w:hAnsi="Calibri"/>
          <w:color w:val="1E293B"/>
          <w:sz w:val="21"/>
          <w:szCs w:val="21"/>
        </w:rPr>
        <w:t xml:space="preserve">Keep the current Dash product as the live demo; finish the upload → domain-detect → analyze loop you have been polishing.</w:t>
      </w:r>
    </w:p>
    <w:p>
      <w:pPr>
        <w:pStyle w:val="ListParagraph"/>
        <w:numPr>
          <w:ilvl w:val="0"/>
          <w:numId w:val="2"/>
        </w:numPr>
        <w:spacing w:after="60" w:line="264"/>
      </w:pPr>
      <w:r>
        <w:rPr>
          <w:rFonts w:ascii="Calibri" w:cs="Calibri" w:eastAsia="Calibri" w:hAnsi="Calibri"/>
          <w:color w:val="1E293B"/>
          <w:sz w:val="21"/>
          <w:szCs w:val="21"/>
        </w:rPr>
        <w:t xml:space="preserve">Lock in automated multi-tenant isolation + RBAC tests (P0 security invariant).</w:t>
      </w:r>
    </w:p>
    <w:p>
      <w:pPr>
        <w:pStyle w:val="ListParagraph"/>
        <w:numPr>
          <w:ilvl w:val="0"/>
          <w:numId w:val="2"/>
        </w:numPr>
        <w:spacing w:after="60" w:line="264"/>
      </w:pPr>
      <w:r>
        <w:rPr>
          <w:rFonts w:ascii="Calibri" w:cs="Calibri" w:eastAsia="Calibri" w:hAnsi="Calibri"/>
          <w:color w:val="1E293B"/>
          <w:sz w:val="21"/>
          <w:szCs w:val="21"/>
        </w:rPr>
        <w:t xml:space="preserve">Deploy on scale-to-zero containers using the prepared GCP/Azure guides.</w:t>
      </w:r>
    </w:p>
    <w:p>
      <w:pPr>
        <w:pStyle w:val="Heading2"/>
        <w:spacing w:after="80" w:before="240"/>
      </w:pPr>
      <w:r>
        <w:rPr>
          <w:rFonts w:ascii="Calibri" w:cs="Calibri" w:eastAsia="Calibri" w:hAnsi="Calibri"/>
          <w:b/>
          <w:bCs/>
          <w:color w:val="2563EB"/>
          <w:sz w:val="27"/>
          <w:szCs w:val="27"/>
        </w:rPr>
        <w:t xml:space="preserve">Phase 1 — Data foundation + customer UI (first paying customers)</w:t>
      </w:r>
    </w:p>
    <w:p>
      <w:pPr>
        <w:pStyle w:val="ListParagraph"/>
        <w:numPr>
          <w:ilvl w:val="0"/>
          <w:numId w:val="2"/>
        </w:numPr>
        <w:spacing w:after="60" w:line="264"/>
      </w:pPr>
      <w:r>
        <w:rPr>
          <w:rFonts w:ascii="Calibri" w:cs="Calibri" w:eastAsia="Calibri" w:hAnsi="Calibri"/>
          <w:color w:val="1E293B"/>
          <w:sz w:val="21"/>
          <w:szCs w:val="21"/>
        </w:rPr>
        <w:t xml:space="preserve">Design and build the star-schema warehouse (dbt) with SCD2 and idempotent loads.</w:t>
      </w:r>
    </w:p>
    <w:p>
      <w:pPr>
        <w:pStyle w:val="ListParagraph"/>
        <w:numPr>
          <w:ilvl w:val="0"/>
          <w:numId w:val="2"/>
        </w:numPr>
        <w:spacing w:after="60" w:line="264"/>
      </w:pPr>
      <w:r>
        <w:rPr>
          <w:rFonts w:ascii="Calibri" w:cs="Calibri" w:eastAsia="Calibri" w:hAnsi="Calibri"/>
          <w:color w:val="1E293B"/>
          <w:sz w:val="21"/>
          <w:szCs w:val="21"/>
        </w:rPr>
        <w:t xml:space="preserve">Introduce an orchestrator (Dagster/Prefect) and refactor ETL to event-driven per-upload runs.</w:t>
      </w:r>
    </w:p>
    <w:p>
      <w:pPr>
        <w:pStyle w:val="ListParagraph"/>
        <w:numPr>
          <w:ilvl w:val="0"/>
          <w:numId w:val="2"/>
        </w:numPr>
        <w:spacing w:after="60" w:line="264"/>
      </w:pPr>
      <w:r>
        <w:rPr>
          <w:rFonts w:ascii="Calibri" w:cs="Calibri" w:eastAsia="Calibri" w:hAnsi="Calibri"/>
          <w:color w:val="1E293B"/>
          <w:sz w:val="21"/>
          <w:szCs w:val="21"/>
        </w:rPr>
        <w:t xml:space="preserve">Stand up the Next.js customer app against FastAPI; migrate the core analytics + AI chat experience.</w:t>
      </w:r>
    </w:p>
    <w:p>
      <w:pPr>
        <w:pStyle w:val="ListParagraph"/>
        <w:numPr>
          <w:ilvl w:val="0"/>
          <w:numId w:val="2"/>
        </w:numPr>
        <w:spacing w:after="60" w:line="264"/>
      </w:pPr>
      <w:r>
        <w:rPr>
          <w:rFonts w:ascii="Calibri" w:cs="Calibri" w:eastAsia="Calibri" w:hAnsi="Calibri"/>
          <w:color w:val="1E293B"/>
          <w:sz w:val="21"/>
          <w:szCs w:val="21"/>
        </w:rPr>
        <w:t xml:space="preserve">Generalize the LLM client into a gateway with pgvector and BYO-key support.</w:t>
      </w:r>
    </w:p>
    <w:p>
      <w:pPr>
        <w:pStyle w:val="ListParagraph"/>
        <w:numPr>
          <w:ilvl w:val="0"/>
          <w:numId w:val="2"/>
        </w:numPr>
        <w:spacing w:after="60" w:line="264"/>
      </w:pPr>
      <w:r>
        <w:rPr>
          <w:rFonts w:ascii="Calibri" w:cs="Calibri" w:eastAsia="Calibri" w:hAnsi="Calibri"/>
          <w:color w:val="1E293B"/>
          <w:sz w:val="21"/>
          <w:szCs w:val="21"/>
        </w:rPr>
        <w:t xml:space="preserve">Begin the SOC 2 control program and extend governance primitives.</w:t>
      </w:r>
    </w:p>
    <w:p>
      <w:pPr>
        <w:pStyle w:val="Heading2"/>
        <w:spacing w:after="80" w:before="240"/>
      </w:pPr>
      <w:r>
        <w:rPr>
          <w:rFonts w:ascii="Calibri" w:cs="Calibri" w:eastAsia="Calibri" w:hAnsi="Calibri"/>
          <w:b/>
          <w:bCs/>
          <w:color w:val="2563EB"/>
          <w:sz w:val="27"/>
          <w:szCs w:val="27"/>
        </w:rPr>
        <w:t xml:space="preserve">Phase 2 — Breadth + scale (growth)</w:t>
      </w:r>
    </w:p>
    <w:p>
      <w:pPr>
        <w:pStyle w:val="ListParagraph"/>
        <w:numPr>
          <w:ilvl w:val="0"/>
          <w:numId w:val="2"/>
        </w:numPr>
        <w:spacing w:after="60" w:line="264"/>
      </w:pPr>
      <w:r>
        <w:rPr>
          <w:rFonts w:ascii="Calibri" w:cs="Calibri" w:eastAsia="Calibri" w:hAnsi="Calibri"/>
          <w:color w:val="1E293B"/>
          <w:sz w:val="21"/>
          <w:szCs w:val="21"/>
        </w:rPr>
        <w:t xml:space="preserve">Connector framework with scheduled syncs; expand domains; ad hoc playground GA.</w:t>
      </w:r>
    </w:p>
    <w:p>
      <w:pPr>
        <w:pStyle w:val="ListParagraph"/>
        <w:numPr>
          <w:ilvl w:val="0"/>
          <w:numId w:val="2"/>
        </w:numPr>
        <w:spacing w:after="60" w:line="264"/>
      </w:pPr>
      <w:r>
        <w:rPr>
          <w:rFonts w:ascii="Calibri" w:cs="Calibri" w:eastAsia="Calibri" w:hAnsi="Calibri"/>
          <w:color w:val="1E293B"/>
          <w:sz w:val="21"/>
          <w:szCs w:val="21"/>
        </w:rPr>
        <w:t xml:space="preserve">Executive PWA; plan-limit enforcement; per-tenant cost metering.</w:t>
      </w:r>
    </w:p>
    <w:p>
      <w:pPr>
        <w:pStyle w:val="ListParagraph"/>
        <w:numPr>
          <w:ilvl w:val="0"/>
          <w:numId w:val="2"/>
        </w:numPr>
        <w:spacing w:after="60" w:line="264"/>
      </w:pPr>
      <w:r>
        <w:rPr>
          <w:rFonts w:ascii="Calibri" w:cs="Calibri" w:eastAsia="Calibri" w:hAnsi="Calibri"/>
          <w:color w:val="1E293B"/>
          <w:sz w:val="21"/>
          <w:szCs w:val="21"/>
        </w:rPr>
        <w:t xml:space="preserve">Serving-mart performance layer (Redis cache, partitioning) and load-tested SLOs.</w:t>
      </w:r>
    </w:p>
    <w:p>
      <w:pPr>
        <w:pStyle w:val="ListParagraph"/>
        <w:numPr>
          <w:ilvl w:val="0"/>
          <w:numId w:val="2"/>
        </w:numPr>
        <w:spacing w:after="60" w:line="264"/>
      </w:pPr>
      <w:r>
        <w:rPr>
          <w:rFonts w:ascii="Calibri" w:cs="Calibri" w:eastAsia="Calibri" w:hAnsi="Calibri"/>
          <w:color w:val="1E293B"/>
          <w:sz w:val="21"/>
          <w:szCs w:val="21"/>
        </w:rPr>
        <w:t xml:space="preserve">Enterprise-tier options: dedicated schema, Spark path, HIPAA/banking controls, Kubernetes if warranted.</w:t>
      </w:r>
    </w:p>
    <w:p>
      <w:pPr>
        <w:pStyle w:val="Heading1"/>
        <w:spacing w:after="120" w:before="360"/>
      </w:pPr>
      <w:r>
        <w:rPr>
          <w:rFonts w:ascii="Calibri" w:cs="Calibri" w:eastAsia="Calibri" w:hAnsi="Calibri"/>
          <w:b/>
          <w:bCs/>
          <w:color w:val="1E293B"/>
          <w:sz w:val="34"/>
          <w:szCs w:val="34"/>
        </w:rPr>
        <w:t xml:space="preserve">14. Recommended Additions (gaps in the original draft)</w:t>
      </w:r>
    </w:p>
    <w:p>
      <w:pPr>
        <w:spacing w:after="120" w:line="276"/>
      </w:pPr>
      <w:r>
        <w:rPr>
          <w:rFonts w:ascii="Calibri" w:cs="Calibri" w:eastAsia="Calibri" w:hAnsi="Calibri"/>
          <w:color w:val="1E293B"/>
          <w:sz w:val="21"/>
          <w:szCs w:val="21"/>
        </w:rPr>
        <w:t xml:space="preserve">Items worth adding to the vision that were not explicit in the draft:</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2600"/>
        <w:gridCol w:w="6760"/>
      </w:tblGrid>
      <w:tr>
        <w:trPr>
          <w:tblHeader/>
        </w:trPr>
        <w:tc>
          <w:tcPr>
            <w:tcW w:type="dxa" w:w="26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Addition</w:t>
            </w:r>
          </w:p>
        </w:tc>
        <w:tc>
          <w:tcPr>
            <w:tcW w:type="dxa" w:w="67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Why it matters</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quality layer</w:t>
            </w:r>
          </w:p>
        </w:tc>
        <w:tc>
          <w:tcPr>
            <w:tcW w:type="dxa" w:w="6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Automated tests on every load (nulls, ranges, referential integrity, freshness) — trust is the product; a wrong number costs a customer. dbt tests + a quality agent (you already have quality_agent.py).</w:t>
            </w:r>
          </w:p>
        </w:tc>
      </w:tr>
      <w:tr>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 lineage &amp; catalog</w:t>
            </w:r>
          </w:p>
        </w:tc>
        <w:tc>
          <w:tcPr>
            <w:tcW w:type="dxa" w:w="6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Show where each number came from (source → load → model → mart). Critical for trust, debugging, and governance.</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LLM guardrails &amp; evaluation</w:t>
            </w:r>
          </w:p>
        </w:tc>
        <w:tc>
          <w:tcPr>
            <w:tcW w:type="dxa" w:w="6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Grounding checks, refusal on out-of-tenant questions, hallucination/accuracy evals on a fixed question set per release.</w:t>
            </w:r>
          </w:p>
        </w:tc>
      </w:tr>
      <w:tr>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Usage metering &amp; entitlements</w:t>
            </w:r>
          </w:p>
        </w:tc>
        <w:tc>
          <w:tcPr>
            <w:tcW w:type="dxa" w:w="6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Meter rows, users, connectors, AI calls per tenant to enforce plans and inform pricing — also feeds cost visibility.</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Onboarding / activation flow</w:t>
            </w:r>
          </w:p>
        </w:tc>
        <w:tc>
          <w:tcPr>
            <w:tcW w:type="dxa" w:w="6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 guided first-run (sample data, first insight in minutes) drives conversion far more than feature depth.</w:t>
            </w:r>
          </w:p>
        </w:tc>
      </w:tr>
      <w:tr>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Semantic layer / metric definitions</w:t>
            </w:r>
          </w:p>
        </w:tc>
        <w:tc>
          <w:tcPr>
            <w:tcW w:type="dxa" w:w="6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One shared definition of 'revenue', 'margin', 'churn' per domain so AI answers and dashboards never disagree — a known failure mode of AI-on-data.</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Observability for the pipeline</w:t>
            </w:r>
          </w:p>
        </w:tc>
        <w:tc>
          <w:tcPr>
            <w:tcW w:type="dxa" w:w="67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Run history, failure alerts, data-freshness SLAs surfaced to the customer ('data current as of…').</w:t>
            </w:r>
          </w:p>
        </w:tc>
      </w:tr>
      <w:tr>
        <w:tc>
          <w:tcPr>
            <w:tcW w:type="dxa" w:w="26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Human-in-the-loop review</w:t>
            </w:r>
          </w:p>
        </w:tc>
        <w:tc>
          <w:tcPr>
            <w:tcW w:type="dxa" w:w="67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Let a Customer Admin confirm the detected domain / column mapping before first analysis — cheap insurance against wrong auto-detection.</w:t>
            </w:r>
          </w:p>
        </w:tc>
      </w:tr>
    </w:tbl>
    <w:p>
      <w:pPr>
        <w:pStyle w:val="Heading1"/>
        <w:spacing w:after="120" w:before="360"/>
      </w:pPr>
      <w:r>
        <w:rPr>
          <w:rFonts w:ascii="Calibri" w:cs="Calibri" w:eastAsia="Calibri" w:hAnsi="Calibri"/>
          <w:b/>
          <w:bCs/>
          <w:color w:val="1E293B"/>
          <w:sz w:val="34"/>
          <w:szCs w:val="34"/>
        </w:rPr>
        <w:t xml:space="preserve">15. Risks &amp; Assumptions</w:t>
      </w:r>
    </w:p>
    <w:tbl>
      <w:tblPr>
        <w:tblW w:type="dxa" w:w="9360"/>
        <w:tblBorders>
          <w:top w:val="single" w:color="E2E8F0" w:sz="2"/>
          <w:left w:val="single" w:color="E2E8F0" w:sz="2"/>
          <w:bottom w:val="single" w:color="E2E8F0" w:sz="2"/>
          <w:right w:val="single" w:color="E2E8F0" w:sz="2"/>
          <w:insideH w:val="single" w:color="E2E8F0" w:sz="1"/>
          <w:insideV w:val="single" w:color="E2E8F0" w:sz="1"/>
        </w:tblBorders>
      </w:tblPr>
      <w:tblGrid>
        <w:gridCol w:w="4300"/>
        <w:gridCol w:w="5060"/>
      </w:tblGrid>
      <w:tr>
        <w:trPr>
          <w:tblHeader/>
        </w:trPr>
        <w:tc>
          <w:tcPr>
            <w:tcW w:type="dxa" w:w="430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Risk / Assumption</w:t>
            </w:r>
          </w:p>
        </w:tc>
        <w:tc>
          <w:tcPr>
            <w:tcW w:type="dxa" w:w="5060"/>
            <w:shd w:fill="1E293B"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Mitigation</w:t>
            </w:r>
          </w:p>
        </w:tc>
      </w:tr>
      <w:tr>
        <w:tc>
          <w:tcPr>
            <w:tcW w:type="dxa" w:w="4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Over-engineering for enterprise before revenue (Spark/Airflow/K8s/native mobile)</w:t>
            </w:r>
          </w:p>
        </w:tc>
        <w:tc>
          <w:tcPr>
            <w:tcW w:type="dxa" w:w="5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Adopt the SMB-right-sized stack in this document; add heavy tooling only when a paying customer's scale requires it.</w:t>
            </w:r>
          </w:p>
        </w:tc>
      </w:tr>
      <w:tr>
        <w:tc>
          <w:tcPr>
            <w:tcW w:type="dxa" w:w="4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Commoditization of AI analysis by frontier labs</w:t>
            </w:r>
          </w:p>
        </w:tc>
        <w:tc>
          <w:tcPr>
            <w:tcW w:type="dxa" w:w="50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Compete on the system (persistence, governance, proactivity, domain-tuning), not on raw analysis quality.</w:t>
            </w:r>
          </w:p>
        </w:tc>
      </w:tr>
      <w:tr>
        <w:tc>
          <w:tcPr>
            <w:tcW w:type="dxa" w:w="4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Cross-tenant data leakage</w:t>
            </w:r>
          </w:p>
        </w:tc>
        <w:tc>
          <w:tcPr>
            <w:tcW w:type="dxa" w:w="5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Data-layer RBAC + automated isolation tests as a release gate.</w:t>
            </w:r>
          </w:p>
        </w:tc>
      </w:tr>
      <w:tr>
        <w:tc>
          <w:tcPr>
            <w:tcW w:type="dxa" w:w="4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Wrong domain auto-detection</w:t>
            </w:r>
          </w:p>
        </w:tc>
        <w:tc>
          <w:tcPr>
            <w:tcW w:type="dxa" w:w="50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Confidence threshold + human-in-the-loop confirmation + playground fallback.</w:t>
            </w:r>
          </w:p>
        </w:tc>
      </w:tr>
      <w:tr>
        <w:tc>
          <w:tcPr>
            <w:tcW w:type="dxa" w:w="4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Compliance blocking enterprise deals</w:t>
            </w:r>
          </w:p>
        </w:tc>
        <w:tc>
          <w:tcPr>
            <w:tcW w:type="dxa" w:w="5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Start SOC 2 early; gate HIPAA/banking to relevant tiers.</w:t>
            </w:r>
          </w:p>
        </w:tc>
      </w:tr>
      <w:tr>
        <w:tc>
          <w:tcPr>
            <w:tcW w:type="dxa" w:w="430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Scope/time pressure</w:t>
            </w:r>
          </w:p>
        </w:tc>
        <w:tc>
          <w:tcPr>
            <w:tcW w:type="dxa" w:w="5060"/>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1E293B"/>
                <w:sz w:val="18"/>
                <w:szCs w:val="18"/>
              </w:rPr>
              <w:t xml:space="preserve">Phased roadmap; every phase is independently demoable and shippable.</w:t>
            </w:r>
          </w:p>
        </w:tc>
      </w:tr>
    </w:tbl>
    <w:p>
      <w:pPr>
        <w:spacing w:after="120"/>
      </w:pPr>
    </w:p>
    <w:p>
      <w:pPr>
        <w:spacing w:after="40"/>
      </w:pPr>
      <w:r>
        <w:rPr>
          <w:rFonts w:ascii="Calibri" w:cs="Calibri" w:eastAsia="Calibri" w:hAnsi="Calibri"/>
          <w:color w:val="1E293B"/>
          <w:sz w:val="21"/>
          <w:szCs w:val="21"/>
        </w:rPr>
        <w:t xml:space="preserve">Assumptions: SMB target with enterprise-enable path; batch/micro-batch ingestion is acceptable at launch; Postgres is the system of record through early growth; the current codebase (RBAC, domain config, agent framework, alerts, billing) is carried forward rather than rewritten.</w:t>
      </w:r>
    </w:p>
    <w:p>
      <w:pPr>
        <w:spacing w:after="200"/>
      </w:pPr>
    </w:p>
    <w:p>
      <w:pPr>
        <w:spacing w:after="120" w:line="276"/>
      </w:pPr>
      <w:r>
        <w:rPr>
          <w:rFonts w:ascii="Calibri" w:cs="Calibri" w:eastAsia="Calibri" w:hAnsi="Calibri"/>
          <w:i/>
          <w:iCs/>
          <w:color w:val="475569"/>
          <w:sz w:val="19"/>
          <w:szCs w:val="19"/>
        </w:rPr>
        <w:t xml:space="preserve">End of document — InsightHub BRD v1.0. </w:t>
      </w:r>
      <w:r>
        <w:rPr>
          <w:rFonts w:ascii="Calibri" w:cs="Calibri" w:eastAsia="Calibri" w:hAnsi="Calibri"/>
          <w:i/>
          <w:iCs/>
          <w:color w:val="475569"/>
          <w:sz w:val="19"/>
          <w:szCs w:val="19"/>
        </w:rPr>
        <w:t xml:space="preserve">Prepared as a draft for review; architecture recommendations are firm but open to trade-off discussion.</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InsightHub · BRD &amp; Solution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563EB"/>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2026-07-24T21:08:24.570Z</dcterms:created>
  <dcterms:modified xsi:type="dcterms:W3CDTF">2026-07-24T21:08:24.673Z</dcterms:modified>
</cp:coreProperties>
</file>

<file path=docProps/custom.xml><?xml version="1.0" encoding="utf-8"?>
<Properties xmlns="http://schemas.openxmlformats.org/officeDocument/2006/custom-properties" xmlns:vt="http://schemas.openxmlformats.org/officeDocument/2006/docPropsVTypes"/>
</file>