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  <w:jc w:val="center"/>
      </w:pPr>
      <w:r>
        <w:rPr>
          <w:b/>
          <w:bCs/>
          <w:color w:val="1F3A5F"/>
          <w:sz w:val="64"/>
          <w:szCs w:val="64"/>
        </w:rPr>
        <w:t xml:space="preserve">InsightHub</w:t>
      </w:r>
    </w:p>
    <w:p>
      <w:pPr>
        <w:spacing w:after="40"/>
        <w:jc w:val="center"/>
      </w:pPr>
      <w:r>
        <w:rPr>
          <w:b/>
          <w:bCs/>
          <w:color w:val="2E7D6F"/>
          <w:sz w:val="30"/>
          <w:szCs w:val="30"/>
        </w:rPr>
        <w:t xml:space="preserve">Go-to-Market Readiness &amp; Product Strategy Review</w:t>
      </w:r>
    </w:p>
    <w:p>
      <w:pPr>
        <w:spacing w:after="40"/>
        <w:jc w:val="center"/>
      </w:pPr>
      <w:r>
        <w:rPr>
          <w:i/>
          <w:iCs/>
          <w:color w:val="555555"/>
          <w:sz w:val="22"/>
          <w:szCs w:val="22"/>
        </w:rPr>
        <w:t xml:space="preserve">An honest assessment for the leadership approval decision</w:t>
      </w:r>
    </w:p>
    <w:p>
      <w:pPr>
        <w:spacing w:before="500"/>
        <w:jc w:val="center"/>
      </w:pPr>
      <w:r>
        <w:rPr>
          <w:color w:val="555555"/>
          <w:sz w:val="20"/>
          <w:szCs w:val="20"/>
        </w:rPr>
        <w:t xml:space="preserve">Prepared for: Varatharajan  ·  August 2026</w:t>
      </w:r>
    </w:p>
    <w:p>
      <w:pPr>
        <w:spacing w:before="40"/>
        <w:jc w:val="center"/>
      </w:pPr>
      <w:r>
        <w:rPr>
          <w:color w:val="555555"/>
          <w:sz w:val="20"/>
          <w:szCs w:val="20"/>
        </w:rPr>
        <w:t xml:space="preserve">Status: Working MVP · Pre-revenue · Named prospect in view</w:t>
      </w:r>
    </w:p>
    <w:p>
      <w:r>
        <w:br w:type="page"/>
      </w:r>
    </w:p>
    <w:p>
      <w:pPr>
        <w:pStyle w:val="Heading1"/>
        <w:spacing w:after="140" w:before="300"/>
      </w:pPr>
      <w:r>
        <w:rPr>
          <w:b/>
          <w:bCs/>
          <w:color w:val="1F3A5F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00"/>
      </w:pPr>
      <w:r>
        <w:rPr>
          <w:b/>
          <w:bCs/>
          <w:color w:val="1F3A5F"/>
        </w:rPr>
        <w:t xml:space="preserve">1. The bottom line (read this first)</w:t>
      </w:r>
    </w:p>
    <w:p>
      <w:pPr>
        <w:spacing w:after="120" w:line="276"/>
      </w:pPr>
      <w:r>
        <w:rPr>
          <w:i/>
          <w:iCs/>
          <w:color w:val="555555"/>
        </w:rPr>
        <w:t xml:space="preserve">You asked four blunt questions. Here are four blunt answers, up front, before the supporting detail.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left w:val="single" w:color="B23A3A" w:sz="24"/>
            </w:tcBorders>
            <w:shd w:fill="FBEE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23A3A"/>
              </w:rPr>
              <w:t xml:space="preserve">Are we building a sellable product the market actually needs?</w:t>
            </w:r>
          </w:p>
          <w:p>
            <w:pPr>
              <w:spacing w:after="40"/>
            </w:pPr>
            <w:r>
              <w:rPr>
                <w:b/>
                <w:bCs/>
                <w:color w:val="B23A3A"/>
              </w:rPr>
              <w:t xml:space="preserve">Partly. </w:t>
            </w:r>
            <w:r>
              <w:t xml:space="preserve">The horizontal story — "AI analytics for SMBs" — is </w:t>
            </w:r>
            <w:r>
              <w:rPr>
                <w:b/>
                <w:bCs/>
              </w:rPr>
              <w:t xml:space="preserve">not</w:t>
            </w:r>
            <w:r>
              <w:t xml:space="preserve"> a product the market is short of; it is one of the most crowded, commoditizing spaces in software. But the </w:t>
            </w:r>
            <w:r>
              <w:rPr>
                <w:b/>
                <w:bCs/>
                <w:color w:val="1F3A5F"/>
              </w:rPr>
              <w:t xml:space="preserve">Healthcare US-Insurance Payment Integrity</w:t>
            </w:r>
            <w:r>
              <w:t xml:space="preserve"> use case you built into the platform </w:t>
            </w:r>
            <w:r>
              <w:rPr>
                <w:b/>
                <w:bCs/>
              </w:rPr>
              <w:t xml:space="preserve">is</w:t>
            </w:r>
            <w:r>
              <w:t xml:space="preserve"> a real, budgeted, growing market with a concrete prospect. That vertical is sellable. The generic platform, on its own, is not.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left w:val="single" w:color="2E7D6F" w:sz="24"/>
            </w:tcBorders>
            <w:shd w:fill="EAF3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D6F"/>
              </w:rPr>
              <w:t xml:space="preserve">Am I spending my time on the right product?</w:t>
            </w:r>
          </w:p>
          <w:p>
            <w:pPr>
              <w:spacing w:after="40"/>
            </w:pPr>
            <w:r>
              <w:rPr>
                <w:b/>
                <w:bCs/>
                <w:color w:val="2E7D6F"/>
              </w:rPr>
              <w:t xml:space="preserve">Yes on the engine, no on the framing. </w:t>
            </w:r>
            <w:r>
              <w:t xml:space="preserve">The payment-integrity engine, the warehouse, the multi-tenant plumbing and the ingest→insight→AI flow are genuinely valuable and hard to fake. The risk is not the code — it is spreading that effort across six domains (pharmacy / retail / SaaS / accounting / healthcare / generic) instead of going deep on the one that pays.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left w:val="single" w:color="1F3A5F" w:sz="24"/>
            </w:tcBorders>
            <w:shd w:fill="EEF2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Where are we for GTM?</w:t>
            </w:r>
          </w:p>
          <w:p>
            <w:pPr>
              <w:spacing w:after="40"/>
            </w:pPr>
            <w:r>
              <w:rPr>
                <w:b/>
                <w:bCs/>
                <w:color w:val="1F3A5F"/>
              </w:rPr>
              <w:t xml:space="preserve">Early — but further than most solo builds. </w:t>
            </w:r>
            <w:r>
              <w:t xml:space="preserve">You have a demonstrable MVP, a deployment path, and a named prospect (Cognizant context). You do </w:t>
            </w:r>
            <w:r>
              <w:rPr>
                <w:b/>
                <w:bCs/>
              </w:rPr>
              <w:t xml:space="preserve">not</w:t>
            </w:r>
            <w:r>
              <w:t xml:space="preserve"> yet have: a signed design partner, reference data (NCCI / fee schedules / DRG), a HIPAA/BAA posture for real PHI, pricing, or a repeatable sales motion. That is the gap between ‘good demo’ and ‘sellable product.’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left w:val="single" w:color="2E7D6F" w:sz="24"/>
            </w:tcBorders>
            <w:shd w:fill="EAF3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D6F"/>
              </w:rPr>
              <w:t xml:space="preserve">Will I get leadership approval?</w:t>
            </w:r>
          </w:p>
          <w:p>
            <w:pPr>
              <w:spacing w:after="40"/>
            </w:pPr>
            <w:r>
              <w:rPr>
                <w:b/>
                <w:bCs/>
                <w:color w:val="2E7D6F"/>
              </w:rPr>
              <w:t xml:space="preserve">Likely yes — if you pitch the wedge, not the platform. </w:t>
            </w:r>
            <w:r>
              <w:t xml:space="preserve">Leadership approves fundable bets with a clear customer, a clear market number, and a clear ask. ‘Payment integrity MVP + one design-partner payer + a 90-day proof’ is approvable. ‘A horizontal AI-BI platform for everyone’ invites the question you cannot win: "how is this different from Power BI / Cotiviti / Optum?"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Recommendation in one line: </w:t>
      </w:r>
      <w:r>
        <w:t xml:space="preserve">Reposition InsightHub from a horizontal AI-analytics platform to a </w:t>
      </w:r>
      <w:r>
        <w:rPr>
          <w:b/>
          <w:bCs/>
          <w:color w:val="1F3A5F"/>
        </w:rPr>
        <w:t xml:space="preserve">Payment Integrity product that happens to run on a strong analytics platform</w:t>
      </w:r>
      <w:r>
        <w:t xml:space="preserve">. Lead with the vertical; use the platform as the moat underneath it.</w:t>
      </w:r>
    </w:p>
    <w:p>
      <w:r>
        <w:br w:type="page"/>
      </w:r>
    </w:p>
    <w:p>
      <w:pPr>
        <w:pStyle w:val="Heading1"/>
        <w:spacing w:after="140" w:before="300"/>
      </w:pPr>
      <w:r>
        <w:rPr>
          <w:b/>
          <w:bCs/>
          <w:color w:val="1F3A5F"/>
        </w:rPr>
        <w:t xml:space="preserve">2. What you have actually built</w:t>
      </w:r>
    </w:p>
    <w:p>
      <w:pPr>
        <w:spacing w:after="120" w:line="276"/>
      </w:pPr>
      <w:r>
        <w:t xml:space="preserve">Before judging the market, be precise about the asset, because it is stronger than a typical pre-revenue project — and that changes the approval conversation.</w:t>
      </w:r>
    </w:p>
    <w:p>
      <w:pPr>
        <w:pStyle w:val="Heading2"/>
        <w:spacing w:after="100" w:before="220"/>
      </w:pPr>
      <w:r>
        <w:rPr>
          <w:b/>
          <w:bCs/>
          <w:color w:val="2E7D6F"/>
        </w:rPr>
        <w:t xml:space="preserve">The platform (the moat, not the product)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b/>
          <w:bCs/>
        </w:rPr>
        <w:t xml:space="preserve">Multi-tenant SaaS</w:t>
      </w:r>
      <w:r>
        <w:t xml:space="preserve"> — Dash admin portal, FastAPI backend (async, JWT, RBAC), a Next.js customer app, all on Neon Postgres.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b/>
          <w:bCs/>
        </w:rPr>
        <w:t xml:space="preserve">A real dimensional warehouse</w:t>
      </w:r>
      <w:r>
        <w:t xml:space="preserve"> — star schema with SCD2 history, idempotent hash-keyed loads, serving marts, formalized in dbt with snapshots and incremental facts.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b/>
          <w:bCs/>
        </w:rPr>
        <w:t xml:space="preserve">An orchestrator</w:t>
      </w:r>
      <w:r>
        <w:t xml:space="preserve"> — validate → transform → verify pipeline with run history and retries.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b/>
          <w:bCs/>
        </w:rPr>
        <w:t xml:space="preserve">A provider-agnostic LLM gateway</w:t>
      </w:r>
      <w:r>
        <w:t xml:space="preserve"> — per-tenant bring-your-own-key across Groq / OpenAI / Anthropic / Azure, so AI cost and data control sit with the customer.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b/>
          <w:bCs/>
        </w:rPr>
        <w:t xml:space="preserve">Domain-adaptive customer app</w:t>
      </w:r>
      <w:r>
        <w:t xml:space="preserve"> and an ad-hoc "Explore" playground for data that doesn’t fit a fixed schema — both persisting through the warehouse.</w:t>
      </w:r>
    </w:p>
    <w:p>
      <w:pPr>
        <w:pStyle w:val="Heading2"/>
        <w:spacing w:after="100" w:before="220"/>
      </w:pPr>
      <w:r>
        <w:rPr>
          <w:b/>
          <w:bCs/>
          <w:color w:val="2E7D6F"/>
        </w:rPr>
        <w:t xml:space="preserve">The Payment Integrity vertical (the product)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b/>
          <w:bCs/>
        </w:rPr>
        <w:t xml:space="preserve">A tested claims-analysis engine</w:t>
      </w:r>
      <w:r>
        <w:t xml:space="preserve"> detecting duplicates, high-dollar outliers, unit/MUE outliers, provider peer-outliers, E/M upcoding, and age/gender edits — producing a prioritized worklist ($ × confidence) and a provider risk scorecard.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b/>
          <w:bCs/>
        </w:rPr>
        <w:t xml:space="preserve">Realistic synthetic claims with an answer key</w:t>
      </w:r>
      <w:r>
        <w:t xml:space="preserve"> (6,350 claims, ~$740K, 6.56% flagged at risk) so the demo catches planted issues with a measurable hit-rate — you can prove accuracy, not just assert it.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b/>
          <w:bCs/>
        </w:rPr>
        <w:t xml:space="preserve">End-to-end lineage</w:t>
      </w:r>
      <w:r>
        <w:t xml:space="preserve"> — ingest → warehouse → persisted PI run → charts → AI narrative, so insights survive a refresh and a next-day login. That is the difference between a script and a product.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left w:val="single" w:color="2E7D6F" w:sz="24"/>
            </w:tcBorders>
            <w:shd w:fill="EAF3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D6F"/>
              </w:rPr>
              <w:t xml:space="preserve">Why this matters for the pitch</w:t>
            </w:r>
          </w:p>
          <w:p>
            <w:pPr>
              <w:spacing w:after="40"/>
            </w:pPr>
            <w:r>
              <w:t xml:space="preserve">Most people asking for approval have slides. You have a working system with a warehouse, a tested detection engine, and a measurable catch-rate on realistic data. Lead with that — it de-risks you in leadership’s eyes more than any market slide.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b/>
          <w:bCs/>
          <w:color w:val="1F3A5F"/>
        </w:rPr>
        <w:t xml:space="preserve">3. Does the market actually need this?</w:t>
      </w:r>
    </w:p>
    <w:p>
      <w:pPr>
        <w:spacing w:after="120" w:line="276"/>
      </w:pPr>
      <w:r>
        <w:t xml:space="preserve">Treat the two halves of the product separately — because the answer is different for each.</w:t>
      </w:r>
    </w:p>
    <w:p>
      <w:pPr>
        <w:pStyle w:val="Heading2"/>
        <w:spacing w:after="100" w:before="220"/>
      </w:pPr>
      <w:r>
        <w:rPr>
          <w:b/>
          <w:bCs/>
          <w:color w:val="2E7D6F"/>
        </w:rPr>
        <w:t xml:space="preserve">3a. The horizontal ‘AI analytics for SMB’ story — weak</w:t>
      </w:r>
    </w:p>
    <w:p>
      <w:pPr>
        <w:spacing w:after="120" w:line="276"/>
      </w:pPr>
      <w:r>
        <w:t xml:space="preserve">The honest read: this is a crowded, commoditizing category. The buyer has real alternatives that are cheaper, better-supported, and already trusted: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b/>
          <w:bCs/>
        </w:rPr>
        <w:t xml:space="preserve">Incumbents: </w:t>
      </w:r>
      <w:r>
        <w:t xml:space="preserve">Power BI (bundled into Microsoft 365 SMBs already pay for), Tableau, Zoho Analytics, Metabase (open-source), Klipfolio, QuickBooks Advanced reporting.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b/>
          <w:bCs/>
        </w:rPr>
        <w:t xml:space="preserve">The AI angle is commoditizing fast: </w:t>
      </w:r>
      <w:r>
        <w:t xml:space="preserve">Power BI Copilot, Tableau Pulse/Agent, ChatGPT data analysis, and dozens of ‘chat with your data’ startups make ‘ask questions of your spreadsheet’ table stakes, not a differentiator.</w:t>
      </w:r>
    </w:p>
    <w:p>
      <w:pPr>
        <w:spacing w:after="120" w:line="276"/>
      </w:pPr>
      <w:r>
        <w:rPr>
          <w:b/>
          <w:bCs/>
          <w:color w:val="B23A3A"/>
        </w:rPr>
        <w:t xml:space="preserve">Verdict: </w:t>
      </w:r>
      <w:r>
        <w:t xml:space="preserve">As a horizontal platform, InsightHub is a feature, not a category. It is very hard for a small build to win a commoditizing horizontal against Microsoft’s distribution. Do not anchor the leadership pitch here.</w:t>
      </w:r>
    </w:p>
    <w:p>
      <w:pPr>
        <w:pStyle w:val="Heading2"/>
        <w:spacing w:after="100" w:before="220"/>
      </w:pPr>
      <w:r>
        <w:rPr>
          <w:b/>
          <w:bCs/>
          <w:color w:val="2E7D6F"/>
        </w:rPr>
        <w:t xml:space="preserve">3b. The Payment Integrity vertical — strong</w:t>
      </w:r>
    </w:p>
    <w:p>
      <w:pPr>
        <w:spacing w:after="120" w:line="276"/>
      </w:pPr>
      <w:r>
        <w:t xml:space="preserve">A different universe. The market is large, growing, budgeted, and structurally unable to ever be ‘done’: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3860"/>
      </w:tblGrid>
      <w:tr>
        <w:trPr>
          <w:tblHeader/>
        </w:trPr>
        <w:tc>
          <w:tcPr>
            <w:tcW w:type="dxa" w:w="26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Signal</w:t>
            </w:r>
          </w:p>
        </w:tc>
        <w:tc>
          <w:tcPr>
            <w:tcW w:type="dxa" w:w="29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Figure</w:t>
            </w:r>
          </w:p>
        </w:tc>
        <w:tc>
          <w:tcPr>
            <w:tcW w:type="dxa" w:w="386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Why it matters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</w:rPr>
              <w:t xml:space="preserve">PI market size (2026)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~$16–17B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Real, funded category — not a hypothetical need</w:t>
            </w:r>
          </w:p>
        </w:tc>
      </w:tr>
      <w:tr>
        <w:tc>
          <w:tcPr>
            <w:tcW w:type="dxa" w:w="2600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</w:rPr>
              <w:t xml:space="preserve">Forecast</w:t>
            </w:r>
          </w:p>
        </w:tc>
        <w:tc>
          <w:tcPr>
            <w:tcW w:type="dxa" w:w="2900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~$31–46B by 2031–34 (12–14% CAGR)</w:t>
            </w:r>
          </w:p>
        </w:tc>
        <w:tc>
          <w:tcPr>
            <w:tcW w:type="dxa" w:w="3860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Growing double-digits; a tailwind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</w:rPr>
              <w:t xml:space="preserve">US improper payments (2025)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~$95.5B across gov programs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The problem your engine attacks, quantified</w:t>
            </w:r>
          </w:p>
        </w:tc>
      </w:tr>
      <w:tr>
        <w:tc>
          <w:tcPr>
            <w:tcW w:type="dxa" w:w="2600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</w:rPr>
              <w:t xml:space="preserve">Medicare FFS improper pay</w:t>
            </w:r>
          </w:p>
        </w:tc>
        <w:tc>
          <w:tcPr>
            <w:tcW w:type="dxa" w:w="2900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$28.8B (2025)</w:t>
            </w:r>
          </w:p>
        </w:tc>
        <w:tc>
          <w:tcPr>
            <w:tcW w:type="dxa" w:w="3860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One program alone dwarfs most software TAMs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</w:rPr>
              <w:t xml:space="preserve">Medicaid improper pay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$37.4B (6.12%)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Rising — the pain is getting worse, not better</w:t>
            </w:r>
          </w:p>
        </w:tc>
      </w:tr>
      <w:tr>
        <w:tc>
          <w:tcPr>
            <w:tcW w:type="dxa" w:w="2600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</w:rPr>
              <w:t xml:space="preserve">Claims error rate</w:t>
            </w:r>
          </w:p>
        </w:tc>
        <w:tc>
          <w:tcPr>
            <w:tcW w:type="dxa" w:w="2900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~6.26%</w:t>
            </w:r>
          </w:p>
        </w:tc>
        <w:tc>
          <w:tcPr>
            <w:tcW w:type="dxa" w:w="3860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Persistent structural leakage every payer feels</w:t>
            </w:r>
          </w:p>
        </w:tc>
      </w:tr>
    </w:tbl>
    <w:p>
      <w:pPr>
        <w:spacing w:after="120" w:line="276"/>
      </w:pPr>
      <w:r>
        <w:t xml:space="preserve">The market is also shifting </w:t>
      </w:r>
      <w:r>
        <w:rPr>
          <w:b/>
          <w:bCs/>
          <w:color w:val="1F3A5F"/>
        </w:rPr>
        <w:t xml:space="preserve">from post-payment recovery to pre-payment prevention</w:t>
      </w:r>
      <w:r>
        <w:t xml:space="preserve"> (KLAS, Everest) — exactly where a modern, AI-first, fast-to-deploy tool has an opening against slow incumbents.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left w:val="single" w:color="1F3A5F" w:sz="24"/>
            </w:tcBorders>
            <w:shd w:fill="EEF2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The one-sentence market case for leadership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US payers and government programs lose ~$95B a year to improper payments; the software market to stop it is ~$16B and growing ~13% a year; and the industry is actively moving toward the pre-payment, AI-driven approach we have already built.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b/>
          <w:bCs/>
          <w:color w:val="1F3A5F"/>
        </w:rPr>
        <w:t xml:space="preserve">4. The competition — and where you can actually win</w:t>
      </w:r>
    </w:p>
    <w:p>
      <w:pPr>
        <w:spacing w:after="120" w:line="276"/>
      </w:pPr>
      <w:r>
        <w:t xml:space="preserve">Being honest about the incumbents is what makes the rest of this document credible. The PI market has serious, entrenched leaders: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860"/>
      </w:tblGrid>
      <w:tr>
        <w:trPr>
          <w:tblHeader/>
        </w:trPr>
        <w:tc>
          <w:tcPr>
            <w:tcW w:type="dxa" w:w="22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Incumbent</w:t>
            </w:r>
          </w:p>
        </w:tc>
        <w:tc>
          <w:tcPr>
            <w:tcW w:type="dxa" w:w="33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Scale</w:t>
            </w:r>
          </w:p>
        </w:tc>
        <w:tc>
          <w:tcPr>
            <w:tcW w:type="dxa" w:w="386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Their weakness (your opening)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</w:rPr>
              <w:t xml:space="preserve">Cotiviti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200+ payers, all top-25 US plans, ~$10B saved/yr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Enterprise-only, slow, expensive, legacy</w:t>
            </w:r>
          </w:p>
        </w:tc>
      </w:tr>
      <w:tr>
        <w:tc>
          <w:tcPr>
            <w:tcW w:type="dxa" w:w="2200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</w:rPr>
              <w:t xml:space="preserve">Optum</w:t>
            </w:r>
          </w:p>
        </w:tc>
        <w:tc>
          <w:tcPr>
            <w:tcW w:type="dxa" w:w="3300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&gt;$8B saved/yr, broadest portfolio</w:t>
            </w:r>
          </w:p>
        </w:tc>
        <w:tc>
          <w:tcPr>
            <w:tcW w:type="dxa" w:w="3860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Customers cite support &amp; service gaps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</w:rPr>
              <w:t xml:space="preserve">Gainwell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~$11B saved/recovered</w:t>
            </w:r>
          </w:p>
        </w:tc>
        <w:tc>
          <w:tcPr>
            <w:tcW w:type="dxa" w:w="3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Government-focused, heavy implementation</w:t>
            </w:r>
          </w:p>
        </w:tc>
      </w:tr>
      <w:tr>
        <w:tc>
          <w:tcPr>
            <w:tcW w:type="dxa" w:w="2200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</w:rPr>
              <w:t xml:space="preserve">Zelis / Claritev / SAS</w:t>
            </w:r>
          </w:p>
        </w:tc>
        <w:tc>
          <w:tcPr>
            <w:tcW w:type="dxa" w:w="3300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Large platforms</w:t>
            </w:r>
          </w:p>
        </w:tc>
        <w:tc>
          <w:tcPr>
            <w:tcW w:type="dxa" w:w="3860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Not built for fast, mid-market, AI-native onboarding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2E7D6F"/>
        </w:rPr>
        <w:t xml:space="preserve">Where a small, focused product can win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b/>
          <w:bCs/>
        </w:rPr>
        <w:t xml:space="preserve">Down-market / mid-market payers, TPAs, and self-insured employers</w:t>
      </w:r>
      <w:r>
        <w:t xml:space="preserve"> that Cotiviti and Optum barely serve — too small for the incumbents, too big for spreadsheets.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b/>
          <w:bCs/>
        </w:rPr>
        <w:t xml:space="preserve">Speed and transparency</w:t>
      </w:r>
      <w:r>
        <w:t xml:space="preserve"> — upload claims and see a prioritized, explainable worklist in minutes, versus multi-month enterprise implementations.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b/>
          <w:bCs/>
        </w:rPr>
        <w:t xml:space="preserve">AI-native narratives + explainability</w:t>
      </w:r>
      <w:r>
        <w:t xml:space="preserve"> — every finding carries a reason and a confidence, so an analyst trusts and acts on it. A genuine 2026 differentiator, not a gimmick.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left w:val="single" w:color="B23A3A" w:sz="24"/>
            </w:tcBorders>
            <w:shd w:fill="FBEE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23A3A"/>
              </w:rPr>
              <w:t xml:space="preserve">Uncomfortable truths to say out loud (so leadership hears them from you first)</w:t>
            </w:r>
          </w:p>
          <w:p>
            <w:pPr>
              <w:spacing w:after="40"/>
            </w:pPr>
            <w:r>
              <w:rPr>
                <w:b/>
                <w:bCs/>
                <w:color w:val="B23A3A"/>
              </w:rPr>
              <w:t xml:space="preserve">1. Reference data gap. </w:t>
            </w:r>
            <w:r>
              <w:t xml:space="preserve">Credible PI needs licensed NCCI edits, fee schedules, DRG grouper and COB logic. Today those are phase-2. Without them you catch statistical anomalies, not policy violations — good for a wedge, not yet full parity.</w:t>
            </w:r>
          </w:p>
          <w:p>
            <w:pPr>
              <w:spacing w:after="40"/>
            </w:pPr>
            <w:r>
              <w:rPr>
                <w:b/>
                <w:bCs/>
                <w:color w:val="B23A3A"/>
              </w:rPr>
              <w:t xml:space="preserve">2. HIPAA / BAA reality. </w:t>
            </w:r>
            <w:r>
              <w:t xml:space="preserve">Real member data means a signed BAA, locked-down access and encryption. The demo uses synthetic data (correctly), but no payer sends real claims until this is real.</w:t>
            </w:r>
          </w:p>
          <w:p>
            <w:pPr>
              <w:spacing w:after="40"/>
            </w:pPr>
            <w:r>
              <w:rPr>
                <w:b/>
                <w:bCs/>
                <w:color w:val="B23A3A"/>
              </w:rPr>
              <w:t xml:space="preserve">3. Solo-build scope. </w:t>
            </w:r>
            <w:r>
              <w:t xml:space="preserve">One person cannot carry enterprise sales, 24/7 support, security audits (SOC 2 / HITRUST) and roadmap at once. Approval should come with people or a partner, not just a green light.</w:t>
            </w:r>
          </w:p>
          <w:p>
            <w:pPr>
              <w:spacing w:after="40"/>
            </w:pPr>
            <w:r>
              <w:rPr>
                <w:b/>
                <w:bCs/>
                <w:color w:val="B23A3A"/>
              </w:rPr>
              <w:t xml:space="preserve">4. Trust barrier. </w:t>
            </w:r>
            <w:r>
              <w:t xml:space="preserve">Payers give recoveries to vendors with references and track records. Your first customer is the hardest; you win it with a design partner and a proof, not a price list.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b/>
          <w:bCs/>
          <w:color w:val="1F3A5F"/>
        </w:rPr>
        <w:t xml:space="preserve">5. GTM readiness — where you really are</w:t>
      </w:r>
    </w:p>
    <w:p>
      <w:pPr>
        <w:spacing w:after="120" w:line="276"/>
      </w:pPr>
      <w:r>
        <w:t xml:space="preserve">A candid scorecard. ‘Ready’ means you could put it in front of a paying customer today; ‘Gap’ means it blocks revenue.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4660"/>
      </w:tblGrid>
      <w:tr>
        <w:trPr>
          <w:tblHeader/>
        </w:trPr>
        <w:tc>
          <w:tcPr>
            <w:tcW w:type="dxa" w:w="32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Dimension</w:t>
            </w:r>
          </w:p>
        </w:tc>
        <w:tc>
          <w:tcPr>
            <w:tcW w:type="dxa" w:w="15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466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Note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</w:rPr>
              <w:t xml:space="preserve">Working product / demo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Ready</w:t>
            </w:r>
          </w:p>
        </w:tc>
        <w:tc>
          <w:tcPr>
            <w:tcW w:type="dxa" w:w="46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Tested engine + realistic data + live flow</w:t>
            </w:r>
          </w:p>
        </w:tc>
      </w:tr>
      <w:tr>
        <w:tc>
          <w:tcPr>
            <w:tcW w:type="dxa" w:w="3200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</w:rPr>
              <w:t xml:space="preserve">Deployment path</w:t>
            </w:r>
          </w:p>
        </w:tc>
        <w:tc>
          <w:tcPr>
            <w:tcW w:type="dxa" w:w="1500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Ready</w:t>
            </w:r>
          </w:p>
        </w:tc>
        <w:tc>
          <w:tcPr>
            <w:tcW w:type="dxa" w:w="4660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Cloud Run runbook, ~$25–45/mo warm, ~$0 idle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</w:rPr>
              <w:t xml:space="preserve">Named prospect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Partial</w:t>
            </w:r>
          </w:p>
        </w:tc>
        <w:tc>
          <w:tcPr>
            <w:tcW w:type="dxa" w:w="46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Cognizant context — not yet a signed design partner</w:t>
            </w:r>
          </w:p>
        </w:tc>
      </w:tr>
      <w:tr>
        <w:tc>
          <w:tcPr>
            <w:tcW w:type="dxa" w:w="3200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</w:rPr>
              <w:t xml:space="preserve">Reference data (NCCI/DRG/COB)</w:t>
            </w:r>
          </w:p>
        </w:tc>
        <w:tc>
          <w:tcPr>
            <w:tcW w:type="dxa" w:w="1500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Gap</w:t>
            </w:r>
          </w:p>
        </w:tc>
        <w:tc>
          <w:tcPr>
            <w:tcW w:type="dxa" w:w="4660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Phase-2; needed for policy-grade findings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</w:rPr>
              <w:t xml:space="preserve">HIPAA / BAA / security posture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Gap</w:t>
            </w:r>
          </w:p>
        </w:tc>
        <w:tc>
          <w:tcPr>
            <w:tcW w:type="dxa" w:w="46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Required before any real PHI</w:t>
            </w:r>
          </w:p>
        </w:tc>
      </w:tr>
      <w:tr>
        <w:tc>
          <w:tcPr>
            <w:tcW w:type="dxa" w:w="3200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</w:rPr>
              <w:t xml:space="preserve">Pricing &amp; packaging</w:t>
            </w:r>
          </w:p>
        </w:tc>
        <w:tc>
          <w:tcPr>
            <w:tcW w:type="dxa" w:w="1500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Gap</w:t>
            </w:r>
          </w:p>
        </w:tc>
        <w:tc>
          <w:tcPr>
            <w:tcW w:type="dxa" w:w="4660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 defined model (see §6)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</w:rPr>
              <w:t xml:space="preserve">Repeatable sales motion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Gap</w:t>
            </w:r>
          </w:p>
        </w:tc>
        <w:tc>
          <w:tcPr>
            <w:tcW w:type="dxa" w:w="46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 pipeline, no reference logo yet</w:t>
            </w:r>
          </w:p>
        </w:tc>
      </w:tr>
      <w:tr>
        <w:tc>
          <w:tcPr>
            <w:tcW w:type="dxa" w:w="3200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</w:rPr>
              <w:t xml:space="preserve">Compliance certs (SOC2/HITRUST)</w:t>
            </w:r>
          </w:p>
        </w:tc>
        <w:tc>
          <w:tcPr>
            <w:tcW w:type="dxa" w:w="1500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Gap</w:t>
            </w:r>
          </w:p>
        </w:tc>
        <w:tc>
          <w:tcPr>
            <w:tcW w:type="dxa" w:w="4660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Table stakes for payer procurement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Read this as encouraging, not discouraging: </w:t>
      </w:r>
      <w:r>
        <w:t xml:space="preserve">the ‘Ready’ rows are the expensive-to-build ones (a real product). The ‘Gap’ rows are mostly commercial and compliance work that a funded, staffed effort closes in a quarter or two — exactly what you are asking leadership to fund.</w:t>
      </w:r>
    </w:p>
    <w:p>
      <w:r>
        <w:br w:type="page"/>
      </w:r>
    </w:p>
    <w:p>
      <w:pPr>
        <w:pStyle w:val="Heading1"/>
        <w:spacing w:after="140" w:before="300"/>
      </w:pPr>
      <w:r>
        <w:rPr>
          <w:b/>
          <w:bCs/>
          <w:color w:val="1F3A5F"/>
        </w:rPr>
        <w:t xml:space="preserve">6. What to take to leadership</w:t>
      </w:r>
    </w:p>
    <w:p>
      <w:pPr>
        <w:spacing w:after="120" w:line="276"/>
      </w:pPr>
      <w:r>
        <w:t xml:space="preserve">Frame the request as a focused, fundable bet with a clear customer and a time-boxed proof.</w:t>
      </w:r>
    </w:p>
    <w:p>
      <w:pPr>
        <w:pStyle w:val="Heading2"/>
        <w:spacing w:after="100" w:before="220"/>
      </w:pPr>
      <w:r>
        <w:rPr>
          <w:b/>
          <w:bCs/>
          <w:color w:val="2E7D6F"/>
        </w:rPr>
        <w:t xml:space="preserve">The recommended strategy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b/>
          <w:bCs/>
        </w:rPr>
        <w:t xml:space="preserve">Reposition: </w:t>
      </w:r>
      <w:r>
        <w:t xml:space="preserve">InsightHub is a Payment Integrity product for mid-market payers, TPAs and self-insured employers — built on a reusable multi-tenant analytics platform. Lead vertical, not horizontal.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b/>
          <w:bCs/>
        </w:rPr>
        <w:t xml:space="preserve">Narrow the domains: </w:t>
      </w:r>
      <w:r>
        <w:t xml:space="preserve">Pause the pharmacy/retail/SaaS/accounting breadth. Keep the platform generic under the hood, but sell one thing.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b/>
          <w:bCs/>
        </w:rPr>
        <w:t xml:space="preserve">Land one design partner: </w:t>
      </w:r>
      <w:r>
        <w:t xml:space="preserve">A single payer/TPA willing to run a 90-day proof on real (BAA-covered) claims is worth more than any amount of feature work.</w:t>
      </w:r>
    </w:p>
    <w:p>
      <w:pPr>
        <w:pStyle w:val="Heading2"/>
        <w:spacing w:after="100" w:before="220"/>
      </w:pPr>
      <w:r>
        <w:rPr>
          <w:b/>
          <w:bCs/>
          <w:color w:val="2E7D6F"/>
        </w:rPr>
        <w:t xml:space="preserve">The 90-day proof (what approval should buy)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4760"/>
      </w:tblGrid>
      <w:tr>
        <w:trPr>
          <w:tblHeader/>
        </w:trPr>
        <w:tc>
          <w:tcPr>
            <w:tcW w:type="dxa" w:w="34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Milestone</w:t>
            </w:r>
          </w:p>
        </w:tc>
        <w:tc>
          <w:tcPr>
            <w:tcW w:type="dxa" w:w="12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By day</w:t>
            </w:r>
          </w:p>
        </w:tc>
        <w:tc>
          <w:tcPr>
            <w:tcW w:type="dxa" w:w="476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Proof point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</w:rPr>
              <w:t xml:space="preserve">Sign 1 design partner (BAA)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30</w:t>
            </w:r>
          </w:p>
        </w:tc>
        <w:tc>
          <w:tcPr>
            <w:tcW w:type="dxa" w:w="4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Real prospect commits to a proof</w:t>
            </w:r>
          </w:p>
        </w:tc>
      </w:tr>
      <w:tr>
        <w:tc>
          <w:tcPr>
            <w:tcW w:type="dxa" w:w="3400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</w:rPr>
              <w:t xml:space="preserve">License core reference data</w:t>
            </w:r>
          </w:p>
        </w:tc>
        <w:tc>
          <w:tcPr>
            <w:tcW w:type="dxa" w:w="1200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45</w:t>
            </w:r>
          </w:p>
        </w:tc>
        <w:tc>
          <w:tcPr>
            <w:tcW w:type="dxa" w:w="4760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NCCI + fee schedule → policy-grade findings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</w:rPr>
              <w:t xml:space="preserve">Run on real claims sample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60</w:t>
            </w:r>
          </w:p>
        </w:tc>
        <w:tc>
          <w:tcPr>
            <w:tcW w:type="dxa" w:w="4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Measured $ found vs. baseline</w:t>
            </w:r>
          </w:p>
        </w:tc>
      </w:tr>
      <w:tr>
        <w:tc>
          <w:tcPr>
            <w:tcW w:type="dxa" w:w="3400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</w:rPr>
              <w:t xml:space="preserve">Quantified savings readout</w:t>
            </w:r>
          </w:p>
        </w:tc>
        <w:tc>
          <w:tcPr>
            <w:tcW w:type="dxa" w:w="1200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90</w:t>
            </w:r>
          </w:p>
        </w:tc>
        <w:tc>
          <w:tcPr>
            <w:tcW w:type="dxa" w:w="4760"/>
            <w:shd w:fill="EE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"$X recoverable per $1M claims" — the number that sells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2E7D6F"/>
        </w:rPr>
        <w:t xml:space="preserve">Pricing to propose (directional)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b/>
          <w:bCs/>
        </w:rPr>
        <w:t xml:space="preserve">Contingency / % of savings</w:t>
      </w:r>
      <w:r>
        <w:t xml:space="preserve"> — aligns with how payers already buy PI; low friction, you earn on results.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b/>
          <w:bCs/>
        </w:rPr>
        <w:t xml:space="preserve">Or PMPM + platform fee</w:t>
      </w:r>
      <w:r>
        <w:t xml:space="preserve"> — predictable SaaS revenue once trust is established.</w:t>
      </w:r>
    </w:p>
    <w:p>
      <w:pPr>
        <w:pStyle w:val="Heading2"/>
        <w:spacing w:after="100" w:before="220"/>
      </w:pPr>
      <w:r>
        <w:rPr>
          <w:b/>
          <w:bCs/>
          <w:color w:val="2E7D6F"/>
        </w:rPr>
        <w:t xml:space="preserve">The explicit 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left w:val="single" w:color="2E7D6F" w:sz="24"/>
            </w:tcBorders>
            <w:shd w:fill="EAF3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D6F"/>
              </w:rPr>
              <w:t xml:space="preserve">What I recommend you request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• A time-boxed mandate</w:t>
            </w:r>
            <w:r>
              <w:t xml:space="preserve"> to prove the PI wedge — one design partner, 90 days.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• A budget for reference-data licensing</w:t>
            </w:r>
            <w:r>
              <w:t xml:space="preserve"> (NCCI / fee schedule / DRG) and a BAA/security baseline.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• At least one more pair of hands</w:t>
            </w:r>
            <w:r>
              <w:t xml:space="preserve"> (or a delivery/compliance partner) — so it isn’t a single-point-of-failure build.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• A clear kill/scale gate at day 90</w:t>
            </w:r>
            <w:r>
              <w:t xml:space="preserve">: if the proof shows real recoverable $, scale; if not, stop cleanly. Leadership loves a bet with a built-in stop.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b/>
          <w:bCs/>
          <w:color w:val="1F3A5F"/>
        </w:rPr>
        <w:t xml:space="preserve">7. Verdict</w:t>
      </w:r>
    </w:p>
    <w:p>
      <w:pPr>
        <w:spacing w:after="120" w:line="276"/>
      </w:pPr>
      <w:r>
        <w:rPr>
          <w:b/>
          <w:bCs/>
          <w:color w:val="1F3A5F"/>
        </w:rPr>
        <w:t xml:space="preserve">Are you spending your time on the right product? </w:t>
      </w:r>
      <w:r>
        <w:t xml:space="preserve">The engineering — yes. The positioning — change it from horizontal to vertical. The payment-integrity work is the most valuable thing you have built and the most sellable thing you can pitch.</w:t>
      </w:r>
    </w:p>
    <w:p>
      <w:pPr>
        <w:spacing w:after="120" w:line="276"/>
      </w:pPr>
      <w:r>
        <w:rPr>
          <w:b/>
          <w:bCs/>
          <w:color w:val="1F3A5F"/>
        </w:rPr>
        <w:t xml:space="preserve">Is it something the market needs? </w:t>
      </w:r>
      <w:r>
        <w:t xml:space="preserve">The generic AI-BI platform: not really — crowded and commoditizing. Payment integrity: yes, unambiguously — ~$95B of annual improper payments and a ~$16B growing software market prove the need is real and funded.</w:t>
      </w:r>
    </w:p>
    <w:p>
      <w:pPr>
        <w:spacing w:after="120" w:line="276"/>
      </w:pPr>
      <w:r>
        <w:rPr>
          <w:b/>
          <w:bCs/>
          <w:color w:val="1F3A5F"/>
        </w:rPr>
        <w:t xml:space="preserve">Will you get approval? </w:t>
      </w:r>
      <w:r>
        <w:t xml:space="preserve">Walk in with the horizontal platform story and you invite the comparison you can’t win. Walk in with ‘working PI MVP + a named payer + a 90-day, kill-gated proof against a $95B problem,’ and you are giving leadership exactly the shape of bet they know how to say yes to. That is an approvable pitch — and you already have the hardest part built.</w:t>
      </w:r>
    </w:p>
    <w:p>
      <w:pPr>
        <w:pBdr>
          <w:bottom w:val="single" w:color="CCCCCC" w:sz="6"/>
        </w:pBdr>
        <w:spacing w:after="120"/>
      </w:pPr>
    </w:p>
    <w:p>
      <w:pPr>
        <w:spacing w:after="120" w:line="276"/>
      </w:pPr>
      <w:r>
        <w:rPr>
          <w:i/>
          <w:iCs/>
          <w:color w:val="555555"/>
          <w:sz w:val="18"/>
          <w:szCs w:val="18"/>
        </w:rPr>
        <w:t xml:space="preserve">Prepared as an honest internal assessment. Market figures are 2025–2026 third-party estimates and should be cited as directional, not audited.</w:t>
      </w:r>
    </w:p>
    <w:p>
      <w:pPr>
        <w:pStyle w:val="Heading2"/>
        <w:spacing w:after="100" w:before="220"/>
      </w:pPr>
      <w:r>
        <w:rPr>
          <w:b/>
          <w:bCs/>
          <w:color w:val="2E7D6F"/>
        </w:rPr>
        <w:t xml:space="preserve">Sources</w:t>
      </w:r>
    </w:p>
    <w:p>
      <w:pPr>
        <w:spacing w:after="40"/>
      </w:pPr>
      <w:r>
        <w:rPr>
          <w:color w:val="555555"/>
          <w:sz w:val="18"/>
          <w:szCs w:val="18"/>
        </w:rPr>
        <w:t xml:space="preserve">• Healthcare Payment Integrity Market Outlook 2026–2034 — Research and Markets</w:t>
      </w:r>
    </w:p>
    <w:p>
      <w:pPr>
        <w:spacing w:after="40"/>
      </w:pPr>
      <w:r>
        <w:rPr>
          <w:color w:val="555555"/>
          <w:sz w:val="18"/>
          <w:szCs w:val="18"/>
        </w:rPr>
        <w:t xml:space="preserve">• Payment Integrity Market Size to Hit USD 34.82B by 2035 — Cervicorn Consulting</w:t>
      </w:r>
    </w:p>
    <w:p>
      <w:pPr>
        <w:spacing w:after="40"/>
      </w:pPr>
      <w:r>
        <w:rPr>
          <w:color w:val="555555"/>
          <w:sz w:val="18"/>
          <w:szCs w:val="18"/>
        </w:rPr>
        <w:t xml:space="preserve">• Healthcare Payment Integrity Market — Mordor Intelligence</w:t>
      </w:r>
    </w:p>
    <w:p>
      <w:pPr>
        <w:spacing w:after="40"/>
      </w:pPr>
      <w:r>
        <w:rPr>
          <w:color w:val="555555"/>
          <w:sz w:val="18"/>
          <w:szCs w:val="18"/>
        </w:rPr>
        <w:t xml:space="preserve">• Medicare FFS improper payments hit $28.8B: CMS — Becker’s Payer Issues</w:t>
      </w:r>
    </w:p>
    <w:p>
      <w:pPr>
        <w:spacing w:after="40"/>
      </w:pPr>
      <w:r>
        <w:rPr>
          <w:color w:val="555555"/>
          <w:sz w:val="18"/>
          <w:szCs w:val="18"/>
        </w:rPr>
        <w:t xml:space="preserve">• Medicare Program Integrity &amp; Improper Payments — KFF</w:t>
      </w:r>
    </w:p>
    <w:p>
      <w:pPr>
        <w:spacing w:after="40"/>
      </w:pPr>
      <w:r>
        <w:rPr>
          <w:color w:val="555555"/>
          <w:sz w:val="18"/>
          <w:szCs w:val="18"/>
        </w:rPr>
        <w:t xml:space="preserve">• Crushing Fraud, Waste &amp; Abuse — CMS.gov</w:t>
      </w:r>
    </w:p>
    <w:p>
      <w:pPr>
        <w:spacing w:after="40"/>
      </w:pPr>
      <w:r>
        <w:rPr>
          <w:color w:val="555555"/>
          <w:sz w:val="18"/>
          <w:szCs w:val="18"/>
        </w:rPr>
        <w:t xml:space="preserve">• Payment Integrity Solutions Provider Compendium 2025 — Everest Group</w:t>
      </w:r>
    </w:p>
    <w:p>
      <w:pPr>
        <w:spacing w:after="40"/>
      </w:pPr>
      <w:r>
        <w:rPr>
          <w:color w:val="555555"/>
          <w:sz w:val="18"/>
          <w:szCs w:val="18"/>
        </w:rPr>
        <w:t xml:space="preserve">• Payment Accuracy &amp; Integrity 2025 — KLAS Research</w:t>
      </w:r>
    </w:p>
    <w:p>
      <w:pPr>
        <w:spacing w:after="40"/>
      </w:pPr>
      <w:r>
        <w:rPr>
          <w:color w:val="555555"/>
          <w:sz w:val="18"/>
          <w:szCs w:val="18"/>
        </w:rPr>
        <w:t xml:space="preserve">• Healthcare Payment Integrity Companies: Best Providers 2026 — Helpware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E7D6F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2026-08-26T07:48:56.410Z</dcterms:created>
  <dcterms:modified xsi:type="dcterms:W3CDTF">2026-08-26T07:48:56.425Z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