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rPr>
          <w:sz w:val="72"/>
          <w:szCs w:val="72"/>
        </w:rPr>
        <w:t xml:space="preserve"/>
      </w:r>
    </w:p>
    <w:p>
      <w:pPr>
        <w:jc w:val="center"/>
      </w:pPr>
      <w:r>
        <w:rPr>
          <w:b/>
          <w:bCs/>
          <w:color w:val="2E75B6"/>
          <w:sz w:val="48"/>
          <w:szCs w:val="48"/>
        </w:rPr>
        <w:t xml:space="preserve">GREENTECH INNOVATIONS INC.</w:t>
      </w:r>
    </w:p>
    <w:p>
      <w:pPr>
        <w:spacing w:before="240" w:after="120"/>
        <w:jc w:val="center"/>
      </w:pPr>
      <w:r>
        <w:rPr>
          <w:sz w:val="36"/>
          <w:szCs w:val="36"/>
        </w:rPr>
        <w:t xml:space="preserve">Environmental, Social, and Governance Report</w:t>
      </w:r>
    </w:p>
    <w:p>
      <w:pPr>
        <w:spacing w:before="120"/>
        <w:jc w:val="center"/>
      </w:pPr>
      <w:r>
        <w:rPr>
          <w:i/>
          <w:iCs/>
          <w:sz w:val="32"/>
          <w:szCs w:val="32"/>
        </w:rPr>
        <w:t xml:space="preserve">Fiscal Year 2024</w:t>
      </w:r>
    </w:p>
    <w:p>
      <w:pPr>
        <w:spacing w:before="2400"/>
        <w:jc w:val="center"/>
      </w:pPr>
      <w:r>
        <w:rPr>
          <w:i/>
          <w:iCs/>
          <w:color w:val="5A5A5A"/>
          <w:sz w:val="28"/>
          <w:szCs w:val="28"/>
        </w:rPr>
        <w:t xml:space="preserve">Building a Sustainable Future, One Innovation at a Time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40"/>
      </w:pPr>
      <w:r>
        <w:t xml:space="preserve">GreenTech Innovations Inc. is pleased to present our comprehensive Environmental, Social, and Governance (ESG) Report for Fiscal Year 2024. As a leader in sustainable technology solutions, we remain committed to driving positive environmental impact while delivering exceptional value to our stakeholders.</w:t>
      </w:r>
    </w:p>
    <w:p>
      <w:pPr>
        <w:spacing w:after="240"/>
      </w:pPr>
      <w:r>
        <w:t xml:space="preserve">This year marks a transformative period in our sustainability journey. We have made significant strides across all three pillars of ESG, demonstrating our unwavering commitment to responsible business practices and environmental stewardship. Our innovative approaches to carbon management, social equity, and corporate governance position us as a forward-thinking organization ready to meet the challenges of tomorrow.</w:t>
      </w:r>
    </w:p>
    <w:p>
      <w:pPr>
        <w:spacing w:after="240"/>
      </w:pPr>
      <w:r>
        <w:t xml:space="preserve">Key highlights from FY2024 include our ambitious climate commitments, expanded diversity initiatives, strengthened board oversight, and continued investment in sustainable innovation. We recognize that the path to sustainability is ongoing, and we are committed to transparency, accountability, and continuous improvement as we work toward our vision of a carbon-neutral future.</w:t>
      </w:r>
    </w:p>
    <w:p>
      <w:r>
        <w:br w:type="page"/>
      </w:r>
    </w:p>
    <w:p>
      <w:pPr>
        <w:pStyle w:val="Heading1"/>
      </w:pPr>
      <w:r>
        <w:t xml:space="preserve">Environmental Performance</w:t>
      </w:r>
    </w:p>
    <w:p>
      <w:pPr>
        <w:pStyle w:val="Heading2"/>
      </w:pPr>
      <w:r>
        <w:t xml:space="preserve">Climate Strategy and Carbon Footprint</w:t>
      </w:r>
    </w:p>
    <w:p>
      <w:pPr>
        <w:spacing w:after="240"/>
      </w:pPr>
      <w:r>
        <w:t xml:space="preserve">GreenTech Innovations is committed to achieving carbon neutrality across our operations. We aim to substantially reduce our greenhouse gas emissions and will seek to implement renewable energy solutions where feasible and economically viable. Our climate strategy reflects our dedication to environmental responsibility while maintaining operational flexibility to adapt to evolving market conditions.</w:t>
      </w:r>
    </w:p>
    <w:p>
      <w:pPr>
        <w:pStyle w:val="Heading3"/>
      </w:pPr>
      <w:r>
        <w:t xml:space="preserve">Greenhouse Gas Emissions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Scope</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FY2024 (tCO2e)</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FY2023 (tCO2e)</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Change (%)</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Scope 1 (Direct)</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2,450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2,380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+2.9%</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Scope 2 (Indirect - Energy)</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3,820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3,650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+4.7%</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Scope 3 (Value Chain)*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~18,500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~17,200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Emissions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24,770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23,230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+6.6%</w:t>
            </w:r>
          </w:p>
        </w:tc>
      </w:tr>
    </w:tbl>
    <w:p>
      <w:pPr>
        <w:spacing w:before="120" w:after="240"/>
      </w:pPr>
      <w:r>
        <w:rPr>
          <w:i/>
          <w:iCs/>
          <w:sz w:val="20"/>
          <w:szCs w:val="20"/>
        </w:rPr>
        <w:t xml:space="preserve">*Scope 3 emissions are estimated using industry averages and may not reflect actual supplier data. Calculations are subject to revision as measurement methodologies improve.</w:t>
      </w:r>
    </w:p>
    <w:p>
      <w:pPr>
        <w:spacing w:after="240"/>
      </w:pPr>
      <w:r>
        <w:t xml:space="preserve">While our total emissions increased in FY2024 due to business expansion, we remain committed to reducing our carbon intensity over time. We intend to explore opportunities for emissions reduction where technologically and economically feasible, recognizing that rapid growth may temporarily impact our environmental metrics. Our long-term vision includes transitioning to cleaner energy sources, subject to availability and cost considerations.</w:t>
      </w:r>
    </w:p>
    <w:p>
      <w:pPr>
        <w:pStyle w:val="Heading3"/>
      </w:pPr>
      <w:r>
        <w:t xml:space="preserve">Energy Consumption and Renewable 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Energy Type</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FY2024 (MWh)</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FY2023 (MWh)</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 of Total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Grid Electricity</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8,420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7,890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68%</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Natural Gas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2,340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2,210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Renewable Energy (Solar)**</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1,620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1,380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Energy Use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12,380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11,480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w:t>
            </w:r>
          </w:p>
        </w:tc>
      </w:tr>
    </w:tbl>
    <w:p>
      <w:pPr>
        <w:spacing w:before="120" w:after="240"/>
      </w:pPr>
      <w:r>
        <w:rPr>
          <w:i/>
          <w:iCs/>
          <w:sz w:val="20"/>
          <w:szCs w:val="20"/>
        </w:rPr>
        <w:t xml:space="preserve">**Includes solar energy from rooftop installations and renewable energy credits (RECs) purchased to offset a portion of our grid electricity consumption.</w:t>
      </w:r>
    </w:p>
    <w:p>
      <w:pPr>
        <w:spacing w:after="240"/>
      </w:pPr>
      <w:r>
        <w:t xml:space="preserve">Our investment in renewable energy demonstrates our leadership in sustainability. Through strategic procurement of renewable energy credits and on-site solar installations, we are actively contributing to the growth of clean energy infrastructure. We aspire to increase our renewable energy portfolio as opportunities arise, supporting the broader transition to a low-carbon economy.</w:t>
      </w:r>
    </w:p>
    <w:p>
      <w:pPr>
        <w:pStyle w:val="Heading2"/>
      </w:pPr>
      <w:r>
        <w:t xml:space="preserve">Water Management and Conservation</w:t>
      </w:r>
    </w:p>
    <w:p>
      <w:pPr>
        <w:spacing w:after="240"/>
      </w:pPr>
      <w:r>
        <w:t xml:space="preserve">Water stewardship is a cornerstone of our environmental commitment. We have implemented various water conservation measures across our facilities to minimize consumption and protect this vital resource for future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20"/>
        <w:gridCol w:w="1820"/>
        <w:gridCol w:w="1820"/>
      </w:tblGrid>
      <w:tr>
        <w:tc>
          <w:tcPr>
            <w:tcW w:type="dxa" w:w="3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Metric</w:t>
            </w:r>
          </w:p>
        </w:tc>
        <w:tc>
          <w:tcPr>
            <w:tcW w:type="dxa" w:w="18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FY2024</w:t>
            </w:r>
          </w:p>
        </w:tc>
        <w:tc>
          <w:tcPr>
            <w:tcW w:type="dxa" w:w="18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FY2023</w:t>
            </w:r>
          </w:p>
        </w:tc>
        <w:tc>
          <w:tcPr>
            <w:tcW w:type="dxa" w:w="18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Change</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Water Withdrawal (m³)</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45,600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43,200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+5.6%</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Water Recycled/Reused (m³)</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4,100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3,800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+7.9%</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Water Intensity (m³/employee)</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152</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156</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-2.6%</w:t>
            </w:r>
          </w:p>
        </w:tc>
      </w:tr>
    </w:tbl>
    <w:p>
      <w:pPr>
        <w:spacing w:before="120" w:after="240"/>
      </w:pPr>
      <w:r>
        <w:t xml:space="preserve">We aim to optimize water efficiency through ongoing monitoring and process improvements. Where practical, we seek to implement water recycling systems and pursue opportunities to reduce water intensity. Our approach balances operational needs with environmental responsibility, and we continue to explore innovative solutions that may enhance our water management practices in the coming years.</w:t>
      </w:r>
    </w:p>
    <w:p>
      <w:pPr>
        <w:pStyle w:val="Heading2"/>
      </w:pPr>
      <w:r>
        <w:t xml:space="preserve">Waste Management and Circular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20"/>
        <w:gridCol w:w="1820"/>
        <w:gridCol w:w="1920"/>
      </w:tblGrid>
      <w:tr>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Waste Category</w:t>
            </w:r>
          </w:p>
        </w:tc>
        <w:tc>
          <w:tcPr>
            <w:tcW w:type="dxa" w:w="18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FY2024 (tonnes)</w:t>
            </w:r>
          </w:p>
        </w:tc>
        <w:tc>
          <w:tcPr>
            <w:tcW w:type="dxa" w:w="18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Recycling Rate</w:t>
            </w:r>
          </w:p>
        </w:tc>
        <w:tc>
          <w:tcPr>
            <w:tcW w:type="dxa" w:w="19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Disposal Method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General Waste</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340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Landfill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Recyclable Materials</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280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Third-party recycler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E-Waste</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45</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~85%***</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Certified processor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Hazardous Waste</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Licensed facility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Waste Generated</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677</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41%</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Various</w:t>
            </w:r>
          </w:p>
        </w:tc>
      </w:tr>
    </w:tbl>
    <w:p>
      <w:pPr>
        <w:spacing w:before="120" w:after="240"/>
      </w:pPr>
      <w:r>
        <w:rPr>
          <w:i/>
          <w:iCs/>
          <w:sz w:val="20"/>
          <w:szCs w:val="20"/>
        </w:rPr>
        <w:t xml:space="preserve">***E-waste recycling rate is estimated based on processor certifications and may include materials sent for energy recovery.</w:t>
      </w:r>
    </w:p>
    <w:p>
      <w:pPr>
        <w:spacing w:after="240"/>
      </w:pPr>
      <w:r>
        <w:t xml:space="preserve">GreenTech is committed to advancing circular economy principles throughout our operations. We strive to minimize waste generation and maximize resource recovery wherever possible. Our waste management strategy emphasizes reduction, reuse, and recycling, though specific targets and timelines are under development as we refine our approach. We believe in continuous improvement and will consider expanding our circular economy initiatives as opportunities emerge.</w:t>
      </w:r>
    </w:p>
    <w:p>
      <w:r>
        <w:br w:type="page"/>
      </w:r>
    </w:p>
    <w:p>
      <w:pPr>
        <w:pStyle w:val="Heading1"/>
      </w:pPr>
      <w:r>
        <w:t xml:space="preserve">Social Responsibility</w:t>
      </w:r>
    </w:p>
    <w:p>
      <w:pPr>
        <w:pStyle w:val="Heading2"/>
      </w:pPr>
      <w:r>
        <w:t xml:space="preserve">Workforce Diversity and Inclusion</w:t>
      </w:r>
    </w:p>
    <w:p>
      <w:pPr>
        <w:spacing w:after="240"/>
      </w:pPr>
      <w:r>
        <w:t xml:space="preserve">At GreenTech Innovations, we believe that diverse perspectives drive innovation. We are committed to fostering an inclusive workplace where all employees can thrive and contribute to our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Category</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Overall Workforce</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Leadership (Director+)</w:t>
            </w:r>
          </w:p>
        </w:tc>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Board of Directors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Women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Underrepresented Minorities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22%</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LGBTQ+</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Self-disclosed: 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Self-disclosed: 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Veterans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w:t>
            </w:r>
          </w:p>
        </w:tc>
      </w:tr>
    </w:tbl>
    <w:p>
      <w:pPr>
        <w:spacing w:before="120" w:after="240"/>
      </w:pPr>
      <w:r>
        <w:t xml:space="preserve">We seek to increase diversity across all levels of the organization and will continue to evaluate our recruitment and retention practices. Our commitment to inclusion is reflected in our ongoing efforts to create equitable opportunities, though specific diversity targets remain under consideration.</w:t>
      </w:r>
    </w:p>
    <w:p>
      <w:pPr>
        <w:pStyle w:val="Heading2"/>
      </w:pPr>
      <w:r>
        <w:t xml:space="preserve">Employee Well-being and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Metric</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FY2024</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FY2023</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Industry Avg.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Employee Turnover Rate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Training Hours per Employee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Internal Promotion Rate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Employee Satisfaction Score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7.8/10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8.1/10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7.5/10</w:t>
            </w:r>
          </w:p>
        </w:tc>
      </w:tr>
    </w:tbl>
    <w:p>
      <w:pPr>
        <w:spacing w:before="120" w:after="240"/>
      </w:pPr>
      <w:r>
        <w:t xml:space="preserve">We aim to be an employer of choice by investing in employee development and well-being. While some metrics have fluctuated this year, we remain focused on creating a supportive work environment and will explore additional initiatives to enhance employee engagement and retention in the future.</w:t>
      </w:r>
    </w:p>
    <w:p>
      <w:pPr>
        <w:pStyle w:val="Heading2"/>
      </w:pPr>
      <w:r>
        <w:t xml:space="preserve">Health and Safety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Safety Metric</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FY2024</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FY2023</w:t>
            </w:r>
          </w:p>
        </w:tc>
        <w:tc>
          <w:tcPr>
            <w:tcW w:type="dxa" w:w="208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Target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Recordable Incident Rate (TRIR)</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&lt;2.0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Lost Time Injury Frequency Rate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&lt;1.0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Near Miss Reports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245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198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Safety Training Completion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w:t>
            </w:r>
          </w:p>
        </w:tc>
      </w:tr>
    </w:tbl>
    <w:p>
      <w:pPr>
        <w:spacing w:before="120" w:after="240"/>
      </w:pPr>
      <w:r>
        <w:t xml:space="preserve">Safety is a core value at GreenTech. We continuously strive to improve our safety culture and will seek to implement additional safety measures as appropriate. Our goal is to achieve industry-leading safety performance over time, recognizing that workplace safety is an ongoing journey requiring sustained attention and resources.</w:t>
      </w:r>
    </w:p>
    <w:p>
      <w:pPr>
        <w:pStyle w:val="Heading2"/>
      </w:pPr>
      <w:r>
        <w:t xml:space="preserve">Community Engagement and Social Impact</w:t>
      </w:r>
    </w:p>
    <w:p>
      <w:pPr>
        <w:spacing w:after="240"/>
      </w:pPr>
      <w:r>
        <w:t xml:space="preserve">GreenTech believes in giving back to the communities where we operate. Our community engagement initiatives focus on education, environmental conservation, and social equity.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20"/>
        <w:gridCol w:w="1820"/>
        <w:gridCol w:w="1920"/>
      </w:tblGrid>
      <w:tr>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Initiative</w:t>
            </w:r>
          </w:p>
        </w:tc>
        <w:tc>
          <w:tcPr>
            <w:tcW w:type="dxa" w:w="18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FY2024 Investment</w:t>
            </w:r>
          </w:p>
        </w:tc>
        <w:tc>
          <w:tcPr>
            <w:tcW w:type="dxa" w:w="18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Beneficiaries</w:t>
            </w:r>
          </w:p>
        </w:tc>
        <w:tc>
          <w:tcPr>
            <w:tcW w:type="dxa" w:w="19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STEM Education Programs</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$125,000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~2,500 students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Cash + In-kind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Environmental Cleanup Events</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$45,000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Local communities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Volunteer 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Charitable Donations</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$180,000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Various organizations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 Bono Consulting</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Employee time</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 nonprofits</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In-kind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Social Investment</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$350,000+</w:t>
            </w:r>
          </w:p>
        </w:tc>
        <w:tc>
          <w:tcPr>
            <w:tcW w:type="dxa" w:w="1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w:t>
            </w:r>
          </w:p>
        </w:tc>
        <w:tc>
          <w:tcPr>
            <w:tcW w:type="dxa" w:w="1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Mixed</w:t>
            </w:r>
          </w:p>
        </w:tc>
      </w:tr>
    </w:tbl>
    <w:p>
      <w:pPr>
        <w:spacing w:before="120" w:after="240"/>
      </w:pPr>
      <w:r>
        <w:t xml:space="preserve">Our community programs demonstrate our commitment to social responsibility and creating positive impact. We aspire to expand our community engagement efforts over time and will explore opportunities to deepen our partnerships with local organizations. While we do not currently have formalized impact measurement frameworks, we believe our initiatives contribute meaningfully to community well-being.</w:t>
      </w:r>
    </w:p>
    <w:p>
      <w:r>
        <w:br w:type="page"/>
      </w:r>
    </w:p>
    <w:p>
      <w:pPr>
        <w:pStyle w:val="Heading1"/>
      </w:pPr>
      <w:r>
        <w:t xml:space="preserve">Governance and Ethics</w:t>
      </w:r>
    </w:p>
    <w:p>
      <w:pPr>
        <w:pStyle w:val="Heading2"/>
      </w:pPr>
      <w:r>
        <w:t xml:space="preserve">Board Structure and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Governance Metric</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Current Status</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Best Practice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Board Independence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 of 9 directors (67%)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Majority independent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Board Diversity (Gender)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 of 9 directors (33%)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Varies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Average Board Tenure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4.2 years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Varies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ESG Committee Established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Yes (2024)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Recommended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Board ESG Training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Planned for 2025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Annual recommended</w:t>
            </w:r>
          </w:p>
        </w:tc>
      </w:tr>
    </w:tbl>
    <w:p>
      <w:pPr>
        <w:spacing w:before="120" w:after="240"/>
      </w:pPr>
      <w:r>
        <w:t xml:space="preserve">Our Board of Directors provides strategic oversight and ensures alignment with shareholder interests. The newly established ESG Committee will provide additional focus on sustainability matters, though its specific mandate and reporting structure are still being finalized.</w:t>
      </w:r>
    </w:p>
    <w:p>
      <w:pPr>
        <w:pStyle w:val="Heading2"/>
      </w:pPr>
      <w:r>
        <w:t xml:space="preserve">Ethics and Compliance</w:t>
      </w:r>
    </w:p>
    <w:p>
      <w:pPr>
        <w:spacing w:after="240"/>
      </w:pPr>
      <w:r>
        <w:t xml:space="preserve">GreenTech maintains a comprehensive Code of Conduct and ethics program designed to promote integrity across all business operations. Our approach to compliance emphasizes prevention, detection, and remediation of potential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Program Element</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Status</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Coverage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Code of Conduct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Updated 2023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All employees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Anti-Corruption Policy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Active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All employees + suppliers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Whistleblower Hotline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Anonymous, 24/7</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All stakeholders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Ethics Training Completion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Required annually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Reported Ethics Violations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12 cases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Investigated + resolved</w:t>
            </w:r>
          </w:p>
        </w:tc>
      </w:tr>
    </w:tbl>
    <w:p>
      <w:pPr>
        <w:spacing w:before="120" w:after="240"/>
      </w:pPr>
      <w:r>
        <w:t xml:space="preserve">We strive to maintain the highest ethical standards and aim to achieve 100% ethics training completion. Our whistleblower mechanism provides a confidential channel for reporting concerns, and we are committed to addressing violations appropriately while respecting due process.</w:t>
      </w:r>
    </w:p>
    <w:p>
      <w:pPr>
        <w:pStyle w:val="Heading2"/>
      </w:pPr>
      <w:r>
        <w:t xml:space="preserve">Supply Chain Responsibility</w:t>
      </w:r>
    </w:p>
    <w:p>
      <w:pPr>
        <w:spacing w:after="240"/>
      </w:pPr>
      <w:r>
        <w:t xml:space="preserve">GreenTech recognizes the importance of responsible supply chain management. We encourage our suppliers to adopt sustainable practices and respect human rights throughout their operations. While we have not yet implemented mandatory supplier audits or certification requirements, we engage with key suppliers on ESG topics and expect them to align with our values where practical.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230"/>
        <w:gridCol w:w="2230"/>
      </w:tblGrid>
      <w:tr>
        <w:tc>
          <w:tcPr>
            <w:tcW w:type="dxa" w:w="39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Supply Chain Metric</w:t>
            </w:r>
          </w:p>
        </w:tc>
        <w:tc>
          <w:tcPr>
            <w:tcW w:type="dxa" w:w="22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FY2024</w:t>
            </w:r>
          </w:p>
        </w:tc>
        <w:tc>
          <w:tcPr>
            <w:tcW w:type="dxa" w:w="223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FY2023</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Suppliers</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486</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452</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Suppliers Assessed for ESG</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78 (16%)</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52 (12%)</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High-Risk Suppliers Identified</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14</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11</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Audits Conducted</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r>
      <w:tr>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Suppliers with Corrective Actions</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w:t>
            </w:r>
          </w:p>
        </w:tc>
        <w:tc>
          <w:tcPr>
            <w:tcW w:type="dxa" w:w="22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w:t>
            </w:r>
          </w:p>
        </w:tc>
      </w:tr>
    </w:tbl>
    <w:p>
      <w:pPr>
        <w:spacing w:before="120" w:after="240"/>
      </w:pPr>
      <w:r>
        <w:t xml:space="preserve">We seek to expand our supplier engagement program over time and will consider implementing more robust assessment mechanisms as resources permit. Our approach balances supply chain resilience with sustainability objectives, recognizing the complexity of global sourcing relationships.</w:t>
      </w:r>
    </w:p>
    <w:p>
      <w:r>
        <w:br w:type="page"/>
      </w:r>
    </w:p>
    <w:p>
      <w:pPr>
        <w:pStyle w:val="Heading1"/>
      </w:pPr>
      <w:r>
        <w:t xml:space="preserve">Climate Commitments and Future Targets</w:t>
      </w:r>
    </w:p>
    <w:p>
      <w:pPr>
        <w:pStyle w:val="Heading2"/>
      </w:pPr>
      <w:r>
        <w:t xml:space="preserve">Our Net Zero Journey</w:t>
      </w:r>
    </w:p>
    <w:p>
      <w:pPr>
        <w:spacing w:after="240"/>
      </w:pPr>
      <w:r>
        <w:t xml:space="preserve">GreenTech Innovations is committed to playing our part in addressing climate change. We aspire to achieve net-zero emissions by 2050, subject to technological advancement, economic viability, and market conditions. This commitment reflects our ambition to contribute to global climate goals while maintaining business sustainability and shareholder value.</w:t>
      </w:r>
    </w:p>
    <w:p>
      <w:pPr>
        <w:spacing w:after="240"/>
      </w:pPr>
      <w:r>
        <w:t xml:space="preserve">Our pathway to net-zero will involve a combination of emissions reductions, efficiency improvements, renewable energy adoption, and carbon offsetting strategies. Specific interim targets and timelines are under development and will be announced when our assessment is complete. We recognize that achieving net-zero is a complex undertaking that requires careful planning and substantial investment.</w:t>
      </w:r>
    </w:p>
    <w:p>
      <w:pPr>
        <w:pStyle w:val="Heading2"/>
      </w:pPr>
      <w:r>
        <w:t xml:space="preserve">Emissions Reduction Initiatives</w:t>
      </w:r>
    </w:p>
    <w:p>
      <w:pPr>
        <w:spacing w:after="120"/>
      </w:pPr>
      <w:r>
        <w:rPr>
          <w:b/>
          <w:bCs/>
        </w:rPr>
        <w:t xml:space="preserve">Current and planned initiatives to reduce our carbon footprint:</w:t>
      </w:r>
    </w:p>
    <w:p>
      <w:pPr>
        <w:pStyle w:val="ListParagraph"/>
        <w:numPr>
          <w:ilvl w:val="0"/>
          <w:numId w:val="2"/>
        </w:numPr>
      </w:pPr>
      <w:r>
        <w:t xml:space="preserve">Energy Efficiency: We aim to improve energy efficiency across our facilities through equipment upgrades and operational optimization where cost-effective</w:t>
      </w:r>
    </w:p>
    <w:p>
      <w:pPr>
        <w:pStyle w:val="ListParagraph"/>
        <w:numPr>
          <w:ilvl w:val="0"/>
          <w:numId w:val="2"/>
        </w:numPr>
      </w:pPr>
      <w:r>
        <w:t xml:space="preserve">Renewable Energy: We intend to explore additional renewable energy procurement options, including potential on-site generation, as opportunities arise</w:t>
      </w:r>
    </w:p>
    <w:p>
      <w:pPr>
        <w:pStyle w:val="ListParagraph"/>
        <w:numPr>
          <w:ilvl w:val="0"/>
          <w:numId w:val="2"/>
        </w:numPr>
      </w:pPr>
      <w:r>
        <w:t xml:space="preserve">Fleet Electrification: We are evaluating the feasibility of transitioning to electric vehicles for our company fleet, subject to infrastructure availability and total cost of ownership considerations</w:t>
      </w:r>
    </w:p>
    <w:p>
      <w:pPr>
        <w:pStyle w:val="ListParagraph"/>
        <w:numPr>
          <w:ilvl w:val="0"/>
          <w:numId w:val="2"/>
        </w:numPr>
      </w:pPr>
      <w:r>
        <w:t xml:space="preserve">Sustainable Business Travel: We encourage employees to consider environmental impact when making travel decisions and seek to reduce unnecessary travel where feasible</w:t>
      </w:r>
    </w:p>
    <w:p>
      <w:pPr>
        <w:pStyle w:val="ListParagraph"/>
        <w:numPr>
          <w:ilvl w:val="0"/>
          <w:numId w:val="2"/>
        </w:numPr>
      </w:pPr>
      <w:r>
        <w:t xml:space="preserve">Carbon Offsetting: We will consider purchasing high-quality carbon offsets to address residual emissions that cannot be eliminated through direct reduction efforts</w:t>
      </w:r>
    </w:p>
    <w:p>
      <w:pPr>
        <w:pStyle w:val="ListParagraph"/>
        <w:numPr>
          <w:ilvl w:val="0"/>
          <w:numId w:val="2"/>
        </w:numPr>
      </w:pPr>
      <w:r>
        <w:t xml:space="preserve">Scope 3 Engagement: We plan to engage with suppliers and partners to understand and potentially influence their emissions, recognizing that Scope 3 represents the majority of our footprint</w:t>
      </w:r>
    </w:p>
    <w:p>
      <w:pPr>
        <w:spacing w:before="240" w:after="240"/>
      </w:pPr>
      <w:r>
        <w:t xml:space="preserve">The implementation timeline and scale of these initiatives will depend on various factors including capital availability, technology maturity, regulatory developments, and business priorities. We are committed to taking meaningful action while ensuring operational continuity and financial sustainability.</w:t>
      </w:r>
    </w:p>
    <w:p>
      <w:pPr>
        <w:pStyle w:val="Heading2"/>
      </w:pPr>
      <w:r>
        <w:t xml:space="preserve">Climate Risk and Resilience</w:t>
      </w:r>
    </w:p>
    <w:p>
      <w:pPr>
        <w:spacing w:after="240"/>
      </w:pPr>
      <w:r>
        <w:t xml:space="preserve">We recognize that climate change poses both physical and transition risks to our business. Physical risks include potential disruption from extreme weather events, while transition risks encompass policy changes, market shifts, and evolving stakeholder expectations. We are in the early stages of conducting a comprehensive climate risk assessment aligned with TCFD recommendations, which will inform our resilience strategy going forward.</w:t>
      </w:r>
    </w:p>
    <w:p>
      <w:pPr>
        <w:spacing w:after="240"/>
      </w:pPr>
      <w:r>
        <w:t xml:space="preserve">As we enhance our understanding of climate-related risks, we will seek to develop appropriate adaptation and mitigation strategies. This may include infrastructure investments, business continuity planning enhancements, and scenario analysis to test our resilience under different climate futures. Our approach will evolve as climate science and best practices continue to develop.</w:t>
      </w:r>
    </w:p>
    <w:p>
      <w:r>
        <w:br w:type="page"/>
      </w:r>
    </w:p>
    <w:p>
      <w:pPr>
        <w:pStyle w:val="Heading1"/>
      </w:pPr>
      <w:r>
        <w:t xml:space="preserve">Sustainable Product Innovation</w:t>
      </w:r>
    </w:p>
    <w:p>
      <w:pPr>
        <w:pStyle w:val="Heading2"/>
      </w:pPr>
      <w:r>
        <w:t xml:space="preserve">Green Product Portfolio</w:t>
      </w:r>
    </w:p>
    <w:p>
      <w:pPr>
        <w:spacing w:after="240"/>
      </w:pPr>
      <w:r>
        <w:t xml:space="preserve">GreenTech's product portfolio is designed with sustainability at its core. Our innovative solutions help customers reduce their environmental impact while improving operational efficiency. Through cutting-edge technology and eco-conscious design, we are enabling the transition to a more sustainable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Product Line</w:t>
            </w:r>
          </w:p>
        </w:tc>
        <w:tc>
          <w:tcPr>
            <w:tcW w:type="dxa" w:w="28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Key Environmental Benefit</w:t>
            </w:r>
          </w:p>
        </w:tc>
        <w:tc>
          <w:tcPr>
            <w:tcW w:type="dxa" w:w="27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Estimated Impact****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EcoMonitor Platform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Energy optimization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Up to 30% reduction potential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SmartGrid Solutions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Grid efficiency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Supports renewable integration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GreenCloud Services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Data center efficiency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Lower than industry average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SustainAnalytics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Sustainability reporting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Enables better decision-making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EcoDesign Toolkit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Product lifecycle analysis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Identifies improvement opportunities</w:t>
            </w:r>
          </w:p>
        </w:tc>
      </w:tr>
    </w:tbl>
    <w:p>
      <w:pPr>
        <w:spacing w:before="120" w:after="240"/>
      </w:pPr>
      <w:r>
        <w:rPr>
          <w:i/>
          <w:iCs/>
          <w:sz w:val="20"/>
          <w:szCs w:val="20"/>
        </w:rPr>
        <w:t xml:space="preserve">****Environmental impact estimates are based on theoretical scenarios and may not reflect actual customer results. Actual benefits will vary depending on implementation, usage patterns, and baseline conditions.</w:t>
      </w:r>
    </w:p>
    <w:p>
      <w:pPr>
        <w:spacing w:after="240"/>
      </w:pPr>
      <w:r>
        <w:t xml:space="preserve">Our R&amp;D efforts prioritize sustainability innovation, with approximately 40% of our research budget directed toward projects with environmental benefits. We aim to launch additional eco-friendly products in the coming years as market demand and technological readiness permit. While specific launch timelines are commercially sensitive, we remain committed to bringing sustainable solutions to market when conditions are favorable.</w:t>
      </w:r>
    </w:p>
    <w:p>
      <w:pPr>
        <w:pStyle w:val="Heading2"/>
      </w:pPr>
      <w:r>
        <w:t xml:space="preserve">Product Lifecycle Management</w:t>
      </w:r>
    </w:p>
    <w:p>
      <w:pPr>
        <w:spacing w:after="240"/>
      </w:pPr>
      <w:r>
        <w:t xml:space="preserve">We strive to minimize the environmental footprint of our products throughout their lifecycle, from design and manufacturing through end-of-life disposal. Our product stewardship approach emphasizes durability, repairability, and recyclability, though specific design standards are still under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Lifecycle Stage</w:t>
            </w:r>
          </w:p>
        </w:tc>
        <w:tc>
          <w:tcPr>
            <w:tcW w:type="dxa" w:w="351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Current Practices</w:t>
            </w:r>
          </w:p>
        </w:tc>
        <w:tc>
          <w:tcPr>
            <w:tcW w:type="dxa" w:w="351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Future Aspirations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Design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Material selection guidelines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Circular design principles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Manufacturing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engagement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Certified sustainable sourcing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 Phase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Energy efficiency features</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Extended product lifespan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End-of-Life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Take-back program (pilot)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Comprehensive recycling program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Packaging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Reduced plastic use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100% sustainable packaging</w:t>
            </w:r>
          </w:p>
        </w:tc>
      </w:tr>
    </w:tbl>
    <w:p>
      <w:pPr>
        <w:spacing w:before="120" w:after="240"/>
      </w:pPr>
      <w:r>
        <w:t xml:space="preserve">We recognize that comprehensive lifecycle management requires continued investment and cross-functional collaboration. As we mature our practices, we will seek to establish more robust standards and expand our take-back and recycling programs where operationally feasible.</w:t>
      </w:r>
    </w:p>
    <w:p>
      <w:r>
        <w:br w:type="page"/>
      </w:r>
    </w:p>
    <w:p>
      <w:pPr>
        <w:pStyle w:val="Heading1"/>
      </w:pPr>
      <w:r>
        <w:t xml:space="preserve">Stakeholder Engagement</w:t>
      </w:r>
    </w:p>
    <w:p>
      <w:pPr>
        <w:spacing w:after="240"/>
      </w:pPr>
      <w:r>
        <w:t xml:space="preserve">Meaningful stakeholder engagement is essential to our ESG strategy. We maintain ongoing dialogue with various stakeholder groups to understand their perspectives, address concerns, and identify opportunities for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500"/>
        <w:gridCol w:w="2260"/>
      </w:tblGrid>
      <w:tr>
        <w:tc>
          <w:tcPr>
            <w:tcW w:type="dxa" w:w="21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Stakeholder Group</w:t>
            </w:r>
          </w:p>
        </w:tc>
        <w:tc>
          <w:tcPr>
            <w:tcW w:type="dxa" w:w="2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Engagement Methods</w:t>
            </w:r>
          </w:p>
        </w:tc>
        <w:tc>
          <w:tcPr>
            <w:tcW w:type="dxa" w:w="2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Key Topics</w:t>
            </w:r>
          </w:p>
        </w:tc>
        <w:tc>
          <w:tcPr>
            <w:tcW w:type="dxa" w:w="226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Frequency</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Investors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Annual reports, investor calls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Financial performance, ESG</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Quarterly</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Employees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Surveys, town halls, feedback sessions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Culture, benefits, development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Ongoing</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Customers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forums, support channels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Product features, sustainability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Continuous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Business reviews, questionnaires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Quality, ESG alignment</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Annual</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Communities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Local meetings, partnerships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Environmental impact, jobs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As needed</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Regulators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Compliance reporting, audits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Legal requirements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Per mandate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NGOs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Partnerships, consultations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Sustainability initiatives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Periodic</w:t>
            </w:r>
          </w:p>
        </w:tc>
      </w:tr>
    </w:tbl>
    <w:p>
      <w:pPr>
        <w:spacing w:before="120" w:after="240"/>
      </w:pPr>
      <w:r>
        <w:t xml:space="preserve">We value stakeholder input and seek to incorporate feedback into our decision-making processes where appropriate. While we cannot accommodate all requests, we strive to balance diverse interests and maintain transparent communication about our ESG journey.</w:t>
      </w:r>
    </w:p>
    <w:p>
      <w:r>
        <w:br w:type="page"/>
      </w:r>
    </w:p>
    <w:p>
      <w:pPr>
        <w:pStyle w:val="Heading1"/>
      </w:pPr>
      <w:r>
        <w:t xml:space="preserve">Data Collection and Reporting Methodology</w:t>
      </w:r>
    </w:p>
    <w:p>
      <w:pPr>
        <w:pStyle w:val="Heading2"/>
      </w:pPr>
      <w:r>
        <w:t xml:space="preserve">Reporting Scope and Boundaries</w:t>
      </w:r>
    </w:p>
    <w:p>
      <w:pPr>
        <w:spacing w:after="240"/>
      </w:pPr>
      <w:r>
        <w:t xml:space="preserve">This ESG report covers GreenTech Innovations Inc. and its wholly-owned subsidiaries for the fiscal year ending December 31, 2024. Data collection methodologies vary by metric and are based on available information systems and estimation techniques where direct measurement is not feasible.</w:t>
      </w:r>
    </w:p>
    <w:p>
      <w:pPr>
        <w:pStyle w:val="Heading2"/>
      </w:pPr>
      <w:r>
        <w:t xml:space="preserve">Frameworks and Standards</w:t>
      </w:r>
    </w:p>
    <w:p>
      <w:pPr>
        <w:spacing w:after="120"/>
      </w:pPr>
      <w:r>
        <w:rPr>
          <w:b/>
          <w:bCs/>
        </w:rPr>
        <w:t xml:space="preserve">Our reporting approach is informed by, though not fully aligned with, the following frameworks:</w:t>
      </w:r>
    </w:p>
    <w:p>
      <w:pPr>
        <w:pStyle w:val="ListParagraph"/>
        <w:numPr>
          <w:ilvl w:val="0"/>
          <w:numId w:val="2"/>
        </w:numPr>
      </w:pPr>
      <w:r>
        <w:t xml:space="preserve">GRI Standards (selected disclosures)</w:t>
      </w:r>
    </w:p>
    <w:p>
      <w:pPr>
        <w:pStyle w:val="ListParagraph"/>
        <w:numPr>
          <w:ilvl w:val="0"/>
          <w:numId w:val="2"/>
        </w:numPr>
      </w:pPr>
      <w:r>
        <w:t xml:space="preserve">SASB Standards (Software &amp; IT Services)</w:t>
      </w:r>
    </w:p>
    <w:p>
      <w:pPr>
        <w:pStyle w:val="ListParagraph"/>
        <w:numPr>
          <w:ilvl w:val="0"/>
          <w:numId w:val="2"/>
        </w:numPr>
      </w:pPr>
      <w:r>
        <w:t xml:space="preserve">TCFD Recommendations (partial alignment)</w:t>
      </w:r>
    </w:p>
    <w:p>
      <w:pPr>
        <w:pStyle w:val="ListParagraph"/>
        <w:numPr>
          <w:ilvl w:val="0"/>
          <w:numId w:val="2"/>
        </w:numPr>
      </w:pPr>
      <w:r>
        <w:t xml:space="preserve">UN Sustainable Development Goals (aspirational)</w:t>
      </w:r>
    </w:p>
    <w:p>
      <w:pPr>
        <w:spacing w:before="240" w:after="240"/>
      </w:pPr>
      <w:r>
        <w:t xml:space="preserve">While we reference these frameworks, our disclosures are not subject to external verification and may not meet all requirements for full compliance. We are working to enhance our reporting capabilities over time and will consider third-party assurance for future reports as our processes mature.</w:t>
      </w:r>
    </w:p>
    <w:p>
      <w:pPr>
        <w:pStyle w:val="Heading2"/>
      </w:pPr>
      <w:r>
        <w:t xml:space="preserve">Data Quality and Limitations</w:t>
      </w:r>
    </w:p>
    <w:p>
      <w:pPr>
        <w:spacing w:after="240"/>
      </w:pPr>
      <w:r>
        <w:t xml:space="preserve">We acknowledge that our ESG data collection and management systems are evolving. Some metrics are based on estimates, assumptions, or limited sampling rather than comprehensive measurement. Scope 3 emissions calculations rely heavily on industry averages and supplier-provided data of varying quality. Social metrics may be incomplete due to voluntary self-disclosure or operational constraints.</w:t>
      </w:r>
    </w:p>
    <w:p>
      <w:pPr>
        <w:spacing w:after="240"/>
      </w:pPr>
      <w:r>
        <w:t xml:space="preserve">As we invest in enhanced data systems and processes, we expect data quality and coverage to improve in future reporting periods. Historical data may be restated as methodologies are refined. We remain committed to transparency about our data limitations while working to address gaps over time.</w:t>
      </w:r>
    </w:p>
    <w:p>
      <w:r>
        <w:br w:type="page"/>
      </w:r>
    </w:p>
    <w:p>
      <w:pPr>
        <w:pStyle w:val="Heading1"/>
      </w:pPr>
      <w:r>
        <w:t xml:space="preserve">Looking Forward: Our ESG Roadmap</w:t>
      </w:r>
    </w:p>
    <w:p>
      <w:pPr>
        <w:pStyle w:val="Heading2"/>
      </w:pPr>
      <w:r>
        <w:t xml:space="preserve">Strategic Priorities for 2025-2027</w:t>
      </w:r>
    </w:p>
    <w:p>
      <w:pPr>
        <w:spacing w:after="120"/>
      </w:pPr>
      <w:r>
        <w:rPr>
          <w:b/>
          <w:bCs/>
        </w:rPr>
        <w:t xml:space="preserve">As we continue our sustainability journey, the following priorities will guide our efforts:</w:t>
      </w:r>
    </w:p>
    <w:p>
      <w:pPr>
        <w:pStyle w:val="ListParagraph"/>
        <w:numPr>
          <w:ilvl w:val="0"/>
          <w:numId w:val="2"/>
        </w:numPr>
      </w:pPr>
      <w:r>
        <w:t xml:space="preserve">Climate Action: Develop detailed decarbonization roadmap with interim milestones, subject to board approval and capital allocation decisions</w:t>
      </w:r>
    </w:p>
    <w:p>
      <w:pPr>
        <w:pStyle w:val="ListParagraph"/>
        <w:numPr>
          <w:ilvl w:val="0"/>
          <w:numId w:val="2"/>
        </w:numPr>
      </w:pPr>
      <w:r>
        <w:t xml:space="preserve">Renewable Energy: Explore opportunities to increase renewable energy use through PPAs, on-site generation, or REC purchases, as economically viable</w:t>
      </w:r>
    </w:p>
    <w:p>
      <w:pPr>
        <w:pStyle w:val="ListParagraph"/>
        <w:numPr>
          <w:ilvl w:val="0"/>
          <w:numId w:val="2"/>
        </w:numPr>
      </w:pPr>
      <w:r>
        <w:t xml:space="preserve">Diversity &amp; Inclusion: Aim to enhance representation at all levels while maintaining meritocratic hiring and promotion practices</w:t>
      </w:r>
    </w:p>
    <w:p>
      <w:pPr>
        <w:pStyle w:val="ListParagraph"/>
        <w:numPr>
          <w:ilvl w:val="0"/>
          <w:numId w:val="2"/>
        </w:numPr>
      </w:pPr>
      <w:r>
        <w:t xml:space="preserve">Supply Chain Transparency: Consider expanding supplier assessments and engagement, resources permitting</w:t>
      </w:r>
    </w:p>
    <w:p>
      <w:pPr>
        <w:pStyle w:val="ListParagraph"/>
        <w:numPr>
          <w:ilvl w:val="0"/>
          <w:numId w:val="2"/>
        </w:numPr>
      </w:pPr>
      <w:r>
        <w:t xml:space="preserve">Product Innovation: Continue investing in sustainable solutions that deliver both environmental and business value</w:t>
      </w:r>
    </w:p>
    <w:p>
      <w:pPr>
        <w:pStyle w:val="ListParagraph"/>
        <w:numPr>
          <w:ilvl w:val="0"/>
          <w:numId w:val="2"/>
        </w:numPr>
      </w:pPr>
      <w:r>
        <w:t xml:space="preserve">ESG Governance: Strengthen oversight mechanisms and integrate ESG considerations into business strategy where appropriate</w:t>
      </w:r>
    </w:p>
    <w:p>
      <w:pPr>
        <w:pStyle w:val="ListParagraph"/>
        <w:numPr>
          <w:ilvl w:val="0"/>
          <w:numId w:val="2"/>
        </w:numPr>
      </w:pPr>
      <w:r>
        <w:t xml:space="preserve">Reporting Enhancement: Work toward more comprehensive, verified, and standardized ESG disclosures over time</w:t>
      </w:r>
    </w:p>
    <w:p>
      <w:pPr>
        <w:spacing w:before="240" w:after="240"/>
      </w:pPr>
      <w:r>
        <w:t xml:space="preserve">These priorities reflect our aspirations and will be pursued subject to business conditions, resource availability, and strategic alignment. Specific targets, timelines, and investment levels will be determined through our annual planning processes and communicated as decisions are finalized.</w:t>
      </w:r>
    </w:p>
    <w:p>
      <w:pPr>
        <w:pStyle w:val="Heading2"/>
      </w:pPr>
      <w:r>
        <w:t xml:space="preserve">Closing Statement</w:t>
      </w:r>
    </w:p>
    <w:p>
      <w:pPr>
        <w:spacing w:after="240"/>
      </w:pPr>
      <w:r>
        <w:t xml:space="preserve">GreenTech Innovations recognizes that environmental, social, and governance excellence is a journey, not a destination. While we are proud of the progress reflected in this report, we acknowledge that significant work remains ahead. We are committed to continuous improvement, transparent communication, and meaningful action on the ESG issues that matter most to our stakeholders.</w:t>
      </w:r>
    </w:p>
    <w:p>
      <w:pPr>
        <w:spacing w:after="240"/>
      </w:pPr>
      <w:r>
        <w:t xml:space="preserve">As we look to the future, we remain optimistic about our ability to drive positive change while delivering sustainable business results. We invite our stakeholders to join us on this journey and welcome your feedback as we work together toward a more sustainable future.</w:t>
      </w:r>
    </w:p>
    <w:p>
      <w:pPr>
        <w:spacing w:before="480" w:after="120"/>
      </w:pPr>
      <w:r>
        <w:rPr>
          <w:b/>
          <w:bCs/>
        </w:rPr>
        <w:t xml:space="preserve">Sarah Chen</w:t>
      </w:r>
    </w:p>
    <w:p>
      <w:pPr>
        <w:spacing w:after="120"/>
      </w:pPr>
      <w:r>
        <w:rPr>
          <w:i/>
          <w:iCs/>
        </w:rPr>
        <w:t xml:space="preserve">Chief Executive Officer</w:t>
      </w:r>
    </w:p>
    <w:p>
      <w:pPr>
        <w:spacing w:after="480"/>
      </w:pPr>
      <w:r>
        <w:t xml:space="preserve">GreenTech Innovations Inc.</w:t>
      </w:r>
    </w:p>
    <w:p>
      <w:r>
        <w:br w:type="page"/>
      </w:r>
    </w:p>
    <w:p>
      <w:pPr>
        <w:pStyle w:val="Heading1"/>
      </w:pPr>
      <w:r>
        <w:t xml:space="preserve">Appendix A: ESG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2500"/>
        <w:gridCol w:w="1400"/>
      </w:tblGrid>
      <w:tr>
        <w:tc>
          <w:tcPr>
            <w:tcW w:type="dxa" w:w="234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Category</w:t>
            </w:r>
          </w:p>
        </w:tc>
        <w:tc>
          <w:tcPr>
            <w:tcW w:type="dxa" w:w="312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Key Metrics</w:t>
            </w:r>
          </w:p>
        </w:tc>
        <w:tc>
          <w:tcPr>
            <w:tcW w:type="dxa" w:w="25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FY2024 Performance</w:t>
            </w:r>
          </w:p>
        </w:tc>
        <w:tc>
          <w:tcPr>
            <w:tcW w:type="dxa" w:w="1400"/>
            <w:tcBorders>
              <w:top w:val="single" w:color="2E75B6" w:sz="2"/>
              <w:left w:val="single" w:color="2E75B6" w:sz="2"/>
              <w:bottom w:val="single" w:color="2E75B6" w:sz="2"/>
              <w:right w:val="single" w:color="2E75B6" w:sz="2"/>
            </w:tcBorders>
            <w:shd w:fill="2E75B6" w:val="clear"/>
            <w:tcMar>
              <w:top w:type="dxa" w:w="80"/>
              <w:left w:type="dxa" w:w="120"/>
              <w:bottom w:type="dxa" w:w="80"/>
              <w:right w:type="dxa" w:w="120"/>
            </w:tcMar>
          </w:tcPr>
          <w:p>
            <w:r>
              <w:rPr>
                <w:b/>
                <w:bCs/>
                <w:color w:val="FFFFFF"/>
              </w:rPr>
              <w:t xml:space="preserve">Status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Environmental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GHG Emissions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24,770 tCO2e (+6.6%)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Renewable Energy %</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13% of total energy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Water Intensity</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152 m³/employee (-2.6%)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Waste Recycling Rate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Social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Women in Leadership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Employee Turnover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Safety Incident Rate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 TRIR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Training Hours/Employee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32 hours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Governance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Board Independence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Ethics Training Completion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89%</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Supplier ESG Assessments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16% of suppliers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r>
    </w:tbl>
    <w:p>
      <w:pPr>
        <w:spacing w:before="120" w:after="240"/>
      </w:pPr>
      <w:r>
        <w:rPr>
          <w:i/>
          <w:iCs/>
          <w:sz w:val="20"/>
          <w:szCs w:val="20"/>
        </w:rPr>
        <w:t xml:space="preserve">Legend: ✓ = Meeting or exceeding target | → = On track | ⚠ = Requires attention</w:t>
      </w:r>
    </w:p>
    <w:p>
      <w:r>
        <w:br w:type="page"/>
      </w:r>
    </w:p>
    <w:p>
      <w:pPr>
        <w:pStyle w:val="Heading1"/>
      </w:pPr>
      <w:r>
        <w:t xml:space="preserve">Contact Information</w:t>
      </w:r>
    </w:p>
    <w:p>
      <w:pPr>
        <w:spacing w:after="120"/>
      </w:pPr>
      <w:r>
        <w:t xml:space="preserve">For questions or feedback regarding this ESG report, please contact:</w:t>
      </w:r>
    </w:p>
    <w:p>
      <w:pPr>
        <w:spacing w:after="60"/>
      </w:pPr>
      <w:r>
        <w:rPr>
          <w:b/>
          <w:bCs/>
        </w:rPr>
        <w:t xml:space="preserve">ESG &amp; Sustainability Team</w:t>
      </w:r>
    </w:p>
    <w:p>
      <w:r>
        <w:t xml:space="preserve">GreenTech Innovations Inc.</w:t>
      </w:r>
    </w:p>
    <w:p>
      <w:r>
        <w:t xml:space="preserve">123 Innovation Drive, Suite 500</w:t>
      </w:r>
    </w:p>
    <w:p>
      <w:r>
        <w:t xml:space="preserve">San Francisco, CA 94105</w:t>
      </w:r>
    </w:p>
    <w:p>
      <w:pPr>
        <w:spacing w:before="60"/>
      </w:pPr>
      <w:r>
        <w:t xml:space="preserve">Email: esg@greentech-innovations.com</w:t>
      </w:r>
    </w:p>
    <w:p>
      <w:r>
        <w:t xml:space="preserve">Web: www.greentech-innovations.com/sustainability</w:t>
      </w:r>
    </w:p>
    <w:p>
      <w:pPr>
        <w:spacing w:before="480" w:after="240"/>
      </w:pPr>
      <w:r>
        <w:rPr>
          <w:b/>
          <w:bCs/>
          <w:sz w:val="28"/>
          <w:szCs w:val="28"/>
        </w:rPr>
        <w:t xml:space="preserve">Important Disclaimers</w:t>
      </w:r>
    </w:p>
    <w:p>
      <w:pPr>
        <w:spacing w:after="120"/>
      </w:pPr>
      <w:r>
        <w:rPr>
          <w:sz w:val="20"/>
          <w:szCs w:val="20"/>
        </w:rPr>
        <w:t xml:space="preserve">Forward-Looking Statements: This report contains forward-looking statements regarding our ESG goals, targets, and initiatives. These statements are subject to risks, uncertainties, and assumptions that could cause actual results to differ materially. We undertake no obligation to update these statements except as required by law.</w:t>
      </w:r>
    </w:p>
    <w:p>
      <w:pPr>
        <w:spacing w:after="120"/>
      </w:pPr>
      <w:r>
        <w:rPr>
          <w:sz w:val="20"/>
          <w:szCs w:val="20"/>
        </w:rPr>
        <w:t xml:space="preserve">No Guarantees: The goals, targets, and aspirations described in this report are not guarantees of future performance. Our ability to achieve these objectives depends on numerous factors beyond our control, including technological developments, market conditions, regulatory changes, and business priorities. Nothing in this report should be construed as a binding commitment.</w:t>
      </w:r>
    </w:p>
    <w:p>
      <w:pPr>
        <w:spacing w:after="120"/>
      </w:pPr>
      <w:r>
        <w:rPr>
          <w:sz w:val="20"/>
          <w:szCs w:val="20"/>
        </w:rPr>
        <w:t xml:space="preserve">Data Accuracy: While we have made reasonable efforts to ensure data accuracy, ESG metrics are subject to measurement uncertainties and methodological limitations. Historical data may be revised as calculation methodologies evolve. This report has not been subject to external assurance.</w:t>
      </w:r>
    </w:p>
    <w:p>
      <w:pPr>
        <w:spacing w:after="240"/>
      </w:pPr>
      <w:r>
        <w:rPr>
          <w:sz w:val="20"/>
          <w:szCs w:val="20"/>
        </w:rPr>
        <w:t xml:space="preserve">Not Investment Advice: This report is provided for informational purposes only and does not constitute investment advice or an offer to sell securities. Investors should conduct their own due diligence and consult financial advisors before making investment decisions.</w:t>
      </w:r>
    </w:p>
    <w:p>
      <w:pPr>
        <w:spacing w:before="480"/>
        <w:jc w:val="center"/>
      </w:pPr>
      <w:r>
        <w:rPr>
          <w:i/>
          <w:iCs/>
          <w:sz w:val="20"/>
          <w:szCs w:val="20"/>
        </w:rPr>
        <w:t xml:space="preserve">© 2025 GreenTech Innovations Inc.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2026-02-14T07:36:18.613Z</dcterms:created>
  <dcterms:modified xsi:type="dcterms:W3CDTF">2026-02-14T07:36:18.614Z</dcterms:modified>
</cp:coreProperties>
</file>

<file path=docProps/custom.xml><?xml version="1.0" encoding="utf-8"?>
<Properties xmlns="http://schemas.openxmlformats.org/officeDocument/2006/custom-properties" xmlns:vt="http://schemas.openxmlformats.org/officeDocument/2006/docPropsVTypes"/>
</file>