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Services Agreement - Fabrikam GmbH</w:t>
      </w:r>
    </w:p>
    <w:p>
      <w:r>
        <w:t>This Master Services Agreement is entered into by Contoso Ltd and Fabrikam GmbH.</w:t>
      </w:r>
    </w:p>
    <w:p>
      <w:pPr>
        <w:pStyle w:val="Heading2"/>
      </w:pPr>
      <w:r>
        <w:t>Term</w:t>
      </w:r>
    </w:p>
    <w:p>
      <w:r>
        <w:t>The initial term is 36 months, renewing automatically for 12-month periods unless either party gives 90 days' written notice.</w:t>
      </w:r>
    </w:p>
    <w:p>
      <w:pPr>
        <w:pStyle w:val="Heading2"/>
      </w:pPr>
      <w:r>
        <w:t>Fees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Annual fee (EUR)</w:t>
            </w:r>
          </w:p>
        </w:tc>
        <w:tc>
          <w:tcPr>
            <w:tcW w:type="dxa" w:w="2880"/>
          </w:tcPr>
          <w:p>
            <w:r>
              <w:t>Payment</w:t>
            </w:r>
          </w:p>
        </w:tc>
      </w:tr>
      <w:tr>
        <w:tc>
          <w:tcPr>
            <w:tcW w:type="dxa" w:w="2880"/>
          </w:tcPr>
          <w:p>
            <w:r>
              <w:t>Contoso Connect Enterprise (800 users)</w:t>
            </w:r>
          </w:p>
        </w:tc>
        <w:tc>
          <w:tcPr>
            <w:tcW w:type="dxa" w:w="2880"/>
          </w:tcPr>
          <w:p>
            <w:r>
              <w:t>171,360</w:t>
            </w:r>
          </w:p>
        </w:tc>
        <w:tc>
          <w:tcPr>
            <w:tcW w:type="dxa" w:w="2880"/>
          </w:tcPr>
          <w:p>
            <w:r>
              <w:t>Annually in advance</w:t>
            </w:r>
          </w:p>
        </w:tc>
      </w:tr>
      <w:tr>
        <w:tc>
          <w:tcPr>
            <w:tcW w:type="dxa" w:w="2880"/>
          </w:tcPr>
          <w:p>
            <w:r>
              <w:t>Premium support</w:t>
            </w:r>
          </w:p>
        </w:tc>
        <w:tc>
          <w:tcPr>
            <w:tcW w:type="dxa" w:w="2880"/>
          </w:tcPr>
          <w:p>
            <w:r>
              <w:t>24,000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</w:tr>
    </w:tbl>
    <w:p>
      <w:pPr>
        <w:pStyle w:val="Heading2"/>
      </w:pPr>
      <w:r>
        <w:t>Liability</w:t>
      </w:r>
    </w:p>
    <w:p>
      <w:r>
        <w:t>Aggregate liability is capped at the fees paid in the preceding 12 months.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