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Business Proposal &amp; 3-Year Financial Model: Millet Snacks Startup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20" w:before="200" w:lineRule="auto"/>
        <w:ind w:left="200" w:right="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Rule="auto"/>
        <w:ind w:left="200" w:right="200" w:firstLine="0"/>
        <w:rPr>
          <w:shd w:fill="ebf8ff" w:val="clear"/>
        </w:rPr>
      </w:pPr>
      <w:r w:rsidDel="00000000" w:rsidR="00000000" w:rsidRPr="00000000">
        <w:rPr>
          <w:b w:val="1"/>
          <w:bCs w:val="1"/>
          <w:shd w:fill="ebf8ff" w:val="clear"/>
          <w:rtl w:val="0"/>
        </w:rPr>
        <w:t xml:space="preserve">Executive Thesis:</w:t>
      </w:r>
      <w:r w:rsidDel="00000000" w:rsidR="00000000" w:rsidRPr="00000000">
        <w:rPr>
          <w:shd w:fill="ebf8ff" w:val="clear"/>
          <w:rtl w:val="0"/>
        </w:rPr>
        <w:t xml:space="preserve"> We are defining and dominating the </w:t>
      </w:r>
      <w:r w:rsidDel="00000000" w:rsidR="00000000" w:rsidRPr="00000000">
        <w:rPr>
          <w:b w:val="1"/>
          <w:bCs w:val="1"/>
          <w:shd w:fill="ebf8ff" w:val="clear"/>
          <w:rtl w:val="0"/>
        </w:rPr>
        <w:t xml:space="preserve">Clean-Label Super-Grain Snacking</w:t>
      </w:r>
      <w:r w:rsidDel="00000000" w:rsidR="00000000" w:rsidRPr="00000000">
        <w:rPr>
          <w:shd w:fill="ebf8ff" w:val="clear"/>
          <w:rtl w:val="0"/>
        </w:rPr>
        <w:t xml:space="preserve"> category. By leveraging climate-resilient ancient grains (Pearl Millet, Finger Millet/Ragi, Sorghum/Jowar), we deliver high-crunch, indulgent taste profiles with zero nutritional compromise.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Executive Summary &amp; Category Definition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Mission:</w:t>
      </w:r>
      <w:r w:rsidDel="00000000" w:rsidR="00000000" w:rsidRPr="00000000">
        <w:rPr>
          <w:rtl w:val="0"/>
        </w:rPr>
        <w:t xml:space="preserve"> Make clean, nutrient-dense ancient grain snacking accessible, fun, and ubiquitous globally.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Core Value Proposition:</w:t>
      </w:r>
      <w:r w:rsidDel="00000000" w:rsidR="00000000" w:rsidRPr="00000000">
        <w:rPr>
          <w:rtl w:val="0"/>
        </w:rPr>
        <w:t xml:space="preserve"> High protein, high fiber, gluten-free, low GI, zero refined palm oil, and 100% extruded/baked crunch.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Rule="auto"/>
        <w:rPr/>
      </w:pPr>
      <w:r w:rsidDel="00000000" w:rsidR="00000000" w:rsidRPr="00000000">
        <w:rPr>
          <w:rtl w:val="0"/>
        </w:rPr>
        <w:t xml:space="preserve">The Category Shift</w:t>
      </w:r>
    </w:p>
    <w:tbl>
      <w:tblPr>
        <w:tblStyle w:val="Table1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color w:val="1a202c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a202c"/>
                <w:shd w:fill="auto" w:val="clear"/>
                <w:rtl w:val="0"/>
              </w:rPr>
              <w:t xml:space="preserve">Attribute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color w:val="1a202c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a202c"/>
                <w:shd w:fill="auto" w:val="clear"/>
                <w:rtl w:val="0"/>
              </w:rPr>
              <w:t xml:space="preserve">Legacy Junk Snacks (Fried Potato/Corn)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color w:val="1a202c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a202c"/>
                <w:shd w:fill="auto" w:val="clear"/>
                <w:rtl w:val="0"/>
              </w:rPr>
              <w:t xml:space="preserve">Category Leader (Guilt-Free Millets)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Glycemic Index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High Glycemic Index (&gt; 80)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Low GI (&lt; 55)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Nutritional Profile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Zero Functional Value / Empty Calories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High Fiber, Iron &amp; Plant Protein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Energy Release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Rapid Spike &amp; Energy Crash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Sustained Clean Energy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Oil &amp; Processing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High-Temp Deep Fried in Palm Oil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Air-Popped / Baked / Low-Temp Extruded</w:t>
            </w:r>
          </w:p>
        </w:tc>
      </w:tr>
    </w:tbl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2. Market &amp; Customer Research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Market Size &amp; Opportunity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400" w:hanging="360"/>
      </w:pPr>
      <w:r w:rsidDel="00000000" w:rsidR="00000000" w:rsidRPr="00000000">
        <w:rPr>
          <w:b w:val="1"/>
          <w:bCs w:val="1"/>
          <w:rtl w:val="0"/>
        </w:rPr>
        <w:t xml:space="preserve">Total Addressable Market (TAM):</w:t>
      </w:r>
      <w:r w:rsidDel="00000000" w:rsidR="00000000" w:rsidRPr="00000000">
        <w:rPr>
          <w:rtl w:val="0"/>
        </w:rPr>
        <w:t xml:space="preserve"> $2.80 Billion Global Millet Snacks Market (2026), growing to $5.60 Billion by 2033 at a 10.3% CAGR.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00" w:hanging="360"/>
      </w:pPr>
      <w:r w:rsidDel="00000000" w:rsidR="00000000" w:rsidRPr="00000000">
        <w:rPr>
          <w:b w:val="1"/>
          <w:bCs w:val="1"/>
          <w:rtl w:val="0"/>
        </w:rPr>
        <w:t xml:space="preserve">Serviceable Addressable Market (SAM):</w:t>
      </w:r>
      <w:r w:rsidDel="00000000" w:rsidR="00000000" w:rsidRPr="00000000">
        <w:rPr>
          <w:rtl w:val="0"/>
        </w:rPr>
        <w:t xml:space="preserve"> $850 Million Health-conscious urban snackers in domestic &amp; high-income export markets (North America &amp; APAC).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beforeAutospacing="0" w:lineRule="auto"/>
        <w:ind w:left="400" w:hanging="360"/>
      </w:pPr>
      <w:r w:rsidDel="00000000" w:rsidR="00000000" w:rsidRPr="00000000">
        <w:rPr>
          <w:b w:val="1"/>
          <w:bCs w:val="1"/>
          <w:rtl w:val="0"/>
        </w:rPr>
        <w:t xml:space="preserve">Serviceable Obtainable Market (SOM):</w:t>
      </w:r>
      <w:r w:rsidDel="00000000" w:rsidR="00000000" w:rsidRPr="00000000">
        <w:rPr>
          <w:rtl w:val="0"/>
        </w:rPr>
        <w:t xml:space="preserve"> $35 Million Targeted capture over the next 36 months across DTC, Q-Commerce, and Modern Trade channels.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Rule="auto"/>
        <w:rPr/>
      </w:pPr>
      <w:r w:rsidDel="00000000" w:rsidR="00000000" w:rsidRPr="00000000">
        <w:rPr>
          <w:rtl w:val="0"/>
        </w:rPr>
        <w:t xml:space="preserve">Customer Segmentation &amp; Research Findings</w:t>
      </w:r>
    </w:p>
    <w:tbl>
      <w:tblPr>
        <w:tblStyle w:val="Table2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color w:val="1a202c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a202c"/>
                <w:shd w:fill="auto" w:val="clear"/>
                <w:rtl w:val="0"/>
              </w:rPr>
              <w:t xml:space="preserve">Customer Segment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color w:val="1a202c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a202c"/>
                <w:shd w:fill="auto" w:val="clear"/>
                <w:rtl w:val="0"/>
              </w:rPr>
              <w:t xml:space="preserve">Core Pain Point ("Job to be Done")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color w:val="1a202c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a202c"/>
                <w:shd w:fill="auto" w:val="clear"/>
                <w:rtl w:val="0"/>
              </w:rPr>
              <w:t xml:space="preserve">Product Solution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color w:val="1a202c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a202c"/>
                <w:shd w:fill="auto" w:val="clear"/>
                <w:rtl w:val="0"/>
              </w:rPr>
              <w:t xml:space="preserve">Willingness to Pay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Active Urban Millennial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Craves 4 PM office crunch without post-snack energy crashes or guilt.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Baked Sorghum/Jowar Puffs (Spicy Peri-Peri)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High (+25% premium)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Health-Conscious Parent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Wants clean-label, nut-free, and wheat-free tiffin snacks for kids.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Finger Millet (Ragi) Mini Cookie Crunchers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High (+30% premium)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Fitness / Low-GI Seeker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Needs high-fiber, high-protein post-workout fuel under 150 calories.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Roasted Pearl Millet (Bajra) Seasoned Mix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Moderate (+15% premium)</w:t>
            </w:r>
          </w:p>
        </w:tc>
      </w:tr>
    </w:tbl>
    <w:p w:rsidR="00000000" w:rsidDel="00000000" w:rsidP="00000000" w:rsidRDefault="00000000" w:rsidRPr="00000000" w14:paraId="0000002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3. Retrospective: Performance (FY 2025–26)</w:t>
      </w:r>
    </w:p>
    <w:p w:rsidR="00000000" w:rsidDel="00000000" w:rsidP="00000000" w:rsidRDefault="00000000" w:rsidRPr="00000000" w14:paraId="0000003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Rule="auto"/>
        <w:rPr/>
      </w:pPr>
      <w:r w:rsidDel="00000000" w:rsidR="00000000" w:rsidRPr="00000000">
        <w:rPr>
          <w:rtl w:val="0"/>
        </w:rPr>
        <w:t xml:space="preserve">Key Performance Indicators</w:t>
      </w:r>
    </w:p>
    <w:tbl>
      <w:tblPr>
        <w:tblStyle w:val="Table3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color w:val="1a202c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a202c"/>
                <w:shd w:fill="auto" w:val="clear"/>
                <w:rtl w:val="0"/>
              </w:rPr>
              <w:t xml:space="preserve">Metric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color w:val="1a202c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a202c"/>
                <w:shd w:fill="auto" w:val="clear"/>
                <w:rtl w:val="0"/>
              </w:rPr>
              <w:t xml:space="preserve">FY 2025–26 Result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Gross Revenue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$2.40 Million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Net Annual Growth Rate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+185% YoY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Repeat Purchase Rate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38% (DTC &amp; Q-Commerce)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Customer Acquisition Cost (CAC)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$4.80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Customer Lifetime Value (LTV)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$28.50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LTV : CAC Ratio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5.9x</w:t>
            </w:r>
          </w:p>
        </w:tc>
      </w:tr>
    </w:tbl>
    <w:p w:rsidR="00000000" w:rsidDel="00000000" w:rsidP="00000000" w:rsidRDefault="00000000" w:rsidRPr="00000000" w14:paraId="0000004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80" w:lineRule="auto"/>
        <w:rPr/>
      </w:pPr>
      <w:r w:rsidDel="00000000" w:rsidR="00000000" w:rsidRPr="00000000">
        <w:rPr>
          <w:rtl w:val="0"/>
        </w:rPr>
        <w:t xml:space="preserve">Major Achievements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400" w:hanging="360"/>
      </w:pPr>
      <w:r w:rsidDel="00000000" w:rsidR="00000000" w:rsidRPr="00000000">
        <w:rPr>
          <w:b w:val="1"/>
          <w:bCs w:val="1"/>
          <w:rtl w:val="0"/>
        </w:rPr>
        <w:t xml:space="preserve">Retail Distribution Expansion:</w:t>
      </w:r>
      <w:r w:rsidDel="00000000" w:rsidR="00000000" w:rsidRPr="00000000">
        <w:rPr>
          <w:rtl w:val="0"/>
        </w:rPr>
        <w:t xml:space="preserve"> Scaled from 150 to 3,200+ retail storefronts, along with prime placement on quick-commerce platforms (Blinkit, Instamart, Zepto) and Amazon Prime.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00" w:hanging="360"/>
      </w:pPr>
      <w:r w:rsidDel="00000000" w:rsidR="00000000" w:rsidRPr="00000000">
        <w:rPr>
          <w:b w:val="1"/>
          <w:bCs w:val="1"/>
          <w:rtl w:val="0"/>
        </w:rPr>
        <w:t xml:space="preserve">Proprietary Processing:</w:t>
      </w:r>
      <w:r w:rsidDel="00000000" w:rsidR="00000000" w:rsidRPr="00000000">
        <w:rPr>
          <w:rtl w:val="0"/>
        </w:rPr>
        <w:t xml:space="preserve"> Solved traditional millet texture grittiness using low-shear twin-screw extrusion technology, achieving a 91% approval rating in consumer taste tests.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beforeAutospacing="0" w:lineRule="auto"/>
        <w:ind w:left="400" w:hanging="360"/>
      </w:pPr>
      <w:r w:rsidDel="00000000" w:rsidR="00000000" w:rsidRPr="00000000">
        <w:rPr>
          <w:b w:val="1"/>
          <w:bCs w:val="1"/>
          <w:rtl w:val="0"/>
        </w:rPr>
        <w:t xml:space="preserve">Supply Chain Integration:</w:t>
      </w:r>
      <w:r w:rsidDel="00000000" w:rsidR="00000000" w:rsidRPr="00000000">
        <w:rPr>
          <w:rtl w:val="0"/>
        </w:rPr>
        <w:t xml:space="preserve"> Direct sourcing agreements with regional millet farming cooperatives reduced raw material costs by 18%.</w:t>
      </w:r>
    </w:p>
    <w:p w:rsidR="00000000" w:rsidDel="00000000" w:rsidP="00000000" w:rsidRDefault="00000000" w:rsidRPr="00000000" w14:paraId="0000004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4. Balance Sheet &amp; Current Debt Profile</w:t>
      </w:r>
    </w:p>
    <w:p w:rsidR="00000000" w:rsidDel="00000000" w:rsidP="00000000" w:rsidRDefault="00000000" w:rsidRPr="00000000" w14:paraId="0000004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Rule="auto"/>
        <w:rPr/>
      </w:pPr>
      <w:r w:rsidDel="00000000" w:rsidR="00000000" w:rsidRPr="00000000">
        <w:rPr>
          <w:rtl w:val="0"/>
        </w:rPr>
        <w:t xml:space="preserve">Financial Statement Summary (As of Q2 2026)</w:t>
      </w:r>
    </w:p>
    <w:tbl>
      <w:tblPr>
        <w:tblStyle w:val="Table4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color w:val="1a202c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a202c"/>
                <w:shd w:fill="auto" w:val="clear"/>
                <w:rtl w:val="0"/>
              </w:rPr>
              <w:t xml:space="preserve">Assets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color w:val="1a202c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a202c"/>
                <w:shd w:fill="auto" w:val="clear"/>
                <w:rtl w:val="0"/>
              </w:rPr>
              <w:t xml:space="preserve">Value ($)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color w:val="1a202c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a202c"/>
                <w:shd w:fill="auto" w:val="clear"/>
                <w:rtl w:val="0"/>
              </w:rPr>
              <w:t xml:space="preserve">Liabilities &amp; Equity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color w:val="1a202c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a202c"/>
                <w:shd w:fill="auto" w:val="clear"/>
                <w:rtl w:val="0"/>
              </w:rPr>
              <w:t xml:space="preserve">Value ($)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Current Assets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Current Liabilities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Cash &amp; Cash Equivalents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$620,000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Accounts Payable (Suppliers)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$140,000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Inventory (Raw &amp; Finished)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$210,000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Short-Term Working Capital Line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$110,000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Accounts Receivable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$180,000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Long-Term Debt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Fixed Assets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Equipment / Extruder Machinery Lease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$180,000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Processing Facility &amp; Leases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$450,000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Debt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$290,000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Intellectual Property &amp; Patents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$120,000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Equity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$1,290,000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Assets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$1,580,000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Liabilities &amp; Equity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$1,580,000</w:t>
            </w:r>
          </w:p>
        </w:tc>
      </w:tr>
    </w:tbl>
    <w:p w:rsidR="00000000" w:rsidDel="00000000" w:rsidP="00000000" w:rsidRDefault="00000000" w:rsidRPr="00000000" w14:paraId="0000006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80" w:lineRule="auto"/>
        <w:rPr/>
      </w:pPr>
      <w:r w:rsidDel="00000000" w:rsidR="00000000" w:rsidRPr="00000000">
        <w:rPr>
          <w:rtl w:val="0"/>
        </w:rPr>
        <w:t xml:space="preserve">Debt Structure Analysis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400" w:hanging="360"/>
      </w:pPr>
      <w:r w:rsidDel="00000000" w:rsidR="00000000" w:rsidRPr="00000000">
        <w:rPr>
          <w:b w:val="1"/>
          <w:bCs w:val="1"/>
          <w:rtl w:val="0"/>
        </w:rPr>
        <w:t xml:space="preserve">Total Outstanding Debt:</w:t>
      </w:r>
      <w:r w:rsidDel="00000000" w:rsidR="00000000" w:rsidRPr="00000000">
        <w:rPr>
          <w:rtl w:val="0"/>
        </w:rPr>
        <w:t xml:space="preserve"> $290,000 (Low leverage with Debt-to-Equity ratio of 0.22).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00" w:hanging="360"/>
      </w:pPr>
      <w:r w:rsidDel="00000000" w:rsidR="00000000" w:rsidRPr="00000000">
        <w:rPr>
          <w:b w:val="1"/>
          <w:bCs w:val="1"/>
          <w:rtl w:val="0"/>
        </w:rPr>
        <w:t xml:space="preserve">Debt Instrument Details:</w:t>
      </w:r>
      <w:r w:rsidDel="00000000" w:rsidR="00000000" w:rsidRPr="00000000">
        <w:rPr>
          <w:rtl w:val="0"/>
        </w:rPr>
        <w:t xml:space="preserve"> Non-dilutive equipment financing (12-month remaining tenure at 6.8% interest rate) and short-term revolving trade line for raw inventory.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beforeAutospacing="0" w:lineRule="auto"/>
        <w:ind w:left="400" w:hanging="360"/>
      </w:pPr>
      <w:r w:rsidDel="00000000" w:rsidR="00000000" w:rsidRPr="00000000">
        <w:rPr>
          <w:b w:val="1"/>
          <w:bCs w:val="1"/>
          <w:rtl w:val="0"/>
        </w:rPr>
        <w:t xml:space="preserve">Monthly Operational Burn:</w:t>
      </w:r>
      <w:r w:rsidDel="00000000" w:rsidR="00000000" w:rsidRPr="00000000">
        <w:rPr>
          <w:rtl w:val="0"/>
        </w:rPr>
        <w:t xml:space="preserve"> Cash-flow positive at operational level; net burn rate is $12,000/month earmarked purely for brand marketing expansion.</w:t>
      </w:r>
    </w:p>
    <w:p w:rsidR="00000000" w:rsidDel="00000000" w:rsidP="00000000" w:rsidRDefault="00000000" w:rsidRPr="00000000" w14:paraId="0000006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Rule="auto"/>
        <w:rPr/>
      </w:pPr>
      <w:r w:rsidDel="00000000" w:rsidR="00000000" w:rsidRPr="00000000">
        <w:rPr>
          <w:rtl w:val="0"/>
        </w:rPr>
        <w:t xml:space="preserve">5. Competitor Matrix &amp; Competitive Advantage</w:t>
      </w:r>
    </w:p>
    <w:tbl>
      <w:tblPr>
        <w:tblStyle w:val="Table5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color w:val="1a202c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a202c"/>
                <w:shd w:fill="auto" w:val="clear"/>
                <w:rtl w:val="0"/>
              </w:rPr>
              <w:t xml:space="preserve">Feature / Metric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color w:val="1a202c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a202c"/>
                <w:shd w:fill="auto" w:val="clear"/>
                <w:rtl w:val="0"/>
              </w:rPr>
              <w:t xml:space="preserve">Our Millet Brand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color w:val="1a202c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a202c"/>
                <w:shd w:fill="auto" w:val="clear"/>
                <w:rtl w:val="0"/>
              </w:rPr>
              <w:t xml:space="preserve">Incumbent Leaders (Frito-Lay / Haldiram's)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color w:val="1a202c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a202c"/>
                <w:shd w:fill="auto" w:val="clear"/>
                <w:rtl w:val="0"/>
              </w:rPr>
              <w:t xml:space="preserve">Legacy Health Brands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Base Ingredient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100% Ancient Millets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Refined Wheat / Corn / Potato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Rice / Wheat Blends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Processing Method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Air-Popped / Low-Temp Extruded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High-Temp Oil Deep Frying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Baked (High Sodium)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Glycemic Index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Low (&lt; 55)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High (&gt; 80)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Medium (65–70)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Gross Margin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58%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42%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48%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Supply Chain Moat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Farm-direct contract sourcing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Mass commodity trading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Middlemen brokers</w:t>
            </w:r>
          </w:p>
        </w:tc>
      </w:tr>
    </w:tbl>
    <w:p w:rsidR="00000000" w:rsidDel="00000000" w:rsidP="00000000" w:rsidRDefault="00000000" w:rsidRPr="00000000" w14:paraId="0000008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6. Product Roadmap &amp; Export Strategy</w:t>
      </w:r>
    </w:p>
    <w:p w:rsidR="00000000" w:rsidDel="00000000" w:rsidP="00000000" w:rsidRDefault="00000000" w:rsidRPr="00000000" w14:paraId="0000008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SKU Pipeline (12–18 Month Expansion)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400" w:hanging="360"/>
      </w:pPr>
      <w:r w:rsidDel="00000000" w:rsidR="00000000" w:rsidRPr="00000000">
        <w:rPr>
          <w:b w:val="1"/>
          <w:bCs w:val="1"/>
          <w:rtl w:val="0"/>
        </w:rPr>
        <w:t xml:space="preserve">Q3 2026:</w:t>
      </w:r>
      <w:r w:rsidDel="00000000" w:rsidR="00000000" w:rsidRPr="00000000">
        <w:rPr>
          <w:rtl w:val="0"/>
        </w:rPr>
        <w:t xml:space="preserve"> Sorghum Makhana Crunch-Puffs (3 Savory Flavors)</w:t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00" w:hanging="360"/>
      </w:pPr>
      <w:r w:rsidDel="00000000" w:rsidR="00000000" w:rsidRPr="00000000">
        <w:rPr>
          <w:b w:val="1"/>
          <w:bCs w:val="1"/>
          <w:rtl w:val="0"/>
        </w:rPr>
        <w:t xml:space="preserve">Q4 2026:</w:t>
      </w:r>
      <w:r w:rsidDel="00000000" w:rsidR="00000000" w:rsidRPr="00000000">
        <w:rPr>
          <w:rtl w:val="0"/>
        </w:rPr>
        <w:t xml:space="preserve"> Millet Protein Energy Bars (No Added Sugar)</w:t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00" w:hanging="360"/>
      </w:pPr>
      <w:r w:rsidDel="00000000" w:rsidR="00000000" w:rsidRPr="00000000">
        <w:rPr>
          <w:b w:val="1"/>
          <w:bCs w:val="1"/>
          <w:rtl w:val="0"/>
        </w:rPr>
        <w:t xml:space="preserve">Q1 2027:</w:t>
      </w:r>
      <w:r w:rsidDel="00000000" w:rsidR="00000000" w:rsidRPr="00000000">
        <w:rPr>
          <w:rtl w:val="0"/>
        </w:rPr>
        <w:t xml:space="preserve"> Ancient Grain Ramen Noodles (Zero Maida / Non-Fried)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beforeAutospacing="0" w:lineRule="auto"/>
        <w:ind w:left="400" w:hanging="360"/>
      </w:pPr>
      <w:r w:rsidDel="00000000" w:rsidR="00000000" w:rsidRPr="00000000">
        <w:rPr>
          <w:b w:val="1"/>
          <w:bCs w:val="1"/>
          <w:rtl w:val="0"/>
        </w:rPr>
        <w:t xml:space="preserve">Q2 2027:</w:t>
      </w:r>
      <w:r w:rsidDel="00000000" w:rsidR="00000000" w:rsidRPr="00000000">
        <w:rPr>
          <w:rtl w:val="0"/>
        </w:rPr>
        <w:t xml:space="preserve"> Functional Kids Millet Breakfast Cereal Rings</w:t>
      </w:r>
    </w:p>
    <w:p w:rsidR="00000000" w:rsidDel="00000000" w:rsidP="00000000" w:rsidRDefault="00000000" w:rsidRPr="00000000" w14:paraId="0000008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International Export Strategy</w:t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400" w:hanging="360"/>
      </w:pPr>
      <w:r w:rsidDel="00000000" w:rsidR="00000000" w:rsidRPr="00000000">
        <w:rPr>
          <w:b w:val="1"/>
          <w:bCs w:val="1"/>
          <w:rtl w:val="0"/>
        </w:rPr>
        <w:t xml:space="preserve">Phase 1 (North America):</w:t>
      </w:r>
      <w:r w:rsidDel="00000000" w:rsidR="00000000" w:rsidRPr="00000000">
        <w:rPr>
          <w:rtl w:val="0"/>
        </w:rPr>
        <w:t xml:space="preserve"> Ethnic Indian diaspora + specialty natural grocery stores (Whole Foods, Sprouts) capturing the 37% global demand share.</w:t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00" w:hanging="360"/>
      </w:pPr>
      <w:r w:rsidDel="00000000" w:rsidR="00000000" w:rsidRPr="00000000">
        <w:rPr>
          <w:b w:val="1"/>
          <w:bCs w:val="1"/>
          <w:rtl w:val="0"/>
        </w:rPr>
        <w:t xml:space="preserve">Phase 2 (GCC / Middle East):</w:t>
      </w:r>
      <w:r w:rsidDel="00000000" w:rsidR="00000000" w:rsidRPr="00000000">
        <w:rPr>
          <w:rtl w:val="0"/>
        </w:rPr>
        <w:t xml:space="preserve"> Target high demand for clean-label, halal-certified health snacks.</w:t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beforeAutospacing="0" w:lineRule="auto"/>
        <w:ind w:left="400" w:hanging="360"/>
      </w:pPr>
      <w:r w:rsidDel="00000000" w:rsidR="00000000" w:rsidRPr="00000000">
        <w:rPr>
          <w:b w:val="1"/>
          <w:bCs w:val="1"/>
          <w:rtl w:val="0"/>
        </w:rPr>
        <w:t xml:space="preserve">Phase 3 (Europe &amp; UK):</w:t>
      </w:r>
      <w:r w:rsidDel="00000000" w:rsidR="00000000" w:rsidRPr="00000000">
        <w:rPr>
          <w:rtl w:val="0"/>
        </w:rPr>
        <w:t xml:space="preserve"> Focus on gluten-free and vegan-certified distribution channels.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Export Certifications In Hand / Processing:</w:t>
      </w:r>
      <w:r w:rsidDel="00000000" w:rsidR="00000000" w:rsidRPr="00000000">
        <w:rPr>
          <w:rtl w:val="0"/>
        </w:rPr>
        <w:t xml:space="preserve"> FDA Approved, ISO 22000, FSSAI Export Certified, Gluten-Free Alliance Certified, Halal Certified.</w:t>
      </w:r>
    </w:p>
    <w:p w:rsidR="00000000" w:rsidDel="00000000" w:rsidP="00000000" w:rsidRDefault="00000000" w:rsidRPr="00000000" w14:paraId="0000009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Rule="auto"/>
        <w:rPr/>
      </w:pPr>
      <w:r w:rsidDel="00000000" w:rsidR="00000000" w:rsidRPr="00000000">
        <w:rPr>
          <w:rtl w:val="0"/>
        </w:rPr>
        <w:t xml:space="preserve">7. Unit Economics (Per Pack Analysis)</w:t>
      </w:r>
    </w:p>
    <w:tbl>
      <w:tblPr>
        <w:tblStyle w:val="Table6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color w:val="1a202c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a202c"/>
                <w:shd w:fill="auto" w:val="clear"/>
                <w:rtl w:val="0"/>
              </w:rPr>
              <w:t xml:space="preserve">Line Item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color w:val="1a202c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a202c"/>
                <w:shd w:fill="auto" w:val="clear"/>
                <w:rtl w:val="0"/>
              </w:rPr>
              <w:t xml:space="preserve">Value ($)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color w:val="1a202c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a202c"/>
                <w:shd w:fill="auto" w:val="clear"/>
                <w:rtl w:val="0"/>
              </w:rPr>
              <w:t xml:space="preserve">% of RSP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color w:val="1a202c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a202c"/>
                <w:shd w:fill="auto" w:val="clear"/>
                <w:rtl w:val="0"/>
              </w:rPr>
              <w:t xml:space="preserve">Operational Detail</w:t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Retail Shelf Price (RSP)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$2.50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100.0%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Consumer purchase price across channels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Channel / Retailer Margin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$0.80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32.0%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Distributor, Q-commerce &amp; Modern Trade margin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Net Realized Revenue (NSR)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$1.70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68.0%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Actual revenue earned per unit sold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Raw Material (Millets, Seasoning)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$0.38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15.2%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Direct millet cooperative contract pricing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Packaging (Nitrogen-flushed pouch)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$0.12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4.8%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Eco-barrier high-shelf-life film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Direct Manufacturing &amp; Processing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$0.10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4.0%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Extrusion &amp; baking operational cost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Cost of Goods Sold (COGS)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$0.60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24.0%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Total production cost per unit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Gross Profit (Per Unit)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$1.10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44.0%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Contribution Margin 1 (CM1)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Variable Shipping &amp; Fulfillment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$0.22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8.8%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Logistics, warehousing &amp; last-mile delivery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Customer Acquisition (Blended CAC)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$0.28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11.2%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Performance marketing &amp; trade promo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Contribution Margin 2 (CM2)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$0.60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24.0%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Net operational margin per unit</w:t>
            </w:r>
          </w:p>
        </w:tc>
      </w:tr>
    </w:tbl>
    <w:p w:rsidR="00000000" w:rsidDel="00000000" w:rsidP="00000000" w:rsidRDefault="00000000" w:rsidRPr="00000000" w14:paraId="000000C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Rule="auto"/>
        <w:rPr/>
      </w:pPr>
      <w:r w:rsidDel="00000000" w:rsidR="00000000" w:rsidRPr="00000000">
        <w:rPr>
          <w:rtl w:val="0"/>
        </w:rPr>
        <w:t xml:space="preserve">8. 3-Year Pro-Forma Income Statement (FY 2027 – FY 2029)</w:t>
      </w:r>
    </w:p>
    <w:tbl>
      <w:tblPr>
        <w:tblStyle w:val="Table7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color w:val="1a202c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a202c"/>
                <w:shd w:fill="auto" w:val="clear"/>
                <w:rtl w:val="0"/>
              </w:rPr>
              <w:t xml:space="preserve">Financial Metric ($ in Thousands)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color w:val="1a202c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a202c"/>
                <w:shd w:fill="auto" w:val="clear"/>
                <w:rtl w:val="0"/>
              </w:rPr>
              <w:t xml:space="preserve">FY 2027 (Year 1)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color w:val="1a202c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a202c"/>
                <w:shd w:fill="auto" w:val="clear"/>
                <w:rtl w:val="0"/>
              </w:rPr>
              <w:t xml:space="preserve">FY 2028 (Year 2)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color w:val="1a202c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a202c"/>
                <w:shd w:fill="auto" w:val="clear"/>
                <w:rtl w:val="0"/>
              </w:rPr>
              <w:t xml:space="preserve">FY 2029 (Year 3)</w:t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Units Sold (Millions)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2.50M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6.50M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15.00M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Gross Revenue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$6,250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$16,250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$37,500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Less: Channel Discounts &amp; Allowances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($2,000)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($5,200)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($12,000)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Net Revenue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$4,250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$11,050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$25,500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Cost of Goods Sold (COGS)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($1,500)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($3,770)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($8,415)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Gross Profit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$2,750 (64.7%)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$7,280 (65.9%)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$17,085 (67.0%)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Sales &amp; Marketing (CAC, Ads, Trade)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$1,275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$2,760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$5,100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Fulfillment &amp; Supply Chain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$550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$1,326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$2,805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Salaries &amp; Team Headcount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$520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$1,100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$2,200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R&amp;D, Quality Control &amp; Certifications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$120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$210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$380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General &amp; Administrative (G&amp;A)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$110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$230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$450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Operating Expenses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$2,575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$5,626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$10,935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EBITDA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$175 (4.1%)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$1,654 (15.0%)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$6,150 (24.1%)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Depreciation &amp; Amortization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($45)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($110)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($220)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Interest Expense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($18)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($10)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Pre-Tax Income (EBIT)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$112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$1,534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$5,930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Tax Provision (21%)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($23.5)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($322)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($1,245)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Net Profit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$88.5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$1,212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$4,685</w:t>
            </w:r>
          </w:p>
        </w:tc>
      </w:tr>
    </w:tbl>
    <w:p w:rsidR="00000000" w:rsidDel="00000000" w:rsidP="00000000" w:rsidRDefault="00000000" w:rsidRPr="00000000" w14:paraId="000001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9. Capital Requirement &amp; Investor Returns</w:t>
      </w:r>
    </w:p>
    <w:p w:rsidR="00000000" w:rsidDel="00000000" w:rsidP="00000000" w:rsidRDefault="00000000" w:rsidRPr="00000000" w14:paraId="000001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Series A Use of Funds ($3.50 Million Raise)</w:t>
      </w:r>
    </w:p>
    <w:p w:rsidR="00000000" w:rsidDel="00000000" w:rsidP="00000000" w:rsidRDefault="00000000" w:rsidRPr="00000000" w14:paraId="0000011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400" w:hanging="360"/>
      </w:pPr>
      <w:r w:rsidDel="00000000" w:rsidR="00000000" w:rsidRPr="00000000">
        <w:rPr>
          <w:b w:val="1"/>
          <w:bCs w:val="1"/>
          <w:rtl w:val="0"/>
        </w:rPr>
        <w:t xml:space="preserve">Market Acquisition &amp; Performance Ads:</w:t>
      </w:r>
      <w:r w:rsidDel="00000000" w:rsidR="00000000" w:rsidRPr="00000000">
        <w:rPr>
          <w:rtl w:val="0"/>
        </w:rPr>
        <w:t xml:space="preserve"> $1,400,000 (40%)</w:t>
      </w:r>
    </w:p>
    <w:p w:rsidR="00000000" w:rsidDel="00000000" w:rsidP="00000000" w:rsidRDefault="00000000" w:rsidRPr="00000000" w14:paraId="0000011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00" w:hanging="360"/>
      </w:pPr>
      <w:r w:rsidDel="00000000" w:rsidR="00000000" w:rsidRPr="00000000">
        <w:rPr>
          <w:b w:val="1"/>
          <w:bCs w:val="1"/>
          <w:rtl w:val="0"/>
        </w:rPr>
        <w:t xml:space="preserve">Retail Expansion &amp; Modern Trade Slots:</w:t>
      </w:r>
      <w:r w:rsidDel="00000000" w:rsidR="00000000" w:rsidRPr="00000000">
        <w:rPr>
          <w:rtl w:val="0"/>
        </w:rPr>
        <w:t xml:space="preserve"> $875,000 (25%)</w:t>
      </w:r>
    </w:p>
    <w:p w:rsidR="00000000" w:rsidDel="00000000" w:rsidP="00000000" w:rsidRDefault="00000000" w:rsidRPr="00000000" w14:paraId="0000011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00" w:hanging="360"/>
      </w:pPr>
      <w:r w:rsidDel="00000000" w:rsidR="00000000" w:rsidRPr="00000000">
        <w:rPr>
          <w:b w:val="1"/>
          <w:bCs w:val="1"/>
          <w:rtl w:val="0"/>
        </w:rPr>
        <w:t xml:space="preserve">Processing Facility CAPEX:</w:t>
      </w:r>
      <w:r w:rsidDel="00000000" w:rsidR="00000000" w:rsidRPr="00000000">
        <w:rPr>
          <w:rtl w:val="0"/>
        </w:rPr>
        <w:t xml:space="preserve"> $700,000 (20%)</w:t>
      </w:r>
    </w:p>
    <w:p w:rsidR="00000000" w:rsidDel="00000000" w:rsidP="00000000" w:rsidRDefault="00000000" w:rsidRPr="00000000" w14:paraId="0000011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00" w:hanging="360"/>
      </w:pPr>
      <w:r w:rsidDel="00000000" w:rsidR="00000000" w:rsidRPr="00000000">
        <w:rPr>
          <w:b w:val="1"/>
          <w:bCs w:val="1"/>
          <w:rtl w:val="0"/>
        </w:rPr>
        <w:t xml:space="preserve">Export Registrations &amp; Certifications:</w:t>
      </w:r>
      <w:r w:rsidDel="00000000" w:rsidR="00000000" w:rsidRPr="00000000">
        <w:rPr>
          <w:rtl w:val="0"/>
        </w:rPr>
        <w:t xml:space="preserve"> $350,000 (10%)</w:t>
      </w:r>
    </w:p>
    <w:p w:rsidR="00000000" w:rsidDel="00000000" w:rsidP="00000000" w:rsidRDefault="00000000" w:rsidRPr="00000000" w14:paraId="0000011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beforeAutospacing="0" w:lineRule="auto"/>
        <w:ind w:left="400" w:hanging="360"/>
      </w:pPr>
      <w:r w:rsidDel="00000000" w:rsidR="00000000" w:rsidRPr="00000000">
        <w:rPr>
          <w:b w:val="1"/>
          <w:bCs w:val="1"/>
          <w:rtl w:val="0"/>
        </w:rPr>
        <w:t xml:space="preserve">Working Capital Buffer:</w:t>
      </w:r>
      <w:r w:rsidDel="00000000" w:rsidR="00000000" w:rsidRPr="00000000">
        <w:rPr>
          <w:rtl w:val="0"/>
        </w:rPr>
        <w:t xml:space="preserve"> $175,000 (5%)</w:t>
      </w:r>
    </w:p>
    <w:p w:rsidR="00000000" w:rsidDel="00000000" w:rsidP="00000000" w:rsidRDefault="00000000" w:rsidRPr="00000000" w14:paraId="000001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Rule="auto"/>
        <w:rPr/>
      </w:pPr>
      <w:r w:rsidDel="00000000" w:rsidR="00000000" w:rsidRPr="00000000">
        <w:rPr>
          <w:rtl w:val="0"/>
        </w:rPr>
        <w:t xml:space="preserve">Payback &amp; Return Metrics</w:t>
      </w:r>
    </w:p>
    <w:tbl>
      <w:tblPr>
        <w:tblStyle w:val="Table8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color w:val="1a202c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a202c"/>
                <w:shd w:fill="auto" w:val="clear"/>
                <w:rtl w:val="0"/>
              </w:rPr>
              <w:t xml:space="preserve">Metric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color w:val="1a202c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a202c"/>
                <w:shd w:fill="auto" w:val="clear"/>
                <w:rtl w:val="0"/>
              </w:rPr>
              <w:t xml:space="preserve">Projection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color w:val="1a202c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a202c"/>
                <w:shd w:fill="auto" w:val="clear"/>
                <w:rtl w:val="0"/>
              </w:rPr>
              <w:t xml:space="preserve">Operational Benchmark</w:t>
            </w:r>
          </w:p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Monthly Breakeven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Month 11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Achieved at ~185,000 units sold per month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Cumulative Cash Positive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Month 18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Operating profits offset initial burn rate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Capital Payback Period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2.3 Years (28 Months)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Full $3.5M investment recovered via EBITDA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Year 3 Exit Multiple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4.0x–5.5x Net Revenue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$100M–$140M Enterprise Value range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Projected Investor IRR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42.5%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Based on 20% equity stake in Series A</w:t>
            </w:r>
          </w:p>
        </w:tc>
      </w:tr>
    </w:tbl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360" w:lineRule="auto"/>
    </w:pPr>
    <w:rPr>
      <w:b w:val="1"/>
      <w:bCs w:val="1"/>
      <w:i w:val="0"/>
      <w:iCs w:val="0"/>
      <w:color w:val="1a365d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Rule="auto"/>
    </w:pPr>
    <w:rPr>
      <w:b w:val="1"/>
      <w:bCs w:val="1"/>
      <w:i w:val="0"/>
      <w:iCs w:val="0"/>
      <w:color w:val="2b6cb0"/>
      <w:sz w:val="32"/>
      <w:szCs w:val="32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Rule="auto"/>
    </w:pPr>
    <w:rPr>
      <w:b w:val="1"/>
      <w:bCs w:val="1"/>
      <w:i w:val="0"/>
      <w:iCs w:val="0"/>
      <w:color w:val="2d3748"/>
      <w:sz w:val="26"/>
      <w:szCs w:val="26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