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perawufg4mya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Executive Summary &amp; Discussion Transcript: E-Commerce Data &amp; Review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8wyxxj08bcq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compiles the full workflow, user prompts, analytical findings, data tables, and key insights from the data analysis session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Terry's Trousers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6omqgw8exdh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1: Review Extraction &amp; Formatting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ynrn39i7so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 Prompt 1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Extract the reviews from this screenshot and turn them into a table with the following columns: date, text, and # of stars.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py1y7gl4ja8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Actions &amp; Analysis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Digitized and structured customer review text from the screenshot file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Reviews Screenshot_Sample.pdf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Generated downloadable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extracted_reviews.csv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extracted_reviews.xlsx</w:t>
      </w:r>
      <w:r w:rsidDel="00000000" w:rsidR="00000000" w:rsidRPr="00000000">
        <w:rPr>
          <w:color w:val="1f1f1f"/>
          <w:rtl w:val="0"/>
        </w:rPr>
        <w:t xml:space="preserve"> data files.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p5ikfijwwa5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Extracted Data Table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6450"/>
        <w:gridCol w:w="1245"/>
        <w:tblGridChange w:id="0">
          <w:tblGrid>
            <w:gridCol w:w="1035"/>
            <w:gridCol w:w="6450"/>
            <w:gridCol w:w="12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Review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 of Stars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"Sizing is inconsistent. I ordered two pairs in the same size and they were completely different."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sizing chart was spot on. I appreciate that there were no surprises with the fit."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Feb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'charcoal grey' is a lovely shade. The quality seems decent for the price."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Feb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"I'm obsessed with the wide-leg style! They fit beautifully and are so flattering."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Feb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color I received was not even close to the picture on the website. This is misleading."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Feb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love the color of these trousers, it's exactly as pictured. The quality feels very durable, too."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Jan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had an issue with a wrong item being shipped, but customer service fixed it immediately."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Jan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fabric is so thin, it's practically see-through. I can't wear these in public."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Jan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trousers are okay, but they wrinkle very easily which is a pain to deal with."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Jan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seam came undone on the leg after two weeks. This is unacceptable."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4zgputpbtfg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2: Core E-Commerce Performance Metrics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xxvlns52r29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 Prompt 2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This is data from my e-commerce website. Provide the total purchase revenue and total number of transactions.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q9zoub70fz2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Actions &amp; Analysis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Ingested and processed website session and conversion data from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Terry's Trousers Data - Website Data.csv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rg98qz54g91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Overall Key Performance Indicators (KPIs)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Purchase Revenue: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$127,282.20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Transactions: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1,529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Average Order Value (AOV):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$83.25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Overall Conversion Rate: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3.31%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(1,529 transactions / 46,170 sessions)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Traffic Summary:</w:t>
      </w:r>
      <w:r w:rsidDel="00000000" w:rsidR="00000000" w:rsidRPr="00000000">
        <w:rPr>
          <w:color w:val="1f1f1f"/>
          <w:rtl w:val="0"/>
        </w:rPr>
        <w:t xml:space="preserve"> 38,825 total users | 46,170 sessions | 29,128 engaged sessions | 6,145 add-to-cart events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7ej59udrdb7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Performance by Channel Group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8.1850533807828"/>
        <w:gridCol w:w="832.7402135231316"/>
        <w:gridCol w:w="1065.9074733096086"/>
        <w:gridCol w:w="1065.9074733096086"/>
        <w:gridCol w:w="743.914590747331"/>
        <w:gridCol w:w="1387.9003558718862"/>
        <w:gridCol w:w="1176.9395017793593"/>
        <w:gridCol w:w="832.7402135231316"/>
        <w:gridCol w:w="1265.7651245551601"/>
        <w:tblGridChange w:id="0">
          <w:tblGrid>
            <w:gridCol w:w="988.1850533807828"/>
            <w:gridCol w:w="832.7402135231316"/>
            <w:gridCol w:w="1065.9074733096086"/>
            <w:gridCol w:w="1065.9074733096086"/>
            <w:gridCol w:w="743.914590747331"/>
            <w:gridCol w:w="1387.9003558718862"/>
            <w:gridCol w:w="1176.9395017793593"/>
            <w:gridCol w:w="832.7402135231316"/>
            <w:gridCol w:w="1265.7651245551601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Session Channel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Engaged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 to Carts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6,550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8,950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6,548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1,535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$36,073.50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$89.96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4.48%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13,525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10,061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$34,690.70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$75.74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2.86%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Paid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7,125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8,050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5,316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1,370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$30,375.00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$85.56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4.41%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1,895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2,520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2,166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$14,520.00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$88.00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Paid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3,750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2,335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$7,628.00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$78.64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2.31%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Organic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5,980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6,450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2,702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$3,995.00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$75.38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0.82%</w:t>
            </w:r>
          </w:p>
        </w:tc>
      </w:tr>
    </w:tbl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cc152u45t8g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Performance by Device Category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7.3498233215548"/>
        <w:gridCol w:w="826.8551236749117"/>
        <w:gridCol w:w="1058.374558303887"/>
        <w:gridCol w:w="1058.374558303887"/>
        <w:gridCol w:w="738.6572438162544"/>
        <w:gridCol w:w="1378.0918727915196"/>
        <w:gridCol w:w="1168.6219081272086"/>
        <w:gridCol w:w="826.8551236749117"/>
        <w:gridCol w:w="1256.8197879858658"/>
        <w:tblGridChange w:id="0">
          <w:tblGrid>
            <w:gridCol w:w="1047.3498233215548"/>
            <w:gridCol w:w="826.8551236749117"/>
            <w:gridCol w:w="1058.374558303887"/>
            <w:gridCol w:w="1058.374558303887"/>
            <w:gridCol w:w="738.6572438162544"/>
            <w:gridCol w:w="1378.0918727915196"/>
            <w:gridCol w:w="1168.6219081272086"/>
            <w:gridCol w:w="826.8551236749117"/>
            <w:gridCol w:w="1256.8197879858658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Device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Engaged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 to Carts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16,345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20,090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14,774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3,567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$84,088.50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$89.93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21,495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24,960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13,649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2,473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$40,643.70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$71.81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2.27%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1,120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$2,550.00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$91.07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2.50%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y9x8pdwzlzi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3: Revenue Efficiency per Session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u5v6sj42erk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 Prompt 3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What is the average revenue per session based on channel, regardless of device category?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cpxrmwu3z9e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Actions &amp; Analysis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Calculated channel efficiency by dividing total channel purchase revenue by total channel sessions:</w:t>
      </w:r>
    </w:p>
    <w:p w:rsidR="00000000" w:rsidDel="00000000" w:rsidP="00000000" w:rsidRDefault="00000000" w:rsidRPr="00000000" w14:paraId="000000A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$$\text{Revenue per Session} = \frac{\text{Total Purchase Revenue}}{\text{Total Sessions}}$$</w:t>
      </w:r>
    </w:p>
    <w:tbl>
      <w:tblPr>
        <w:tblStyle w:val="Table4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830"/>
        <w:gridCol w:w="1785"/>
        <w:gridCol w:w="2745"/>
        <w:tblGridChange w:id="0">
          <w:tblGrid>
            <w:gridCol w:w="2325"/>
            <w:gridCol w:w="1830"/>
            <w:gridCol w:w="1785"/>
            <w:gridCol w:w="27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Session Channel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Average Revenue per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$14,520.00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2,520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$36,073.50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8,950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$4.03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Paid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$30,375.00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8,050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$34,690.70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Paid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$7,628.00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Organic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$3,995.00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6,450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$0.62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hty42t7kxwa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4: Qualitative &amp; Analyst Insights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h3ep6i2tubz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 Prompt 4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You are a data analyst. For an e-commerce site, why might Email generate significantly higher average revenue per session ($5.76) compared to Social ($0.62–$1.82)?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3ywmcrffyyu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Diagnostic Factors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Audience Intent &amp; Warmth:</w:t>
      </w:r>
      <w:r w:rsidDel="00000000" w:rsidR="00000000" w:rsidRPr="00000000">
        <w:rPr>
          <w:color w:val="1f1f1f"/>
          <w:rtl w:val="0"/>
        </w:rPr>
        <w:t xml:space="preserve"> Email recipients are opt-in subscribers and repeat buyers with high purchase intent. Social users are in passive discovery mode at the top of the sales funnel (TOFU).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Personalization &amp; Relevance:</w:t>
      </w:r>
      <w:r w:rsidDel="00000000" w:rsidR="00000000" w:rsidRPr="00000000">
        <w:rPr>
          <w:color w:val="1f1f1f"/>
          <w:rtl w:val="0"/>
        </w:rPr>
        <w:t xml:space="preserve"> Email permits segmented, high-relevance messaging (cart abandonments, direct product launches), leading to targeted shopping journeys.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In-App Browser Friction:</w:t>
      </w:r>
      <w:r w:rsidDel="00000000" w:rsidR="00000000" w:rsidRPr="00000000">
        <w:rPr>
          <w:color w:val="1f1f1f"/>
          <w:rtl w:val="0"/>
        </w:rPr>
        <w:t xml:space="preserve"> Social traffic occurs predominantly on mobile via restricted in-app browsers (e.g., Instagram/TikTok), where checkout friction is high.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Focused Call to Action (CTA):</w:t>
      </w:r>
      <w:r w:rsidDel="00000000" w:rsidR="00000000" w:rsidRPr="00000000">
        <w:rPr>
          <w:color w:val="1f1f1f"/>
          <w:rtl w:val="0"/>
        </w:rPr>
        <w:t xml:space="preserve"> Email campaigns drive singular commercial actions, whereas social clicks are often driven by casual curiosity.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0ugxyyjfxv8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5: Data Visualization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2829tr5ygyu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 Prompt 5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Create a bar chart that shows average revenue per session by channel.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i02cob9znas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Actions &amp; Output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Seaborn/Matplotlib visualization was generated to represent session efficiency visually across all acquisition channels.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Finding Visualized: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Email</w:t>
      </w:r>
      <w:r w:rsidDel="00000000" w:rsidR="00000000" w:rsidRPr="00000000">
        <w:rPr>
          <w:color w:val="1f1f1f"/>
          <w:rtl w:val="0"/>
        </w:rPr>
        <w:t xml:space="preserve"> generates the highest monetary value per visit ($5.76/session), nearly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$2.00 higher</w:t>
      </w:r>
      <w:r w:rsidDel="00000000" w:rsidR="00000000" w:rsidRPr="00000000">
        <w:rPr>
          <w:color w:val="1f1f1f"/>
          <w:rtl w:val="0"/>
        </w:rPr>
        <w:t xml:space="preserve"> than the next closest channel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Direct</w:t>
      </w:r>
      <w:r w:rsidDel="00000000" w:rsidR="00000000" w:rsidRPr="00000000">
        <w:rPr>
          <w:color w:val="1f1f1f"/>
          <w:rtl w:val="0"/>
        </w:rPr>
        <w:t xml:space="preserve"> at $4.03),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9x higher</w:t>
      </w:r>
      <w:r w:rsidDel="00000000" w:rsidR="00000000" w:rsidRPr="00000000">
        <w:rPr>
          <w:color w:val="1f1f1f"/>
          <w:rtl w:val="0"/>
        </w:rPr>
        <w:t xml:space="preserve"> than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Organic Social</w:t>
      </w:r>
      <w:r w:rsidDel="00000000" w:rsidR="00000000" w:rsidRPr="00000000">
        <w:rPr>
          <w:color w:val="1f1f1f"/>
          <w:rtl w:val="0"/>
        </w:rPr>
        <w:t xml:space="preserve"> ($0.62).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