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nbr11o08d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 Ease AI Chatbot: Requirements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1.3263157894735"/>
        <w:gridCol w:w="1468.0421052631577"/>
        <w:gridCol w:w="1793.1789473684212"/>
        <w:gridCol w:w="3847.452631578947"/>
        <w:tblGridChange w:id="0">
          <w:tblGrid>
            <w:gridCol w:w="2251.3263157894735"/>
            <w:gridCol w:w="1468.0421052631577"/>
            <w:gridCol w:w="1793.1789473684212"/>
            <w:gridCol w:w="3847.45263157894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(MoSCoW)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Query Response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Ensures immediate customer engagement to reduce churn.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Tracking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Automates the most frequent customer inquiry type.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Agent Handoff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frustration by escalating complex issues to staff.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Multi-language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Expands market reach to non-English speaking customers.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Sentiment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Detects angry customers to prioritize them for human support.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Base Sync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Keeps AI responses accurate with current product info.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App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Nice to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a consistent experience across all platforms.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Post-Chat Survey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Collects data for the 15% satisfaction improvement goal.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99.9% System Uptime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Maintains reliability and customer trust 24/7.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Protects sensitive customer data and ensures GDPR compliance.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Latency &lt; 2s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Maintains a natural conversational flow for the user.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 (10k Users)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Ensures the system doesn't crash during holiday sales peaks.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