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2w81qsz6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 Ease AI Chatbot: Stakeholder Engagement Strategy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2.4732824427479"/>
        <w:gridCol w:w="990.7786259541984"/>
        <w:gridCol w:w="976.4885496183206"/>
        <w:gridCol w:w="1533.8015267175572"/>
        <w:gridCol w:w="2391.2061068702287"/>
        <w:gridCol w:w="1605.2519083969466"/>
        <w:tblGridChange w:id="0">
          <w:tblGrid>
            <w:gridCol w:w="1862.4732824427479"/>
            <w:gridCol w:w="990.7786259541984"/>
            <w:gridCol w:w="976.4885496183206"/>
            <w:gridCol w:w="1533.8015267175572"/>
            <w:gridCol w:w="2391.2061068702287"/>
            <w:gridCol w:w="1605.251908396946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 Satisfied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Executive 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Closely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Stand-ups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IT/AI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 Informed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 Closely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Working Sessions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Milestone-based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Customers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 Informed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In-app notifications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