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kmvvgaidwa4" w:id="0"/>
      <w:bookmarkEnd w:id="0"/>
      <w:r w:rsidDel="00000000" w:rsidR="00000000" w:rsidRPr="00000000">
        <w:rPr>
          <w:b w:val="1"/>
          <w:bCs w:val="1"/>
          <w:sz w:val="46"/>
          <w:szCs w:val="46"/>
          <w:rtl w:val="0"/>
        </w:rPr>
        <w:t xml:space="preserve">Project Reflection: Utilizing GenAI in Requirements Management</w:t>
      </w:r>
    </w:p>
    <w:p w:rsidR="00000000" w:rsidDel="00000000" w:rsidP="00000000" w:rsidRDefault="00000000" w:rsidRPr="00000000" w14:paraId="00000002">
      <w:pPr>
        <w:spacing w:after="240" w:before="240" w:lineRule="auto"/>
        <w:rPr/>
      </w:pPr>
      <w:r w:rsidDel="00000000" w:rsidR="00000000" w:rsidRPr="00000000">
        <w:rPr>
          <w:rtl w:val="0"/>
        </w:rPr>
        <w:t xml:space="preserve">Generative AI served as a powerful "force multiplier" during the planning of the Shop Ease AI Chatbot project. By leveraging AI, I was able to rapidly convert a high-level business case into structured deliverables like a MoSCoW-prioritized requirements list and a detailed RACI matrix. The AI provided instant insights into common industry standards for non-functional requirements—such as uptime percentages and latency benchmarks—which might have taken hours of manual research otherwise.</w:t>
      </w:r>
    </w:p>
    <w:p w:rsidR="00000000" w:rsidDel="00000000" w:rsidP="00000000" w:rsidRDefault="00000000" w:rsidRPr="00000000" w14:paraId="00000003">
      <w:pPr>
        <w:spacing w:after="240" w:before="240" w:lineRule="auto"/>
        <w:rPr/>
      </w:pPr>
      <w:r w:rsidDel="00000000" w:rsidR="00000000" w:rsidRPr="00000000">
        <w:rPr>
          <w:rtl w:val="0"/>
        </w:rPr>
        <w:t xml:space="preserve">However, certain limitations were observed. The AI occasionally generated "generic" requirements that lacked the specific operational nuances of Shop Ease’s unique shipping or refund policies. It also struggled with the complex political dynamics between stakeholders, requiring manual adjustment of the RACI designators to ensure the Program Manager remained "Accountable" while the IT Lead stayed "Responsible."</w:t>
      </w:r>
    </w:p>
    <w:p w:rsidR="00000000" w:rsidDel="00000000" w:rsidP="00000000" w:rsidRDefault="00000000" w:rsidRPr="00000000" w14:paraId="00000004">
      <w:pPr>
        <w:spacing w:after="240" w:before="240" w:lineRule="auto"/>
        <w:rPr/>
      </w:pPr>
      <w:r w:rsidDel="00000000" w:rsidR="00000000" w:rsidRPr="00000000">
        <w:rPr>
          <w:rtl w:val="0"/>
        </w:rPr>
        <w:t xml:space="preserve">To validate these results, a Business Analyst should conduct "Member Checking" sessions with the stakeholders. This involves presenting the AI-drafted RACI and Engagement strategies to the actual individuals to confirm their comfort with the assigned roles. Furthermore, a security expert should audit the AI’s suggested encryption requirements to ensure they meet current zero-trust standards before moving into the development phase. Ultimately, while AI accelerated the documentation, human professional judgment remained the final authority for strategic alignment.</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