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vhyivxivna7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Task 1: Review the Business Case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Extract the "Signal from the Noise" using GenAI.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Prompt Strategy:</w:t>
      </w:r>
      <w:r w:rsidDel="00000000" w:rsidR="00000000" w:rsidRPr="00000000">
        <w:rPr>
          <w:color w:val="1f1f1f"/>
          <w:rtl w:val="0"/>
        </w:rPr>
        <w:t xml:space="preserve"> "Act as a Senior Business Analyst. Analyze the Shop Ease Online AI Chatbot case study. Identify the top 3 business goals, 2 technical challenges, and 3 critical data gaps. Present this in a markdown table."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to Look For:</w:t>
      </w:r>
      <w:r w:rsidDel="00000000" w:rsidR="00000000" w:rsidRPr="00000000">
        <w:rPr>
          <w:color w:val="1f1f1f"/>
          <w:rtl w:val="0"/>
        </w:rPr>
        <w:t xml:space="preserve"> Ensure the AI identifies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Integration with existing CRM</w:t>
      </w:r>
      <w:r w:rsidDel="00000000" w:rsidR="00000000" w:rsidRPr="00000000">
        <w:rPr>
          <w:color w:val="1f1f1f"/>
          <w:rtl w:val="0"/>
        </w:rPr>
        <w:t xml:space="preserve"> as a challenge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Historical Chat Logs</w:t>
      </w:r>
      <w:r w:rsidDel="00000000" w:rsidR="00000000" w:rsidRPr="00000000">
        <w:rPr>
          <w:color w:val="1f1f1f"/>
          <w:rtl w:val="0"/>
        </w:rPr>
        <w:t xml:space="preserve"> as a potential data gap.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7275"/>
        <w:tblGridChange w:id="0">
          <w:tblGrid>
            <w:gridCol w:w="1485"/>
            <w:gridCol w:w="727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Key 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Reduce support ticket volume by 40%; Provide 24/7 instant response.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Challenges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Handling complex multi-part queries; Integration with legacy inventory systems.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Lack of labeled data for "Return/Refund" intent classification.</w:t>
            </w:r>
          </w:p>
        </w:tc>
      </w:tr>
    </w:tbl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iyivcgio3dg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Task 2: Gather &amp; Prioritize Requirements (MoSCoW)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Define what the system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must</w:t>
      </w:r>
      <w:r w:rsidDel="00000000" w:rsidR="00000000" w:rsidRPr="00000000">
        <w:rPr>
          <w:color w:val="1f1f1f"/>
          <w:rtl w:val="0"/>
        </w:rPr>
        <w:t xml:space="preserve"> do versus what is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nice to have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Functional (8):</w:t>
      </w:r>
      <w:r w:rsidDel="00000000" w:rsidR="00000000" w:rsidRPr="00000000">
        <w:rPr>
          <w:color w:val="1f1f1f"/>
          <w:rtl w:val="0"/>
        </w:rPr>
        <w:t xml:space="preserve"> User authentication, Order tracking, Refund processing, NLP intent recognition, etc.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Non-Functional (4):</w:t>
      </w:r>
      <w:r w:rsidDel="00000000" w:rsidR="00000000" w:rsidRPr="00000000">
        <w:rPr>
          <w:color w:val="1f1f1f"/>
          <w:rtl w:val="0"/>
        </w:rPr>
        <w:t xml:space="preserve"> Response time &lt; 2s, 99.9% Uptime, Data encryption at rest, Mobile responsiveness.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MoSCoW Logic: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Must Have:</w:t>
      </w:r>
      <w:r w:rsidDel="00000000" w:rsidR="00000000" w:rsidRPr="00000000">
        <w:rPr>
          <w:color w:val="1f1f1f"/>
          <w:rtl w:val="0"/>
        </w:rPr>
        <w:t xml:space="preserve"> Secure login, real-time order status.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Should Have:</w:t>
      </w:r>
      <w:r w:rsidDel="00000000" w:rsidR="00000000" w:rsidRPr="00000000">
        <w:rPr>
          <w:color w:val="1f1f1f"/>
          <w:rtl w:val="0"/>
        </w:rPr>
        <w:t xml:space="preserve"> Multi-language support (essential for your regional focus in India).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Could Have:</w:t>
      </w:r>
      <w:r w:rsidDel="00000000" w:rsidR="00000000" w:rsidRPr="00000000">
        <w:rPr>
          <w:color w:val="1f1f1f"/>
          <w:rtl w:val="0"/>
        </w:rPr>
        <w:t xml:space="preserve"> Voice-to-text input.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Won't Have (this phase):</w:t>
      </w:r>
      <w:r w:rsidDel="00000000" w:rsidR="00000000" w:rsidRPr="00000000">
        <w:rPr>
          <w:color w:val="1f1f1f"/>
          <w:rtl w:val="0"/>
        </w:rPr>
        <w:t xml:space="preserve"> Predictive buying suggestions.</w:t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y66qj7reltz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Task 3: Develop a RACI Chart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Clarify who does what to avoid project "drift."</w:t>
      </w:r>
    </w:p>
    <w:tbl>
      <w:tblPr>
        <w:tblStyle w:val="Table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2445"/>
        <w:gridCol w:w="1995"/>
        <w:gridCol w:w="1695"/>
        <w:tblGridChange w:id="0">
          <w:tblGrid>
            <w:gridCol w:w="2565"/>
            <w:gridCol w:w="2445"/>
            <w:gridCol w:w="1995"/>
            <w:gridCol w:w="169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Task: Define Bot Personality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Task: API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Task: Final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R/A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AI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Customer Service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Legal/Compliance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02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r4d41a8hkqr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Task 4: Map Stakeholder Engagement Strategies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Use the Power/Interest Grid to determine communication frequency.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Manage Closely (High Power/Interest):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CTO &amp; Support Head.</w:t>
      </w:r>
      <w:r w:rsidDel="00000000" w:rsidR="00000000" w:rsidRPr="00000000">
        <w:rPr>
          <w:color w:val="1f1f1f"/>
          <w:rtl w:val="0"/>
        </w:rPr>
        <w:t xml:space="preserve"> Weekly sync meetings + Dashboard access.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Keep Satisfied (High Power/Low Interest):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Legal/Finance.</w:t>
      </w:r>
      <w:r w:rsidDel="00000000" w:rsidR="00000000" w:rsidRPr="00000000">
        <w:rPr>
          <w:color w:val="1f1f1f"/>
          <w:rtl w:val="0"/>
        </w:rPr>
        <w:t xml:space="preserve"> Monthly milestone reports.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Keep Informed (Low Power/High Interest):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Customer Support Staff.</w:t>
      </w:r>
      <w:r w:rsidDel="00000000" w:rsidR="00000000" w:rsidRPr="00000000">
        <w:rPr>
          <w:color w:val="1f1f1f"/>
          <w:rtl w:val="0"/>
        </w:rPr>
        <w:t xml:space="preserve"> Bi-weekly newsletters/Town halls.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Monitor (Low Power/Low Interest):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External Vendors.</w:t>
      </w:r>
      <w:r w:rsidDel="00000000" w:rsidR="00000000" w:rsidRPr="00000000">
        <w:rPr>
          <w:color w:val="1f1f1f"/>
          <w:rtl w:val="0"/>
        </w:rPr>
        <w:t xml:space="preserve"> Monthly email updates.</w:t>
      </w:r>
    </w:p>
    <w:p w:rsidR="00000000" w:rsidDel="00000000" w:rsidP="00000000" w:rsidRDefault="00000000" w:rsidRPr="00000000" w14:paraId="0000003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39k8ktj04ja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Task 5: Reflection (200–300 Words)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Critically evaluate the AI's contribution.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AI helped:</w:t>
      </w:r>
      <w:r w:rsidDel="00000000" w:rsidR="00000000" w:rsidRPr="00000000">
        <w:rPr>
          <w:color w:val="1f1f1f"/>
          <w:rtl w:val="0"/>
        </w:rPr>
        <w:t xml:space="preserve"> "GenAI acted as a force multiplier, rapidly generating the initial RACI and MoSCoW drafts, allowing me to focus on the high-level strategic alignment."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Limitations:</w:t>
      </w:r>
      <w:r w:rsidDel="00000000" w:rsidR="00000000" w:rsidRPr="00000000">
        <w:rPr>
          <w:color w:val="1f1f1f"/>
          <w:rtl w:val="0"/>
        </w:rPr>
        <w:t xml:space="preserve"> "The AI initially overlooked the specific security requirements for payment data (PCI-DSS). I had to manually prompt it to include encryption as a 'Must Have' requirement."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Validation:</w:t>
      </w:r>
      <w:r w:rsidDel="00000000" w:rsidR="00000000" w:rsidRPr="00000000">
        <w:rPr>
          <w:color w:val="1f1f1f"/>
          <w:rtl w:val="0"/>
        </w:rPr>
        <w:t xml:space="preserve"> "I validated the AI outputs by cross-referencing the suggested API integration steps with standard AWS/Azure architecture patterns."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