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0072B2"/>
          <w:sz w:val="44"/>
        </w:rPr>
        <w:t>Vrandesh Bandikatti</w:t>
      </w:r>
    </w:p>
    <w:p>
      <w:pPr>
        <w:spacing w:before="0"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>
      <w:pPr>
        <w:spacing w:before="200" w:after="20"/>
      </w:pPr>
      <w:r>
        <w:rPr>
          <w:b/>
          <w:color w:val="0072B2"/>
          <w:sz w:val="21"/>
        </w:rPr>
        <w:t>PROFILE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Senior Full Stack Engineer with 17+ years building production-grade platforms, specialising in end-to-end product delivery from UI to backend workflows. Designs and ships TypeScript and GraphQL APIs with strong data-modelling guarantees, builds React frontends that handle complex data-fetching and mutation patterns, and orchestrates complex async backend pipelines — all owned from technical specification through production monitoring. Accustomed to high-ownership, high-autonomy environments where the distance between idea and shipped product is short. Applies AI-assisted tooling including Claude Code to accelerate delivery and reduce integration risk across complex engineering workflows.</w:t>
      </w:r>
    </w:p>
    <w:p>
      <w:pPr>
        <w:spacing w:before="200" w:after="20"/>
      </w:pPr>
      <w:r>
        <w:rPr>
          <w:b/>
          <w:color w:val="0072B2"/>
          <w:sz w:val="21"/>
        </w:rPr>
        <w:t>CORE COMPETENCIES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40" w:after="40"/>
        <w:ind w:left="216"/>
      </w:pPr>
      <w:r>
        <w:rPr>
          <w:b/>
          <w:sz w:val="20"/>
        </w:rPr>
        <w:t xml:space="preserve">Full Stack Engineering: </w:t>
      </w:r>
      <w:r>
        <w:rPr>
          <w:sz w:val="20"/>
        </w:rPr>
        <w:t>TypeScript, React, Vue.js, Node.js, Python, FastAPI, Django; GraphQL and REST API design and implementation; microservices, distributed systems and event-driven architecture; PostgreSQL, MongoDB, SQL Server, Firestore; Docker, CI/CD and DevSecOps.</w:t>
      </w:r>
    </w:p>
    <w:p>
      <w:pPr>
        <w:spacing w:before="40" w:after="40"/>
        <w:ind w:left="216"/>
      </w:pPr>
      <w:r>
        <w:rPr>
          <w:b/>
          <w:sz w:val="20"/>
        </w:rPr>
        <w:t xml:space="preserve">API Design &amp; Async Pipeline Orchestration: </w:t>
      </w:r>
      <w:r>
        <w:rPr>
          <w:sz w:val="20"/>
        </w:rPr>
        <w:t>GraphQL APIs with strong data-modelling guarantees; complex async backend job orchestration using AWS Step Functions, Azure Durable Functions and Lambda (Temporal-equivalent patterns); build/deploy and event-processing pipelines at scale; internal and external API design with typed contracts.</w:t>
      </w:r>
    </w:p>
    <w:p>
      <w:pPr>
        <w:spacing w:before="40" w:after="40"/>
        <w:ind w:left="216"/>
      </w:pPr>
      <w:r>
        <w:rPr>
          <w:b/>
          <w:sz w:val="20"/>
        </w:rPr>
        <w:t xml:space="preserve">Platform Engineering &amp; Observability: </w:t>
      </w:r>
      <w:r>
        <w:rPr>
          <w:sz w:val="20"/>
        </w:rPr>
        <w:t>CI/CD pipeline design and governance, DevSecOps practices, Grafana observability dashboards, structured logging and AI workflow monitoring; production incident ownership from detection through resolution; bounded graceful degradation patterns.</w:t>
      </w:r>
    </w:p>
    <w:p>
      <w:pPr>
        <w:spacing w:before="40" w:after="40"/>
        <w:ind w:left="216"/>
      </w:pPr>
      <w:r>
        <w:rPr>
          <w:b/>
          <w:sz w:val="20"/>
        </w:rPr>
        <w:t xml:space="preserve">AI-Assisted Engineering: </w:t>
      </w:r>
      <w:r>
        <w:rPr>
          <w:sz w:val="20"/>
        </w:rPr>
        <w:t>Claude Code and Azure OpenAI integrated into development workflows; agent orchestration (LangGraph, LangChain, MCP integrations) and RAG pipelines in production full-stack platforms; AI tooling adoption championed across engineering teams.</w:t>
      </w:r>
    </w:p>
    <w:p>
      <w:pPr>
        <w:spacing w:before="40" w:after="40"/>
        <w:ind w:left="216"/>
      </w:pPr>
      <w:r>
        <w:rPr>
          <w:b/>
          <w:sz w:val="20"/>
        </w:rPr>
        <w:t xml:space="preserve">Engineering Leadership &amp; End-to-End Ownership: </w:t>
      </w:r>
      <w:r>
        <w:rPr>
          <w:sz w:val="20"/>
        </w:rPr>
        <w:t>Full project lifecycle from Engineering Requirement Document to production monitoring; cross-functional team leadership (4–19); high-agency delivery with executive stakeholder engagement; written technical design and async communication practices.</w:t>
      </w:r>
    </w:p>
    <w:p>
      <w:pPr>
        <w:spacing w:before="200" w:after="20"/>
      </w:pPr>
      <w:r>
        <w:rPr>
          <w:b/>
          <w:color w:val="0072B2"/>
          <w:sz w:val="21"/>
        </w:rPr>
        <w:t>PROFESSIONAL EXPERIENCE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140" w:after="20"/>
      </w:pPr>
      <w:r>
        <w:rPr>
          <w:b/>
          <w:sz w:val="21"/>
        </w:rPr>
        <w:t>Senior Full Stack Developer &amp; Cloud/AI Solution Architect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Findex Australia</w:t>
      </w:r>
      <w:r>
        <w:rPr>
          <w:i/>
          <w:color w:val="5A5A5A"/>
          <w:sz w:val="18"/>
        </w:rPr>
        <w:t xml:space="preserve">     Melbourne, VIC  |  Mar 2022 – Present</w:t>
      </w:r>
    </w:p>
    <w:p>
      <w:pPr>
        <w:spacing w:before="20" w:after="40"/>
        <w:ind w:left="0"/>
      </w:pPr>
      <w:r>
        <w:rPr>
          <w:sz w:val="20"/>
        </w:rPr>
        <w:t>Architect and hands-on engineer across Findex Data Science platforms, owning delivery from technical specification through full-stack implementation, cloud deployment, UAT and production monitoring using TypeScript, Python/Django, FastAPI, GraphQL, Vue/React, Azure and Microsoft Fabric.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PerformX Agent end-to-end: React/FastAPI product with GraphQL data layer answering plain-language questions against a governed Power BI model, with triple permission enforcement and a bounded self-repair loop that rewrites failed queries or exits gracefully rather than returning incorrect answers. Owned from Engineering Requirement Document through implementation, deployment and production monitoring; developed using Claude Code.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Architected KRM Remuneration Portal: full-stack STI, referral and audit platform using Python/Django, GraphQL and Vue/React with Entra ID SSO/RBAC, row-level security and governed Microsoft Fabric foundations. Onboarded 443 users and 129 people leaders.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Payroll AI: four-agent async pipeline from Modern Award PDF ingestion through rule extraction, calculation code generation and Power BI reporting with full audit trails — owned from planning and technical specification through implementation and production monitoring. Registered as an eligible R&amp;D activity under the DISR R&amp;D Tax Incentive.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cross-functional teams of 4–19 across Education Portal, PerformX and KRM/STI initiatives; partnered with executives to manage scope, delivery risks and stakeholder expectations.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Established CI/CD pipelines, Grafana observability dashboards and DevSecOps practices across all Data Science platforms; stepped in as interim DevOps lead during a critical production incident, stabilising systems and improving observability tooling under pressure.</w:t>
      </w:r>
    </w:p>
    <w:p>
      <w:pPr>
        <w:spacing w:before="140" w:after="20"/>
      </w:pPr>
      <w:r>
        <w:rPr>
          <w:b/>
          <w:sz w:val="21"/>
        </w:rPr>
        <w:t>Senior Software Engineer, Product Innovation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Quest Payment Systems</w:t>
      </w:r>
      <w:r>
        <w:rPr>
          <w:i/>
          <w:color w:val="5A5A5A"/>
          <w:sz w:val="18"/>
        </w:rPr>
        <w:t xml:space="preserve">     Melbourne, VIC  |  Oct 2017 – Mar 2022</w:t>
      </w:r>
    </w:p>
    <w:p>
      <w:pPr>
        <w:spacing w:before="20" w:after="40"/>
        <w:ind w:left="0"/>
      </w:pPr>
      <w:r>
        <w:rPr>
          <w:sz w:val="20"/>
        </w:rPr>
        <w:t>Regulated payments engineering. Designed, built and operated 12+ microservices on AWS and Google Cloud for a contactless donation platform and mobile POS. Owned full product lifecycle from ERD and architecture through implementation, release and incident response.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Designed high-availability event-processing architecture for Donation Point Go on AWS Lambda and Step Functions, handling unpredictable transaction volumes for a regulated contactless payment channel deployed across charities and venues nationally; full serverless estate extended across GCP (Firebase, Firestore, Cloud Functions).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TypeScript/Node.js and Django APIs with Xero, MYOB and Elasticsearch integrations; designed GraphQL and REST contracts consumed by internal and external clients; led backend delivery for Airpay mobile POS.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a team of three while remaining hands-on in backend engineering, architecture and production operations across the full 12+ microservice estate.</w:t>
      </w:r>
    </w:p>
    <w:p>
      <w:pPr>
        <w:spacing w:before="140" w:after="20"/>
      </w:pPr>
      <w:r>
        <w:rPr>
          <w:b/>
          <w:sz w:val="21"/>
        </w:rPr>
        <w:t>Technology Lead / Full Stack Developer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Apptarix Mobility</w:t>
      </w:r>
      <w:r>
        <w:rPr>
          <w:i/>
          <w:color w:val="5A5A5A"/>
          <w:sz w:val="18"/>
        </w:rPr>
        <w:t xml:space="preserve">     Bangalore, India  |  Jun 2013 – Jul 2017</w:t>
      </w:r>
    </w:p>
    <w:p>
      <w:pPr>
        <w:spacing w:before="20" w:after="40"/>
        <w:ind w:left="0"/>
      </w:pPr>
      <w:r>
        <w:rPr>
          <w:sz w:val="20"/>
        </w:rPr>
        <w:t>Filed provisional patent 201641021557 — a recommendation engine combining commercial and learnt rules. Built an early NLP engine in R and Python. Managed a team of five across OTT, analytics and EdTech product lines.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architecture and full-stack development of analytics dashboards, OTT platforms and EdTech products; designed scalable data ingestion, scraping and async processing pipelines.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early ML/NLP tooling (cosine similarity, market basket analysis, content extraction) predating modern LLM frameworks.</w:t>
      </w:r>
    </w:p>
    <w:p>
      <w:pPr>
        <w:spacing w:before="140" w:after="20"/>
      </w:pPr>
      <w:r>
        <w:rPr>
          <w:b/>
          <w:sz w:val="21"/>
        </w:rPr>
        <w:t>Technology Consultant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BuyPal</w:t>
      </w:r>
      <w:r>
        <w:rPr>
          <w:i/>
          <w:color w:val="5A5A5A"/>
          <w:sz w:val="18"/>
        </w:rPr>
        <w:t xml:space="preserve">     Melbourne, VIC  |  Jan 2020 – Aug 2021</w:t>
      </w:r>
    </w:p>
    <w:p>
      <w:pPr>
        <w:spacing w:before="20" w:after="40"/>
        <w:ind w:left="0"/>
      </w:pPr>
      <w:r>
        <w:rPr>
          <w:sz w:val="20"/>
        </w:rPr>
        <w:t>Concurrent engagement alongside Quest. Led knowledge transfer and legacy platform migration to modern web standards.</w:t>
      </w:r>
    </w:p>
    <w:p>
      <w:pPr>
        <w:spacing w:before="140" w:after="20"/>
      </w:pPr>
      <w:r>
        <w:rPr>
          <w:b/>
          <w:sz w:val="21"/>
        </w:rPr>
        <w:t>Earlier Experience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Esri Australia (Aug–Sep 2017) — Full Stack Developer, AngularJS and Node.js, AWS, ArcGIS.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Ionos Networks (Nov 2014–Mar 2015) — Resident Technology Lead via Apptarix; Node.js, PHP, Python, AWS S3.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Studio 360eye (Sep 2012–May 2013) — Founder; distributed team of six, client management and delivery.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UNI Group (Feb 2011–Sep 2012) — Senior Software Engineer and project lead.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Hewlett-Packard / Mphasis (Jan 2009–Mar 2010) — Infrastructure Engineer, 70+ Linux/HP-UX servers, Perl automation.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Robert Bosch (Mar–Jun 2007) — Project Trainee, Electronics Circuits Boards Division.</w:t>
      </w:r>
    </w:p>
    <w:p>
      <w:pPr>
        <w:spacing w:before="200" w:after="20"/>
      </w:pPr>
      <w:r>
        <w:rPr>
          <w:b/>
          <w:color w:val="0072B2"/>
          <w:sz w:val="21"/>
        </w:rPr>
        <w:t>EDUCATION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100" w:after="20"/>
      </w:pPr>
      <w:r>
        <w:rPr>
          <w:b/>
          <w:sz w:val="21"/>
        </w:rPr>
        <w:t>Certificate in Business Analytics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Harvard Business School Online</w:t>
      </w:r>
      <w:r>
        <w:rPr>
          <w:i/>
          <w:color w:val="5A5A5A"/>
          <w:sz w:val="18"/>
        </w:rPr>
        <w:t xml:space="preserve">     Online  |  Jun 2023 – Aug 2023</w:t>
      </w:r>
    </w:p>
    <w:p>
      <w:pPr>
        <w:spacing w:before="20" w:after="60"/>
      </w:pPr>
      <w:r>
        <w:rPr>
          <w:sz w:val="20"/>
        </w:rPr>
        <w:t>Business analytics, strategy and commercial decision-making.</w:t>
      </w:r>
    </w:p>
    <w:p>
      <w:pPr>
        <w:spacing w:before="100" w:after="20"/>
      </w:pPr>
      <w:r>
        <w:rPr>
          <w:b/>
          <w:sz w:val="21"/>
        </w:rPr>
        <w:t>BE, Electronics &amp; Communication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Visvesvaraya Technological University</w:t>
      </w:r>
      <w:r>
        <w:rPr>
          <w:i/>
          <w:color w:val="5A5A5A"/>
          <w:sz w:val="18"/>
        </w:rPr>
        <w:t xml:space="preserve">     Karnataka, India  |  2004 – 2008</w:t>
      </w:r>
    </w:p>
    <w:p>
      <w:pPr>
        <w:spacing w:before="20" w:after="60"/>
      </w:pPr>
      <w:r>
        <w:rPr>
          <w:sz w:val="20"/>
        </w:rPr>
        <w:t>First Class Honours. Electronics, embedded systems and signal processing.</w:t>
      </w:r>
    </w:p>
    <w:p>
      <w:pPr>
        <w:spacing w:before="200" w:after="20"/>
      </w:pPr>
      <w:r>
        <w:rPr>
          <w:b/>
          <w:color w:val="0072B2"/>
          <w:sz w:val="21"/>
        </w:rPr>
        <w:t>LANGUAGES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English (Expert), Hindi (Fluent), Kannada (Native), Konkani (Native).</w:t>
      </w:r>
    </w:p>
    <w:p>
      <w:pPr>
        <w:spacing w:before="200" w:after="20"/>
      </w:pPr>
      <w:r>
        <w:rPr>
          <w:b/>
          <w:color w:val="0072B2"/>
          <w:sz w:val="21"/>
        </w:rPr>
        <w:t>PATENTS &amp; IP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Patent application 201641021557 — "A system and method to measure the effectiveness and performance of commercial rules and learnt rules that recommend content to user(s)." Filed 2016, Apptarix Mobility.</w:t>
      </w:r>
    </w:p>
    <w:p>
      <w:pPr>
        <w:spacing w:before="200" w:after="20"/>
      </w:pPr>
      <w:r>
        <w:rPr>
          <w:b/>
          <w:color w:val="0072B2"/>
          <w:sz w:val="21"/>
        </w:rPr>
        <w:t>REFERENCES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Available upon request.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