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24.2 MP DX-format CMOS sensor with no optical low-pass filter (OLPF)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39-point Autofocus (AF) system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 frames per second continuous shooting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ISO 100 - 25,600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High resolution, vari-angle LCD with familiar, smartphone-like touchscreen for easy use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1080/60p HD video capabilities allow for capture of fast-moving subjects or creating slow motion effects</w:t>
      </w:r>
    </w:p>
    <w:p w:rsidR="003345CB" w:rsidRPr="003345CB" w:rsidRDefault="003345CB" w:rsidP="003345CB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345CB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Built-in Wi-Fi and smartphone compatibility for instant sharing</w:t>
      </w:r>
    </w:p>
    <w:p w:rsidR="003345CB" w:rsidRDefault="003345CB"/>
    <w:p w:rsidR="00BF0B38" w:rsidRDefault="003345CB">
      <w:bookmarkStart w:id="0" w:name="_GoBack"/>
      <w:bookmarkEnd w:id="0"/>
      <w:r>
        <w:t>47399RS</w:t>
      </w:r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157C1"/>
    <w:multiLevelType w:val="multilevel"/>
    <w:tmpl w:val="823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5CB"/>
    <w:rsid w:val="003345CB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345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34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6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2016-03-30T00:27:00Z</dcterms:created>
  <dcterms:modified xsi:type="dcterms:W3CDTF">2016-03-30T00:27:00Z</dcterms:modified>
</cp:coreProperties>
</file>