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4CE" w:rsidRPr="002F44CE" w:rsidRDefault="002F44CE" w:rsidP="002F44CE">
      <w:pPr>
        <w:shd w:val="clear" w:color="auto" w:fill="FFFFFF"/>
        <w:spacing w:after="0" w:line="240" w:lineRule="atLeast"/>
        <w:rPr>
          <w:rFonts w:ascii="Arial" w:eastAsia="Times New Roman" w:hAnsi="Arial" w:cs="Arial"/>
          <w:color w:val="333333"/>
          <w:sz w:val="18"/>
          <w:szCs w:val="18"/>
        </w:rPr>
      </w:pPr>
      <w:hyperlink r:id="rId5" w:history="1">
        <w:r w:rsidRPr="002F44CE">
          <w:rPr>
            <w:rFonts w:ascii="Arial" w:eastAsia="Times New Roman" w:hAnsi="Arial" w:cs="Arial"/>
            <w:b/>
            <w:bCs/>
            <w:color w:val="2D7000"/>
            <w:sz w:val="18"/>
            <w:szCs w:val="18"/>
          </w:rPr>
          <w:t>Soaking Bathtubs</w:t>
        </w:r>
      </w:hyperlink>
    </w:p>
    <w:p w:rsidR="002F44CE" w:rsidRPr="002F44CE" w:rsidRDefault="002F44CE" w:rsidP="002F44CE">
      <w:pPr>
        <w:shd w:val="clear" w:color="auto" w:fill="FFFFFF"/>
        <w:spacing w:after="0" w:line="240" w:lineRule="atLeast"/>
        <w:rPr>
          <w:rFonts w:ascii="Arial" w:eastAsia="Times New Roman" w:hAnsi="Arial" w:cs="Arial"/>
          <w:color w:val="333333"/>
          <w:sz w:val="18"/>
          <w:szCs w:val="18"/>
        </w:rPr>
      </w:pPr>
      <w:r w:rsidRPr="002F44CE">
        <w:rPr>
          <w:rFonts w:ascii="Arial" w:eastAsia="Times New Roman" w:hAnsi="Arial" w:cs="Arial"/>
          <w:noProof/>
          <w:color w:val="2D7000"/>
          <w:sz w:val="18"/>
          <w:szCs w:val="18"/>
        </w:rPr>
        <w:drawing>
          <wp:inline distT="0" distB="0" distL="0" distR="0" wp14:anchorId="6B84488F" wp14:editId="0F7446CA">
            <wp:extent cx="1190625" cy="723900"/>
            <wp:effectExtent l="0" t="0" r="9525" b="0"/>
            <wp:docPr id="1" name="Picture 1" descr="Soaking Bathtub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aking Bathtub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0625" cy="723900"/>
                    </a:xfrm>
                    <a:prstGeom prst="rect">
                      <a:avLst/>
                    </a:prstGeom>
                    <a:noFill/>
                    <a:ln>
                      <a:noFill/>
                    </a:ln>
                  </pic:spPr>
                </pic:pic>
              </a:graphicData>
            </a:graphic>
          </wp:inline>
        </w:drawing>
      </w:r>
      <w:r w:rsidRPr="002F44CE">
        <w:rPr>
          <w:rFonts w:ascii="Georgia" w:eastAsia="Times New Roman" w:hAnsi="Georgia" w:cs="Arial"/>
          <w:color w:val="333333"/>
          <w:sz w:val="18"/>
          <w:szCs w:val="18"/>
        </w:rPr>
        <w:t>$500 and up</w:t>
      </w:r>
    </w:p>
    <w:p w:rsidR="002F44CE" w:rsidRPr="002F44CE" w:rsidRDefault="002F44CE" w:rsidP="002F44CE">
      <w:pPr>
        <w:shd w:val="clear" w:color="auto" w:fill="FFFFFF"/>
        <w:spacing w:after="0" w:line="240" w:lineRule="atLeast"/>
        <w:rPr>
          <w:rFonts w:ascii="Arial" w:eastAsia="Times New Roman" w:hAnsi="Arial" w:cs="Arial"/>
          <w:color w:val="333333"/>
          <w:sz w:val="18"/>
          <w:szCs w:val="18"/>
        </w:rPr>
      </w:pPr>
      <w:r w:rsidRPr="002F44CE">
        <w:rPr>
          <w:rFonts w:ascii="Georgia" w:eastAsia="Times New Roman" w:hAnsi="Georgia" w:cs="Arial"/>
          <w:b/>
          <w:bCs/>
          <w:color w:val="222222"/>
          <w:sz w:val="20"/>
          <w:szCs w:val="20"/>
        </w:rPr>
        <w:t>Advantages</w:t>
      </w:r>
    </w:p>
    <w:p w:rsidR="002F44CE" w:rsidRPr="002F44CE" w:rsidRDefault="002F44CE" w:rsidP="002F44CE">
      <w:pPr>
        <w:numPr>
          <w:ilvl w:val="0"/>
          <w:numId w:val="1"/>
        </w:numPr>
        <w:shd w:val="clear" w:color="auto" w:fill="FFFFFF"/>
        <w:spacing w:after="0" w:line="240" w:lineRule="atLeast"/>
        <w:ind w:left="0"/>
        <w:rPr>
          <w:rFonts w:ascii="Arial" w:eastAsia="Times New Roman" w:hAnsi="Arial" w:cs="Arial"/>
          <w:color w:val="333333"/>
          <w:sz w:val="18"/>
          <w:szCs w:val="18"/>
        </w:rPr>
      </w:pPr>
      <w:r w:rsidRPr="002F44CE">
        <w:rPr>
          <w:rFonts w:ascii="Arial" w:eastAsia="Times New Roman" w:hAnsi="Arial" w:cs="Arial"/>
          <w:color w:val="333333"/>
          <w:sz w:val="18"/>
          <w:szCs w:val="18"/>
        </w:rPr>
        <w:t>Deeper for fuller immersion</w:t>
      </w:r>
    </w:p>
    <w:p w:rsidR="002F44CE" w:rsidRPr="002F44CE" w:rsidRDefault="002F44CE" w:rsidP="002F44CE">
      <w:pPr>
        <w:numPr>
          <w:ilvl w:val="0"/>
          <w:numId w:val="1"/>
        </w:numPr>
        <w:shd w:val="clear" w:color="auto" w:fill="FFFFFF"/>
        <w:spacing w:after="0" w:line="240" w:lineRule="atLeast"/>
        <w:ind w:left="0"/>
        <w:rPr>
          <w:rFonts w:ascii="Arial" w:eastAsia="Times New Roman" w:hAnsi="Arial" w:cs="Arial"/>
          <w:color w:val="333333"/>
          <w:sz w:val="18"/>
          <w:szCs w:val="18"/>
        </w:rPr>
      </w:pPr>
      <w:r w:rsidRPr="002F44CE">
        <w:rPr>
          <w:rFonts w:ascii="Arial" w:eastAsia="Times New Roman" w:hAnsi="Arial" w:cs="Arial"/>
          <w:color w:val="333333"/>
          <w:sz w:val="18"/>
          <w:szCs w:val="18"/>
        </w:rPr>
        <w:t>Can be freestanding or drop in</w:t>
      </w:r>
    </w:p>
    <w:p w:rsidR="002F44CE" w:rsidRPr="002F44CE" w:rsidRDefault="002F44CE" w:rsidP="002F44CE">
      <w:pPr>
        <w:numPr>
          <w:ilvl w:val="0"/>
          <w:numId w:val="1"/>
        </w:numPr>
        <w:shd w:val="clear" w:color="auto" w:fill="FFFFFF"/>
        <w:spacing w:after="0" w:line="240" w:lineRule="atLeast"/>
        <w:ind w:left="0"/>
        <w:rPr>
          <w:rFonts w:ascii="Arial" w:eastAsia="Times New Roman" w:hAnsi="Arial" w:cs="Arial"/>
          <w:color w:val="333333"/>
          <w:sz w:val="18"/>
          <w:szCs w:val="18"/>
        </w:rPr>
      </w:pPr>
      <w:r w:rsidRPr="002F44CE">
        <w:rPr>
          <w:rFonts w:ascii="Arial" w:eastAsia="Times New Roman" w:hAnsi="Arial" w:cs="Arial"/>
          <w:color w:val="333333"/>
          <w:sz w:val="18"/>
          <w:szCs w:val="18"/>
        </w:rPr>
        <w:t>Available with whirlpool jets</w:t>
      </w:r>
    </w:p>
    <w:p w:rsidR="002F44CE" w:rsidRPr="002F44CE" w:rsidRDefault="002F44CE" w:rsidP="002F44CE">
      <w:pPr>
        <w:numPr>
          <w:ilvl w:val="0"/>
          <w:numId w:val="1"/>
        </w:numPr>
        <w:shd w:val="clear" w:color="auto" w:fill="FFFFFF"/>
        <w:spacing w:after="0" w:line="240" w:lineRule="atLeast"/>
        <w:ind w:left="0"/>
        <w:rPr>
          <w:rFonts w:ascii="Arial" w:eastAsia="Times New Roman" w:hAnsi="Arial" w:cs="Arial"/>
          <w:color w:val="333333"/>
          <w:sz w:val="18"/>
          <w:szCs w:val="18"/>
        </w:rPr>
      </w:pPr>
      <w:r w:rsidRPr="002F44CE">
        <w:rPr>
          <w:rFonts w:ascii="Arial" w:eastAsia="Times New Roman" w:hAnsi="Arial" w:cs="Arial"/>
          <w:color w:val="333333"/>
          <w:sz w:val="18"/>
          <w:szCs w:val="18"/>
        </w:rPr>
        <w:t>Comes in a variety of sizes, styles, materials</w:t>
      </w:r>
    </w:p>
    <w:p w:rsidR="002F44CE" w:rsidRPr="002F44CE" w:rsidRDefault="002F44CE" w:rsidP="002F44CE">
      <w:pPr>
        <w:shd w:val="clear" w:color="auto" w:fill="FFFFFF"/>
        <w:spacing w:after="0" w:line="240" w:lineRule="atLeast"/>
        <w:rPr>
          <w:rFonts w:ascii="Arial" w:eastAsia="Times New Roman" w:hAnsi="Arial" w:cs="Arial"/>
          <w:color w:val="333333"/>
          <w:sz w:val="18"/>
          <w:szCs w:val="18"/>
        </w:rPr>
      </w:pPr>
      <w:r w:rsidRPr="002F44CE">
        <w:rPr>
          <w:rFonts w:ascii="Georgia" w:eastAsia="Times New Roman" w:hAnsi="Georgia" w:cs="Arial"/>
          <w:b/>
          <w:bCs/>
          <w:color w:val="222222"/>
          <w:sz w:val="20"/>
          <w:szCs w:val="20"/>
        </w:rPr>
        <w:t>Disadvantages</w:t>
      </w:r>
    </w:p>
    <w:p w:rsidR="002F44CE" w:rsidRPr="002F44CE" w:rsidRDefault="002F44CE" w:rsidP="002F44CE">
      <w:pPr>
        <w:numPr>
          <w:ilvl w:val="0"/>
          <w:numId w:val="2"/>
        </w:numPr>
        <w:shd w:val="clear" w:color="auto" w:fill="FFFFFF"/>
        <w:spacing w:after="0" w:line="240" w:lineRule="atLeast"/>
        <w:ind w:left="0"/>
        <w:rPr>
          <w:rFonts w:ascii="Arial" w:eastAsia="Times New Roman" w:hAnsi="Arial" w:cs="Arial"/>
          <w:color w:val="333333"/>
          <w:sz w:val="18"/>
          <w:szCs w:val="18"/>
        </w:rPr>
      </w:pPr>
      <w:r w:rsidRPr="002F44CE">
        <w:rPr>
          <w:rFonts w:ascii="Arial" w:eastAsia="Times New Roman" w:hAnsi="Arial" w:cs="Arial"/>
          <w:color w:val="333333"/>
          <w:sz w:val="18"/>
          <w:szCs w:val="18"/>
        </w:rPr>
        <w:t>Need a lot of hot water</w:t>
      </w:r>
    </w:p>
    <w:p w:rsidR="002F44CE" w:rsidRPr="002F44CE" w:rsidRDefault="002F44CE" w:rsidP="002F44CE">
      <w:pPr>
        <w:numPr>
          <w:ilvl w:val="0"/>
          <w:numId w:val="2"/>
        </w:numPr>
        <w:shd w:val="clear" w:color="auto" w:fill="FFFFFF"/>
        <w:spacing w:after="0" w:line="240" w:lineRule="atLeast"/>
        <w:ind w:left="0"/>
        <w:rPr>
          <w:rFonts w:ascii="Arial" w:eastAsia="Times New Roman" w:hAnsi="Arial" w:cs="Arial"/>
          <w:color w:val="333333"/>
          <w:sz w:val="18"/>
          <w:szCs w:val="18"/>
        </w:rPr>
      </w:pPr>
      <w:r w:rsidRPr="002F44CE">
        <w:rPr>
          <w:rFonts w:ascii="Arial" w:eastAsia="Times New Roman" w:hAnsi="Arial" w:cs="Arial"/>
          <w:color w:val="333333"/>
          <w:sz w:val="18"/>
          <w:szCs w:val="18"/>
        </w:rPr>
        <w:t>Heavier than standard tubs</w:t>
      </w:r>
    </w:p>
    <w:p w:rsidR="002F44CE" w:rsidRPr="002F44CE" w:rsidRDefault="002F44CE" w:rsidP="002F44CE">
      <w:pPr>
        <w:shd w:val="clear" w:color="auto" w:fill="FFFFFF"/>
        <w:spacing w:after="0" w:line="240" w:lineRule="atLeast"/>
        <w:rPr>
          <w:rFonts w:ascii="Arial" w:eastAsia="Times New Roman" w:hAnsi="Arial" w:cs="Arial"/>
          <w:color w:val="333333"/>
          <w:sz w:val="18"/>
          <w:szCs w:val="18"/>
        </w:rPr>
      </w:pPr>
      <w:r w:rsidRPr="002F44CE">
        <w:rPr>
          <w:rFonts w:ascii="Arial" w:eastAsia="Times New Roman" w:hAnsi="Arial" w:cs="Arial"/>
          <w:color w:val="333333"/>
          <w:sz w:val="18"/>
          <w:szCs w:val="18"/>
        </w:rPr>
        <w:t>Soaking tubs are a good choice for those who enjoy immersing themselves in warm water. They are deeper than conventional tubs, but may be wider or narrower, depending upon their purpose. Some soaking tubs are made to accommodate two adults, others are designed for sitting upright and soaking. Soaking tubs can be very heavy and might require a reinforced floor. They also require a lot of hot water, so a separate hot water heater or some other dedicated system to provide sufficient hot water may be necessary.</w:t>
      </w:r>
    </w:p>
    <w:p w:rsidR="00EA212A" w:rsidRDefault="00CE5030"/>
    <w:p w:rsidR="002F44CE" w:rsidRDefault="002F44CE"/>
    <w:p w:rsidR="00CE5030" w:rsidRPr="00CE5030" w:rsidRDefault="00CE5030" w:rsidP="00CE5030">
      <w:pPr>
        <w:spacing w:after="0" w:line="240" w:lineRule="atLeast"/>
        <w:rPr>
          <w:rFonts w:ascii="Arial" w:eastAsia="Times New Roman" w:hAnsi="Arial" w:cs="Arial"/>
          <w:color w:val="333333"/>
          <w:sz w:val="18"/>
          <w:szCs w:val="18"/>
        </w:rPr>
      </w:pPr>
      <w:hyperlink r:id="rId7" w:history="1">
        <w:r w:rsidRPr="00CE5030">
          <w:rPr>
            <w:rFonts w:ascii="Arial" w:eastAsia="Times New Roman" w:hAnsi="Arial" w:cs="Arial"/>
            <w:b/>
            <w:bCs/>
            <w:color w:val="2D7000"/>
            <w:sz w:val="18"/>
            <w:szCs w:val="18"/>
          </w:rPr>
          <w:t>Whirlpool Bathtubs</w:t>
        </w:r>
      </w:hyperlink>
    </w:p>
    <w:p w:rsidR="00CE5030" w:rsidRPr="00CE5030" w:rsidRDefault="00CE5030" w:rsidP="00CE5030">
      <w:pPr>
        <w:spacing w:after="0" w:line="240" w:lineRule="atLeast"/>
        <w:rPr>
          <w:rFonts w:ascii="Arial" w:eastAsia="Times New Roman" w:hAnsi="Arial" w:cs="Arial"/>
          <w:color w:val="333333"/>
          <w:sz w:val="18"/>
          <w:szCs w:val="18"/>
        </w:rPr>
      </w:pPr>
      <w:r w:rsidRPr="00CE5030">
        <w:rPr>
          <w:rFonts w:ascii="Arial" w:eastAsia="Times New Roman" w:hAnsi="Arial" w:cs="Arial"/>
          <w:noProof/>
          <w:color w:val="2D7000"/>
          <w:sz w:val="18"/>
          <w:szCs w:val="18"/>
        </w:rPr>
        <w:drawing>
          <wp:inline distT="0" distB="0" distL="0" distR="0" wp14:anchorId="3A6E9E63" wp14:editId="39854E51">
            <wp:extent cx="1190625" cy="895350"/>
            <wp:effectExtent l="0" t="0" r="9525" b="0"/>
            <wp:docPr id="2" name="Picture 2" descr="Whirlpool Bathtub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irlpool Bathtub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895350"/>
                    </a:xfrm>
                    <a:prstGeom prst="rect">
                      <a:avLst/>
                    </a:prstGeom>
                    <a:noFill/>
                    <a:ln>
                      <a:noFill/>
                    </a:ln>
                  </pic:spPr>
                </pic:pic>
              </a:graphicData>
            </a:graphic>
          </wp:inline>
        </w:drawing>
      </w:r>
      <w:r w:rsidRPr="00CE5030">
        <w:rPr>
          <w:rFonts w:ascii="Georgia" w:eastAsia="Times New Roman" w:hAnsi="Georgia" w:cs="Arial"/>
          <w:color w:val="333333"/>
          <w:sz w:val="18"/>
          <w:szCs w:val="18"/>
        </w:rPr>
        <w:t>$500 and up</w:t>
      </w:r>
    </w:p>
    <w:p w:rsidR="00CE5030" w:rsidRPr="00CE5030" w:rsidRDefault="00CE5030" w:rsidP="00CE5030">
      <w:pPr>
        <w:spacing w:after="0" w:line="240" w:lineRule="atLeast"/>
        <w:rPr>
          <w:rFonts w:ascii="Arial" w:eastAsia="Times New Roman" w:hAnsi="Arial" w:cs="Arial"/>
          <w:color w:val="333333"/>
          <w:sz w:val="18"/>
          <w:szCs w:val="18"/>
        </w:rPr>
      </w:pPr>
      <w:r w:rsidRPr="00CE5030">
        <w:rPr>
          <w:rFonts w:ascii="Georgia" w:eastAsia="Times New Roman" w:hAnsi="Georgia" w:cs="Arial"/>
          <w:b/>
          <w:bCs/>
          <w:color w:val="222222"/>
          <w:sz w:val="20"/>
          <w:szCs w:val="20"/>
        </w:rPr>
        <w:t>Advantages</w:t>
      </w:r>
    </w:p>
    <w:p w:rsidR="00CE5030" w:rsidRPr="00CE5030" w:rsidRDefault="00CE5030" w:rsidP="00CE5030">
      <w:pPr>
        <w:numPr>
          <w:ilvl w:val="0"/>
          <w:numId w:val="3"/>
        </w:numPr>
        <w:spacing w:after="0" w:line="240" w:lineRule="atLeast"/>
        <w:ind w:left="0"/>
        <w:rPr>
          <w:rFonts w:ascii="Arial" w:eastAsia="Times New Roman" w:hAnsi="Arial" w:cs="Arial"/>
          <w:color w:val="333333"/>
          <w:sz w:val="18"/>
          <w:szCs w:val="18"/>
        </w:rPr>
      </w:pPr>
      <w:r w:rsidRPr="00CE5030">
        <w:rPr>
          <w:rFonts w:ascii="Arial" w:eastAsia="Times New Roman" w:hAnsi="Arial" w:cs="Arial"/>
          <w:color w:val="333333"/>
          <w:sz w:val="18"/>
          <w:szCs w:val="18"/>
        </w:rPr>
        <w:t>Can relieve stress; soothe aches</w:t>
      </w:r>
    </w:p>
    <w:p w:rsidR="00CE5030" w:rsidRPr="00CE5030" w:rsidRDefault="00CE5030" w:rsidP="00CE5030">
      <w:pPr>
        <w:numPr>
          <w:ilvl w:val="0"/>
          <w:numId w:val="3"/>
        </w:numPr>
        <w:spacing w:after="0" w:line="240" w:lineRule="atLeast"/>
        <w:ind w:left="0"/>
        <w:rPr>
          <w:rFonts w:ascii="Arial" w:eastAsia="Times New Roman" w:hAnsi="Arial" w:cs="Arial"/>
          <w:color w:val="333333"/>
          <w:sz w:val="18"/>
          <w:szCs w:val="18"/>
        </w:rPr>
      </w:pPr>
      <w:r w:rsidRPr="00CE5030">
        <w:rPr>
          <w:rFonts w:ascii="Arial" w:eastAsia="Times New Roman" w:hAnsi="Arial" w:cs="Arial"/>
          <w:color w:val="333333"/>
          <w:sz w:val="18"/>
          <w:szCs w:val="18"/>
        </w:rPr>
        <w:t>Available as alcove, freestanding or drop in models</w:t>
      </w:r>
    </w:p>
    <w:p w:rsidR="00CE5030" w:rsidRPr="00CE5030" w:rsidRDefault="00CE5030" w:rsidP="00CE5030">
      <w:pPr>
        <w:numPr>
          <w:ilvl w:val="0"/>
          <w:numId w:val="3"/>
        </w:numPr>
        <w:spacing w:after="0" w:line="240" w:lineRule="atLeast"/>
        <w:ind w:left="0"/>
        <w:rPr>
          <w:rFonts w:ascii="Arial" w:eastAsia="Times New Roman" w:hAnsi="Arial" w:cs="Arial"/>
          <w:color w:val="333333"/>
          <w:sz w:val="18"/>
          <w:szCs w:val="18"/>
        </w:rPr>
      </w:pPr>
      <w:r w:rsidRPr="00CE5030">
        <w:rPr>
          <w:rFonts w:ascii="Arial" w:eastAsia="Times New Roman" w:hAnsi="Arial" w:cs="Arial"/>
          <w:color w:val="333333"/>
          <w:sz w:val="18"/>
          <w:szCs w:val="18"/>
        </w:rPr>
        <w:t>Many sizes, styles, materials available</w:t>
      </w:r>
    </w:p>
    <w:p w:rsidR="00CE5030" w:rsidRPr="00CE5030" w:rsidRDefault="00CE5030" w:rsidP="00CE5030">
      <w:pPr>
        <w:spacing w:after="0" w:line="240" w:lineRule="atLeast"/>
        <w:rPr>
          <w:rFonts w:ascii="Arial" w:eastAsia="Times New Roman" w:hAnsi="Arial" w:cs="Arial"/>
          <w:color w:val="333333"/>
          <w:sz w:val="18"/>
          <w:szCs w:val="18"/>
        </w:rPr>
      </w:pPr>
      <w:r w:rsidRPr="00CE5030">
        <w:rPr>
          <w:rFonts w:ascii="Georgia" w:eastAsia="Times New Roman" w:hAnsi="Georgia" w:cs="Arial"/>
          <w:b/>
          <w:bCs/>
          <w:color w:val="222222"/>
          <w:sz w:val="20"/>
          <w:szCs w:val="20"/>
        </w:rPr>
        <w:t>Disadvantages</w:t>
      </w:r>
    </w:p>
    <w:p w:rsidR="00CE5030" w:rsidRPr="00CE5030" w:rsidRDefault="00CE5030" w:rsidP="00CE5030">
      <w:pPr>
        <w:numPr>
          <w:ilvl w:val="0"/>
          <w:numId w:val="4"/>
        </w:numPr>
        <w:spacing w:after="0" w:line="240" w:lineRule="atLeast"/>
        <w:ind w:left="0"/>
        <w:rPr>
          <w:rFonts w:ascii="Arial" w:eastAsia="Times New Roman" w:hAnsi="Arial" w:cs="Arial"/>
          <w:color w:val="333333"/>
          <w:sz w:val="18"/>
          <w:szCs w:val="18"/>
        </w:rPr>
      </w:pPr>
      <w:r w:rsidRPr="00CE5030">
        <w:rPr>
          <w:rFonts w:ascii="Arial" w:eastAsia="Times New Roman" w:hAnsi="Arial" w:cs="Arial"/>
          <w:color w:val="333333"/>
          <w:sz w:val="18"/>
          <w:szCs w:val="18"/>
        </w:rPr>
        <w:t>More expensive to operate</w:t>
      </w:r>
    </w:p>
    <w:p w:rsidR="00CE5030" w:rsidRPr="00CE5030" w:rsidRDefault="00CE5030" w:rsidP="00CE5030">
      <w:pPr>
        <w:numPr>
          <w:ilvl w:val="0"/>
          <w:numId w:val="4"/>
        </w:numPr>
        <w:spacing w:after="0" w:line="240" w:lineRule="atLeast"/>
        <w:ind w:left="0"/>
        <w:rPr>
          <w:rFonts w:ascii="Arial" w:eastAsia="Times New Roman" w:hAnsi="Arial" w:cs="Arial"/>
          <w:color w:val="333333"/>
          <w:sz w:val="18"/>
          <w:szCs w:val="18"/>
        </w:rPr>
      </w:pPr>
      <w:r w:rsidRPr="00CE5030">
        <w:rPr>
          <w:rFonts w:ascii="Arial" w:eastAsia="Times New Roman" w:hAnsi="Arial" w:cs="Arial"/>
          <w:color w:val="333333"/>
          <w:sz w:val="18"/>
          <w:szCs w:val="18"/>
        </w:rPr>
        <w:t>Water jets attract mold, bacteria</w:t>
      </w:r>
    </w:p>
    <w:p w:rsidR="00CE5030" w:rsidRPr="00CE5030" w:rsidRDefault="00CE5030" w:rsidP="00CE5030">
      <w:pPr>
        <w:numPr>
          <w:ilvl w:val="0"/>
          <w:numId w:val="4"/>
        </w:numPr>
        <w:spacing w:after="0" w:line="240" w:lineRule="atLeast"/>
        <w:ind w:left="0"/>
        <w:rPr>
          <w:rFonts w:ascii="Arial" w:eastAsia="Times New Roman" w:hAnsi="Arial" w:cs="Arial"/>
          <w:color w:val="333333"/>
          <w:sz w:val="18"/>
          <w:szCs w:val="18"/>
        </w:rPr>
      </w:pPr>
      <w:r w:rsidRPr="00CE5030">
        <w:rPr>
          <w:rFonts w:ascii="Arial" w:eastAsia="Times New Roman" w:hAnsi="Arial" w:cs="Arial"/>
          <w:color w:val="333333"/>
          <w:sz w:val="18"/>
          <w:szCs w:val="18"/>
        </w:rPr>
        <w:t>Installation can be more complex</w:t>
      </w:r>
    </w:p>
    <w:p w:rsidR="00CE5030" w:rsidRPr="00CE5030" w:rsidRDefault="00CE5030" w:rsidP="00CE5030">
      <w:pPr>
        <w:spacing w:after="0" w:line="240" w:lineRule="atLeast"/>
        <w:rPr>
          <w:rFonts w:ascii="Arial" w:eastAsia="Times New Roman" w:hAnsi="Arial" w:cs="Arial"/>
          <w:color w:val="333333"/>
          <w:sz w:val="18"/>
          <w:szCs w:val="18"/>
        </w:rPr>
      </w:pPr>
      <w:r w:rsidRPr="00CE5030">
        <w:rPr>
          <w:rFonts w:ascii="Arial" w:eastAsia="Times New Roman" w:hAnsi="Arial" w:cs="Arial"/>
          <w:color w:val="333333"/>
          <w:sz w:val="18"/>
          <w:szCs w:val="18"/>
        </w:rPr>
        <w:t>Also commonly known as Jacuzzi bathtubs, after the most well-known manufacturer of this type of tub, whirlpool tubs use jets driven by a pump to agitate the water, or an air system to create bubbles; some use a combination of the two. Many people find them extremely relaxing. If you have frequent muscle or joint pain, or just enjoy the luxury of a spa, you may want to consider a whirlpool tub. Whirlpool tubs are available in a wide range of sizes and types, from very small to soaker-size; freestanding to walk-in.</w:t>
      </w:r>
    </w:p>
    <w:p w:rsidR="002F44CE" w:rsidRDefault="002F44CE">
      <w:bookmarkStart w:id="0" w:name="_GoBack"/>
      <w:bookmarkEnd w:id="0"/>
    </w:p>
    <w:p w:rsidR="002F44CE" w:rsidRDefault="002F44CE"/>
    <w:sectPr w:rsidR="002F4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5311"/>
    <w:multiLevelType w:val="multilevel"/>
    <w:tmpl w:val="074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D83582"/>
    <w:multiLevelType w:val="multilevel"/>
    <w:tmpl w:val="05F4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233CC9"/>
    <w:multiLevelType w:val="multilevel"/>
    <w:tmpl w:val="5CEA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B7759B"/>
    <w:multiLevelType w:val="multilevel"/>
    <w:tmpl w:val="F7E8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CE"/>
    <w:rsid w:val="002F44CE"/>
    <w:rsid w:val="008D048C"/>
    <w:rsid w:val="009B5CC0"/>
    <w:rsid w:val="00CE5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B67D"/>
  <w15:chartTrackingRefBased/>
  <w15:docId w15:val="{FF4F9D49-28F3-4A35-8526-9FBBC049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077309">
      <w:bodyDiv w:val="1"/>
      <w:marLeft w:val="0"/>
      <w:marRight w:val="0"/>
      <w:marTop w:val="0"/>
      <w:marBottom w:val="0"/>
      <w:divBdr>
        <w:top w:val="none" w:sz="0" w:space="0" w:color="auto"/>
        <w:left w:val="none" w:sz="0" w:space="0" w:color="auto"/>
        <w:bottom w:val="none" w:sz="0" w:space="0" w:color="auto"/>
        <w:right w:val="none" w:sz="0" w:space="0" w:color="auto"/>
      </w:divBdr>
      <w:divsChild>
        <w:div w:id="982663575">
          <w:marLeft w:val="0"/>
          <w:marRight w:val="0"/>
          <w:marTop w:val="0"/>
          <w:marBottom w:val="0"/>
          <w:divBdr>
            <w:top w:val="none" w:sz="0" w:space="0" w:color="auto"/>
            <w:left w:val="none" w:sz="0" w:space="0" w:color="auto"/>
            <w:bottom w:val="none" w:sz="0" w:space="0" w:color="auto"/>
            <w:right w:val="none" w:sz="0" w:space="0" w:color="auto"/>
          </w:divBdr>
          <w:divsChild>
            <w:div w:id="242766425">
              <w:marLeft w:val="0"/>
              <w:marRight w:val="0"/>
              <w:marTop w:val="0"/>
              <w:marBottom w:val="0"/>
              <w:divBdr>
                <w:top w:val="none" w:sz="0" w:space="0" w:color="auto"/>
                <w:left w:val="none" w:sz="0" w:space="0" w:color="auto"/>
                <w:bottom w:val="none" w:sz="0" w:space="0" w:color="auto"/>
                <w:right w:val="none" w:sz="0" w:space="0" w:color="auto"/>
              </w:divBdr>
            </w:div>
          </w:divsChild>
        </w:div>
        <w:div w:id="26684962">
          <w:marLeft w:val="0"/>
          <w:marRight w:val="0"/>
          <w:marTop w:val="0"/>
          <w:marBottom w:val="0"/>
          <w:divBdr>
            <w:top w:val="none" w:sz="0" w:space="0" w:color="auto"/>
            <w:left w:val="none" w:sz="0" w:space="0" w:color="auto"/>
            <w:bottom w:val="none" w:sz="0" w:space="0" w:color="auto"/>
            <w:right w:val="none" w:sz="0" w:space="0" w:color="auto"/>
          </w:divBdr>
          <w:divsChild>
            <w:div w:id="2092194759">
              <w:marLeft w:val="0"/>
              <w:marRight w:val="0"/>
              <w:marTop w:val="0"/>
              <w:marBottom w:val="0"/>
              <w:divBdr>
                <w:top w:val="none" w:sz="0" w:space="0" w:color="auto"/>
                <w:left w:val="none" w:sz="0" w:space="0" w:color="auto"/>
                <w:bottom w:val="none" w:sz="0" w:space="0" w:color="auto"/>
                <w:right w:val="none" w:sz="0" w:space="0" w:color="auto"/>
              </w:divBdr>
            </w:div>
          </w:divsChild>
        </w:div>
        <w:div w:id="1701473348">
          <w:marLeft w:val="0"/>
          <w:marRight w:val="0"/>
          <w:marTop w:val="0"/>
          <w:marBottom w:val="0"/>
          <w:divBdr>
            <w:top w:val="none" w:sz="0" w:space="0" w:color="auto"/>
            <w:left w:val="none" w:sz="0" w:space="0" w:color="auto"/>
            <w:bottom w:val="none" w:sz="0" w:space="0" w:color="auto"/>
            <w:right w:val="none" w:sz="0" w:space="0" w:color="auto"/>
          </w:divBdr>
        </w:div>
      </w:divsChild>
    </w:div>
    <w:div w:id="933778896">
      <w:bodyDiv w:val="1"/>
      <w:marLeft w:val="0"/>
      <w:marRight w:val="0"/>
      <w:marTop w:val="0"/>
      <w:marBottom w:val="0"/>
      <w:divBdr>
        <w:top w:val="none" w:sz="0" w:space="0" w:color="auto"/>
        <w:left w:val="none" w:sz="0" w:space="0" w:color="auto"/>
        <w:bottom w:val="none" w:sz="0" w:space="0" w:color="auto"/>
        <w:right w:val="none" w:sz="0" w:space="0" w:color="auto"/>
      </w:divBdr>
      <w:divsChild>
        <w:div w:id="145055407">
          <w:marLeft w:val="0"/>
          <w:marRight w:val="0"/>
          <w:marTop w:val="0"/>
          <w:marBottom w:val="0"/>
          <w:divBdr>
            <w:top w:val="none" w:sz="0" w:space="0" w:color="auto"/>
            <w:left w:val="none" w:sz="0" w:space="0" w:color="auto"/>
            <w:bottom w:val="none" w:sz="0" w:space="0" w:color="auto"/>
            <w:right w:val="none" w:sz="0" w:space="0" w:color="auto"/>
          </w:divBdr>
        </w:div>
        <w:div w:id="2040233254">
          <w:marLeft w:val="0"/>
          <w:marRight w:val="0"/>
          <w:marTop w:val="0"/>
          <w:marBottom w:val="0"/>
          <w:divBdr>
            <w:top w:val="none" w:sz="0" w:space="0" w:color="auto"/>
            <w:left w:val="none" w:sz="0" w:space="0" w:color="auto"/>
            <w:bottom w:val="none" w:sz="0" w:space="0" w:color="auto"/>
            <w:right w:val="none" w:sz="0" w:space="0" w:color="auto"/>
          </w:divBdr>
        </w:div>
        <w:div w:id="1458640932">
          <w:marLeft w:val="0"/>
          <w:marRight w:val="0"/>
          <w:marTop w:val="0"/>
          <w:marBottom w:val="0"/>
          <w:divBdr>
            <w:top w:val="none" w:sz="0" w:space="0" w:color="auto"/>
            <w:left w:val="none" w:sz="0" w:space="0" w:color="auto"/>
            <w:bottom w:val="none" w:sz="0" w:space="0" w:color="auto"/>
            <w:right w:val="none" w:sz="0" w:space="0" w:color="auto"/>
          </w:divBdr>
          <w:divsChild>
            <w:div w:id="1814785852">
              <w:marLeft w:val="0"/>
              <w:marRight w:val="0"/>
              <w:marTop w:val="0"/>
              <w:marBottom w:val="0"/>
              <w:divBdr>
                <w:top w:val="none" w:sz="0" w:space="0" w:color="auto"/>
                <w:left w:val="none" w:sz="0" w:space="0" w:color="auto"/>
                <w:bottom w:val="none" w:sz="0" w:space="0" w:color="auto"/>
                <w:right w:val="none" w:sz="0" w:space="0" w:color="auto"/>
              </w:divBdr>
              <w:divsChild>
                <w:div w:id="845558907">
                  <w:marLeft w:val="0"/>
                  <w:marRight w:val="0"/>
                  <w:marTop w:val="0"/>
                  <w:marBottom w:val="0"/>
                  <w:divBdr>
                    <w:top w:val="none" w:sz="0" w:space="0" w:color="auto"/>
                    <w:left w:val="none" w:sz="0" w:space="0" w:color="auto"/>
                    <w:bottom w:val="none" w:sz="0" w:space="0" w:color="auto"/>
                    <w:right w:val="none" w:sz="0" w:space="0" w:color="auto"/>
                  </w:divBdr>
                </w:div>
              </w:divsChild>
            </w:div>
            <w:div w:id="1616674002">
              <w:marLeft w:val="0"/>
              <w:marRight w:val="0"/>
              <w:marTop w:val="0"/>
              <w:marBottom w:val="0"/>
              <w:divBdr>
                <w:top w:val="none" w:sz="0" w:space="0" w:color="auto"/>
                <w:left w:val="none" w:sz="0" w:space="0" w:color="auto"/>
                <w:bottom w:val="none" w:sz="0" w:space="0" w:color="auto"/>
                <w:right w:val="none" w:sz="0" w:space="0" w:color="auto"/>
              </w:divBdr>
              <w:divsChild>
                <w:div w:id="1425883233">
                  <w:marLeft w:val="0"/>
                  <w:marRight w:val="0"/>
                  <w:marTop w:val="0"/>
                  <w:marBottom w:val="0"/>
                  <w:divBdr>
                    <w:top w:val="none" w:sz="0" w:space="0" w:color="auto"/>
                    <w:left w:val="none" w:sz="0" w:space="0" w:color="auto"/>
                    <w:bottom w:val="none" w:sz="0" w:space="0" w:color="auto"/>
                    <w:right w:val="none" w:sz="0" w:space="0" w:color="auto"/>
                  </w:divBdr>
                </w:div>
              </w:divsChild>
            </w:div>
            <w:div w:id="1123647111">
              <w:marLeft w:val="0"/>
              <w:marRight w:val="0"/>
              <w:marTop w:val="0"/>
              <w:marBottom w:val="0"/>
              <w:divBdr>
                <w:top w:val="none" w:sz="0" w:space="0" w:color="auto"/>
                <w:left w:val="none" w:sz="0" w:space="0" w:color="auto"/>
                <w:bottom w:val="none" w:sz="0" w:space="0" w:color="auto"/>
                <w:right w:val="none" w:sz="0" w:space="0" w:color="auto"/>
              </w:divBdr>
            </w:div>
            <w:div w:id="60531220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www.consumersearch.com/bathtubs/whirlpool-bathtub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consumersearch.com/bathtubs/soaking-bathtub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2</cp:revision>
  <dcterms:created xsi:type="dcterms:W3CDTF">2016-02-24T09:42:00Z</dcterms:created>
  <dcterms:modified xsi:type="dcterms:W3CDTF">2016-02-24T09:43:00Z</dcterms:modified>
</cp:coreProperties>
</file>