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6E8AD8" w14:textId="77777777" w:rsidR="000E108F" w:rsidRPr="001E14CD" w:rsidRDefault="000E108F" w:rsidP="000E108F">
      <w:pPr>
        <w:pStyle w:val="Heading1"/>
        <w:ind w:left="360" w:hanging="360"/>
        <w:rPr>
          <w:rFonts w:ascii="Arial" w:hAnsi="Arial"/>
        </w:rPr>
      </w:pPr>
      <w:bookmarkStart w:id="0" w:name="_Toc165554061"/>
      <w:r w:rsidRPr="00D9127F">
        <w:rPr>
          <w:rFonts w:ascii="Arial" w:hAnsi="Arial"/>
        </w:rPr>
        <w:t>Activity 3: Dete</w:t>
      </w:r>
      <w:r w:rsidRPr="001E14CD">
        <w:rPr>
          <w:rFonts w:ascii="Arial" w:hAnsi="Arial"/>
        </w:rPr>
        <w:t>rmining risks and opportunities</w:t>
      </w:r>
      <w:bookmarkEnd w:id="0"/>
    </w:p>
    <w:tbl>
      <w:tblPr>
        <w:tblStyle w:val="TableGrid"/>
        <w:tblW w:w="10360" w:type="dxa"/>
        <w:tblLook w:val="04A0" w:firstRow="1" w:lastRow="0" w:firstColumn="1" w:lastColumn="0" w:noHBand="0" w:noVBand="1"/>
      </w:tblPr>
      <w:tblGrid>
        <w:gridCol w:w="394"/>
        <w:gridCol w:w="2315"/>
        <w:gridCol w:w="1661"/>
        <w:gridCol w:w="2411"/>
        <w:gridCol w:w="974"/>
        <w:gridCol w:w="2605"/>
      </w:tblGrid>
      <w:tr w:rsidR="000E108F" w:rsidRPr="001E14CD" w14:paraId="790A8622" w14:textId="77777777" w:rsidTr="00D03121">
        <w:trPr>
          <w:trHeight w:val="575"/>
        </w:trPr>
        <w:tc>
          <w:tcPr>
            <w:tcW w:w="394" w:type="dxa"/>
            <w:hideMark/>
          </w:tcPr>
          <w:p w14:paraId="55D14C4C" w14:textId="77777777" w:rsidR="000E108F" w:rsidRPr="001E14CD" w:rsidRDefault="000E108F" w:rsidP="007079BB">
            <w:pPr>
              <w:spacing w:before="120" w:after="0"/>
              <w:jc w:val="center"/>
              <w:rPr>
                <w:rFonts w:ascii="Arial" w:eastAsia="Times New Roman" w:hAnsi="Arial" w:cs="Arial"/>
                <w:sz w:val="36"/>
                <w:szCs w:val="36"/>
                <w:lang w:val="en-GB" w:eastAsia="en-GB"/>
              </w:rPr>
            </w:pPr>
            <w:r w:rsidRPr="001E14CD">
              <w:rPr>
                <w:rFonts w:ascii="Arial" w:eastAsia="Noto Sans" w:hAnsi="Arial" w:cs="Arial"/>
                <w:b/>
                <w:bCs/>
                <w:color w:val="000000"/>
                <w:kern w:val="24"/>
                <w:lang w:eastAsia="en-GB"/>
              </w:rPr>
              <w:t>#</w:t>
            </w:r>
          </w:p>
        </w:tc>
        <w:tc>
          <w:tcPr>
            <w:tcW w:w="2315" w:type="dxa"/>
            <w:hideMark/>
          </w:tcPr>
          <w:p w14:paraId="5968D28E" w14:textId="77777777" w:rsidR="000E108F" w:rsidRPr="001E14CD" w:rsidRDefault="000E108F" w:rsidP="007079BB">
            <w:pPr>
              <w:spacing w:before="120" w:after="0"/>
              <w:jc w:val="center"/>
              <w:rPr>
                <w:rFonts w:ascii="Arial" w:eastAsia="Times New Roman" w:hAnsi="Arial" w:cs="Arial"/>
                <w:sz w:val="36"/>
                <w:szCs w:val="36"/>
                <w:lang w:val="en-GB" w:eastAsia="en-GB"/>
              </w:rPr>
            </w:pPr>
            <w:r w:rsidRPr="001E14CD">
              <w:rPr>
                <w:rFonts w:ascii="Arial" w:eastAsia="Noto Sans" w:hAnsi="Arial" w:cs="Arial"/>
                <w:b/>
                <w:bCs/>
                <w:color w:val="000000"/>
                <w:kern w:val="24"/>
                <w:lang w:eastAsia="en-GB"/>
              </w:rPr>
              <w:t>Issues (internal)</w:t>
            </w:r>
          </w:p>
        </w:tc>
        <w:tc>
          <w:tcPr>
            <w:tcW w:w="1661" w:type="dxa"/>
            <w:hideMark/>
          </w:tcPr>
          <w:p w14:paraId="25626E59" w14:textId="77777777" w:rsidR="000E108F" w:rsidRPr="001E14CD" w:rsidRDefault="000E108F" w:rsidP="007079BB">
            <w:pPr>
              <w:spacing w:before="120" w:after="0"/>
              <w:jc w:val="center"/>
              <w:rPr>
                <w:rFonts w:ascii="Arial" w:eastAsia="Times New Roman" w:hAnsi="Arial" w:cs="Arial"/>
                <w:sz w:val="36"/>
                <w:szCs w:val="36"/>
                <w:lang w:val="en-GB" w:eastAsia="en-GB"/>
              </w:rPr>
            </w:pPr>
            <w:r w:rsidRPr="001E14CD">
              <w:rPr>
                <w:rFonts w:ascii="Arial" w:eastAsia="Noto Sans" w:hAnsi="Arial" w:cs="Arial"/>
                <w:b/>
                <w:bCs/>
                <w:color w:val="000000"/>
                <w:kern w:val="24"/>
                <w:lang w:val="en-GB" w:eastAsia="en-GB"/>
              </w:rPr>
              <w:t>Expected results</w:t>
            </w:r>
          </w:p>
        </w:tc>
        <w:tc>
          <w:tcPr>
            <w:tcW w:w="2411" w:type="dxa"/>
            <w:hideMark/>
          </w:tcPr>
          <w:p w14:paraId="4C30213A" w14:textId="77777777" w:rsidR="000E108F" w:rsidRPr="001E14CD" w:rsidRDefault="000E108F" w:rsidP="007079BB">
            <w:pPr>
              <w:spacing w:before="120" w:after="0"/>
              <w:jc w:val="center"/>
              <w:rPr>
                <w:rFonts w:ascii="Arial" w:eastAsia="Times New Roman" w:hAnsi="Arial" w:cs="Arial"/>
                <w:sz w:val="36"/>
                <w:szCs w:val="36"/>
                <w:lang w:val="en-GB" w:eastAsia="en-GB"/>
              </w:rPr>
            </w:pPr>
            <w:r w:rsidRPr="001E14CD">
              <w:rPr>
                <w:rFonts w:ascii="Arial" w:eastAsia="Noto Sans" w:hAnsi="Arial" w:cs="Arial"/>
                <w:b/>
                <w:bCs/>
                <w:color w:val="000000"/>
                <w:kern w:val="24"/>
                <w:lang w:eastAsia="en-GB"/>
              </w:rPr>
              <w:t>Uncertainty</w:t>
            </w:r>
          </w:p>
        </w:tc>
        <w:tc>
          <w:tcPr>
            <w:tcW w:w="974" w:type="dxa"/>
            <w:hideMark/>
          </w:tcPr>
          <w:p w14:paraId="6D778030" w14:textId="77777777" w:rsidR="000E108F" w:rsidRPr="001E14CD" w:rsidRDefault="000E108F" w:rsidP="007079BB">
            <w:pPr>
              <w:spacing w:after="0"/>
              <w:jc w:val="center"/>
              <w:rPr>
                <w:rFonts w:ascii="Arial" w:eastAsia="Times New Roman" w:hAnsi="Arial" w:cs="Arial"/>
                <w:sz w:val="36"/>
                <w:szCs w:val="36"/>
                <w:lang w:val="en-GB" w:eastAsia="en-GB"/>
              </w:rPr>
            </w:pPr>
            <w:r w:rsidRPr="001E14CD">
              <w:rPr>
                <w:rFonts w:ascii="Arial" w:eastAsia="Noto Sans" w:hAnsi="Arial" w:cs="Arial"/>
                <w:b/>
                <w:bCs/>
                <w:color w:val="000000"/>
                <w:kern w:val="24"/>
                <w:lang w:eastAsia="en-GB"/>
              </w:rPr>
              <w:t>Risk H/M/L</w:t>
            </w:r>
          </w:p>
          <w:p w14:paraId="1C7DB4A4" w14:textId="77777777" w:rsidR="000E108F" w:rsidRPr="001E14CD" w:rsidRDefault="000E108F" w:rsidP="007079BB">
            <w:pPr>
              <w:spacing w:after="0"/>
              <w:jc w:val="center"/>
              <w:rPr>
                <w:rFonts w:ascii="Arial" w:eastAsia="Times New Roman" w:hAnsi="Arial" w:cs="Arial"/>
                <w:sz w:val="36"/>
                <w:szCs w:val="36"/>
                <w:lang w:val="en-GB" w:eastAsia="en-GB"/>
              </w:rPr>
            </w:pPr>
            <w:r w:rsidRPr="001E14CD">
              <w:rPr>
                <w:rFonts w:ascii="Arial" w:eastAsia="Noto Sans" w:hAnsi="Arial" w:cs="Arial"/>
                <w:b/>
                <w:bCs/>
                <w:color w:val="000000"/>
                <w:kern w:val="24"/>
                <w:lang w:eastAsia="en-GB"/>
              </w:rPr>
              <w:t>(Effect)</w:t>
            </w:r>
          </w:p>
        </w:tc>
        <w:tc>
          <w:tcPr>
            <w:tcW w:w="2605" w:type="dxa"/>
            <w:hideMark/>
          </w:tcPr>
          <w:p w14:paraId="1D87AD27" w14:textId="77777777" w:rsidR="000E108F" w:rsidRPr="001E14CD" w:rsidRDefault="000E108F" w:rsidP="007079BB">
            <w:pPr>
              <w:spacing w:before="120" w:after="0"/>
              <w:jc w:val="center"/>
              <w:rPr>
                <w:rFonts w:ascii="Arial" w:eastAsia="Times New Roman" w:hAnsi="Arial" w:cs="Arial"/>
                <w:sz w:val="36"/>
                <w:szCs w:val="36"/>
                <w:lang w:val="en-GB" w:eastAsia="en-GB"/>
              </w:rPr>
            </w:pPr>
            <w:r w:rsidRPr="001E14CD">
              <w:rPr>
                <w:rFonts w:ascii="Arial" w:eastAsia="Noto Sans" w:hAnsi="Arial" w:cs="Arial"/>
                <w:b/>
                <w:bCs/>
                <w:color w:val="000000"/>
                <w:kern w:val="24"/>
                <w:lang w:eastAsia="en-GB"/>
              </w:rPr>
              <w:t>Opportunities</w:t>
            </w:r>
          </w:p>
        </w:tc>
      </w:tr>
      <w:tr w:rsidR="000E108F" w:rsidRPr="001E14CD" w14:paraId="151E98F1" w14:textId="77777777" w:rsidTr="00D03121">
        <w:trPr>
          <w:trHeight w:val="1142"/>
        </w:trPr>
        <w:tc>
          <w:tcPr>
            <w:tcW w:w="394" w:type="dxa"/>
            <w:hideMark/>
          </w:tcPr>
          <w:p w14:paraId="23C8C5CE" w14:textId="77777777" w:rsidR="000E108F" w:rsidRPr="001E14CD" w:rsidRDefault="000E108F" w:rsidP="007079BB">
            <w:pPr>
              <w:spacing w:before="120" w:after="0"/>
              <w:jc w:val="center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1E14CD">
              <w:rPr>
                <w:rFonts w:ascii="Arial" w:eastAsia="Noto Sans" w:hAnsi="Arial" w:cs="Arial"/>
                <w:b/>
                <w:bCs/>
                <w:color w:val="000000"/>
                <w:kern w:val="24"/>
                <w:sz w:val="20"/>
                <w:szCs w:val="20"/>
                <w:lang w:eastAsia="en-GB"/>
              </w:rPr>
              <w:t>1</w:t>
            </w:r>
          </w:p>
        </w:tc>
        <w:tc>
          <w:tcPr>
            <w:tcW w:w="2315" w:type="dxa"/>
            <w:hideMark/>
          </w:tcPr>
          <w:p w14:paraId="685948A0" w14:textId="77777777" w:rsidR="000E108F" w:rsidRPr="001E14CD" w:rsidRDefault="000E108F" w:rsidP="007079BB">
            <w:pPr>
              <w:spacing w:before="120" w:after="0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1E14CD">
              <w:rPr>
                <w:rFonts w:ascii="Arial" w:eastAsia="Noto Sans" w:hAnsi="Arial" w:cs="Arial"/>
                <w:color w:val="000000"/>
                <w:kern w:val="24"/>
                <w:sz w:val="20"/>
                <w:szCs w:val="20"/>
                <w:lang w:eastAsia="en-GB"/>
              </w:rPr>
              <w:t>Lack of technical knowledge in the organization</w:t>
            </w:r>
          </w:p>
        </w:tc>
        <w:tc>
          <w:tcPr>
            <w:tcW w:w="1661" w:type="dxa"/>
            <w:hideMark/>
          </w:tcPr>
          <w:p w14:paraId="44440555" w14:textId="77777777" w:rsidR="000E108F" w:rsidRPr="001E14CD" w:rsidRDefault="000E108F" w:rsidP="007079BB">
            <w:pPr>
              <w:spacing w:before="120" w:after="0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1E14CD">
              <w:rPr>
                <w:rFonts w:ascii="Arial" w:eastAsia="Noto Sans" w:hAnsi="Arial" w:cs="Arial"/>
                <w:color w:val="000000"/>
                <w:kern w:val="24"/>
                <w:sz w:val="20"/>
                <w:szCs w:val="20"/>
                <w:lang w:val="en-GB" w:eastAsia="en-GB"/>
              </w:rPr>
              <w:t>There is enough knowledge to deal with changes to technology and deal with new AIMS threats</w:t>
            </w:r>
          </w:p>
        </w:tc>
        <w:tc>
          <w:tcPr>
            <w:tcW w:w="2411" w:type="dxa"/>
            <w:hideMark/>
          </w:tcPr>
          <w:p w14:paraId="008D543E" w14:textId="77777777" w:rsidR="000E108F" w:rsidRPr="001E14CD" w:rsidRDefault="000E108F" w:rsidP="007079BB">
            <w:pPr>
              <w:spacing w:before="120" w:after="0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1E14CD">
              <w:rPr>
                <w:rFonts w:ascii="Arial" w:eastAsia="Noto Sans" w:hAnsi="Arial" w:cs="Arial"/>
                <w:color w:val="000000"/>
                <w:kern w:val="24"/>
                <w:sz w:val="20"/>
                <w:szCs w:val="20"/>
                <w:lang w:val="en-GB" w:eastAsia="en-GB"/>
              </w:rPr>
              <w:t>Potential to not keep up with our competitors and increased risk of a security incident</w:t>
            </w:r>
          </w:p>
        </w:tc>
        <w:tc>
          <w:tcPr>
            <w:tcW w:w="974" w:type="dxa"/>
            <w:hideMark/>
          </w:tcPr>
          <w:p w14:paraId="48E57124" w14:textId="77777777" w:rsidR="000E108F" w:rsidRPr="001E14CD" w:rsidRDefault="000E108F" w:rsidP="007079BB">
            <w:pPr>
              <w:spacing w:before="120" w:after="0"/>
              <w:jc w:val="center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1E14CD">
              <w:rPr>
                <w:rFonts w:ascii="Arial" w:eastAsia="Noto Sans" w:hAnsi="Arial" w:cs="Arial"/>
                <w:color w:val="000000"/>
                <w:kern w:val="24"/>
                <w:sz w:val="20"/>
                <w:szCs w:val="20"/>
                <w:lang w:val="en-GB" w:eastAsia="en-GB"/>
              </w:rPr>
              <w:t>H</w:t>
            </w:r>
          </w:p>
        </w:tc>
        <w:tc>
          <w:tcPr>
            <w:tcW w:w="2605" w:type="dxa"/>
            <w:hideMark/>
          </w:tcPr>
          <w:p w14:paraId="253248C6" w14:textId="77777777" w:rsidR="000E108F" w:rsidRPr="001E14CD" w:rsidRDefault="000E108F" w:rsidP="007079BB">
            <w:pPr>
              <w:spacing w:before="120" w:after="0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1E14CD">
              <w:rPr>
                <w:rFonts w:ascii="Arial" w:eastAsia="Noto Sans" w:hAnsi="Arial" w:cs="Arial"/>
                <w:color w:val="000000"/>
                <w:kern w:val="24"/>
                <w:sz w:val="20"/>
                <w:szCs w:val="20"/>
                <w:lang w:val="en-GB" w:eastAsia="en-GB"/>
              </w:rPr>
              <w:t>Opportunity to provide training to existing personnel or to recruit AIMS quality/regulatory role</w:t>
            </w:r>
          </w:p>
        </w:tc>
      </w:tr>
      <w:tr w:rsidR="00D03121" w:rsidRPr="001E14CD" w14:paraId="798E7104" w14:textId="77777777" w:rsidTr="00D03121">
        <w:trPr>
          <w:trHeight w:val="1142"/>
        </w:trPr>
        <w:tc>
          <w:tcPr>
            <w:tcW w:w="394" w:type="dxa"/>
            <w:hideMark/>
          </w:tcPr>
          <w:p w14:paraId="51DE1431" w14:textId="77777777" w:rsidR="00D03121" w:rsidRPr="001E14CD" w:rsidRDefault="00D03121" w:rsidP="00D03121">
            <w:pPr>
              <w:spacing w:before="120" w:after="0"/>
              <w:jc w:val="center"/>
              <w:rPr>
                <w:rFonts w:ascii="Arial" w:eastAsia="Noto Sans" w:hAnsi="Arial" w:cs="Arial"/>
                <w:b/>
                <w:bCs/>
                <w:color w:val="000000"/>
                <w:kern w:val="24"/>
                <w:sz w:val="20"/>
                <w:szCs w:val="20"/>
                <w:lang w:eastAsia="en-GB"/>
              </w:rPr>
            </w:pPr>
            <w:r w:rsidRPr="001E14CD">
              <w:rPr>
                <w:rFonts w:ascii="Arial" w:eastAsia="Noto Sans" w:hAnsi="Arial" w:cs="Arial"/>
                <w:b/>
                <w:bCs/>
                <w:color w:val="000000"/>
                <w:kern w:val="24"/>
                <w:sz w:val="20"/>
                <w:szCs w:val="20"/>
                <w:lang w:eastAsia="en-GB"/>
              </w:rPr>
              <w:t>2</w:t>
            </w:r>
          </w:p>
        </w:tc>
        <w:tc>
          <w:tcPr>
            <w:tcW w:w="2315" w:type="dxa"/>
            <w:hideMark/>
          </w:tcPr>
          <w:p w14:paraId="4FB96FF2" w14:textId="77777777" w:rsidR="00D03121" w:rsidRPr="001E14CD" w:rsidRDefault="00D03121" w:rsidP="00D03121">
            <w:pPr>
              <w:spacing w:before="120" w:after="0"/>
              <w:rPr>
                <w:rFonts w:ascii="Arial" w:eastAsia="Noto Sans" w:hAnsi="Arial" w:cs="Arial"/>
                <w:color w:val="000000"/>
                <w:kern w:val="24"/>
                <w:sz w:val="20"/>
                <w:szCs w:val="20"/>
                <w:lang w:eastAsia="en-GB"/>
              </w:rPr>
            </w:pPr>
            <w:r w:rsidRPr="001E14CD">
              <w:rPr>
                <w:rFonts w:ascii="Arial" w:eastAsia="Noto Sans" w:hAnsi="Arial" w:cs="Arial"/>
                <w:color w:val="000000"/>
                <w:kern w:val="24"/>
                <w:sz w:val="20"/>
                <w:szCs w:val="20"/>
                <w:lang w:eastAsia="en-GB"/>
              </w:rPr>
              <w:t>Inadequate AI model validation practices within the organization</w:t>
            </w:r>
          </w:p>
        </w:tc>
        <w:tc>
          <w:tcPr>
            <w:tcW w:w="1661" w:type="dxa"/>
          </w:tcPr>
          <w:p w14:paraId="18087015" w14:textId="59703486" w:rsidR="00D03121" w:rsidRPr="001E14CD" w:rsidRDefault="00D03121" w:rsidP="00D03121">
            <w:pPr>
              <w:spacing w:before="120" w:after="0"/>
              <w:rPr>
                <w:rFonts w:ascii="Arial" w:eastAsia="Noto Sans" w:hAnsi="Arial" w:cs="Arial"/>
                <w:color w:val="000000"/>
                <w:kern w:val="24"/>
                <w:sz w:val="20"/>
                <w:szCs w:val="20"/>
                <w:lang w:val="en-GB" w:eastAsia="en-GB"/>
              </w:rPr>
            </w:pPr>
            <w:r>
              <w:t>AI models are evaluated to ensure accuracy, reliability, and compliance with AIMS requirements</w:t>
            </w:r>
          </w:p>
        </w:tc>
        <w:tc>
          <w:tcPr>
            <w:tcW w:w="2411" w:type="dxa"/>
          </w:tcPr>
          <w:p w14:paraId="16C08EF4" w14:textId="3FC4DD4B" w:rsidR="00D03121" w:rsidRPr="001E14CD" w:rsidRDefault="00D03121" w:rsidP="00D03121">
            <w:pPr>
              <w:spacing w:before="120" w:after="0"/>
              <w:rPr>
                <w:rFonts w:ascii="Arial" w:eastAsia="Noto Sans" w:hAnsi="Arial" w:cs="Arial"/>
                <w:color w:val="000000"/>
                <w:kern w:val="24"/>
                <w:sz w:val="20"/>
                <w:szCs w:val="20"/>
                <w:lang w:val="en-GB" w:eastAsia="en-GB"/>
              </w:rPr>
            </w:pPr>
            <w:r>
              <w:t xml:space="preserve">Biased AI outputs </w:t>
            </w:r>
            <w:r w:rsidR="00A530FA">
              <w:t>lead</w:t>
            </w:r>
            <w:r>
              <w:t xml:space="preserve"> to regulatory non-compliance and reputational damage</w:t>
            </w:r>
          </w:p>
        </w:tc>
        <w:tc>
          <w:tcPr>
            <w:tcW w:w="974" w:type="dxa"/>
          </w:tcPr>
          <w:p w14:paraId="7438D864" w14:textId="64164BAB" w:rsidR="00D03121" w:rsidRPr="001E14CD" w:rsidRDefault="00D03121" w:rsidP="00D03121">
            <w:pPr>
              <w:spacing w:before="120" w:after="0"/>
              <w:jc w:val="center"/>
              <w:rPr>
                <w:rFonts w:ascii="Arial" w:eastAsia="Noto Sans" w:hAnsi="Arial" w:cs="Arial"/>
                <w:color w:val="000000"/>
                <w:kern w:val="24"/>
                <w:sz w:val="20"/>
                <w:szCs w:val="20"/>
                <w:lang w:val="en-GB" w:eastAsia="en-GB"/>
              </w:rPr>
            </w:pPr>
            <w:r>
              <w:t>H</w:t>
            </w:r>
          </w:p>
        </w:tc>
        <w:tc>
          <w:tcPr>
            <w:tcW w:w="2605" w:type="dxa"/>
          </w:tcPr>
          <w:p w14:paraId="43D2658B" w14:textId="4661DD86" w:rsidR="00D03121" w:rsidRPr="001E14CD" w:rsidRDefault="00D03121" w:rsidP="00D03121">
            <w:pPr>
              <w:spacing w:before="120" w:after="0"/>
              <w:rPr>
                <w:rFonts w:ascii="Arial" w:eastAsia="Noto Sans" w:hAnsi="Arial" w:cs="Arial"/>
                <w:color w:val="000000"/>
                <w:kern w:val="24"/>
                <w:sz w:val="20"/>
                <w:szCs w:val="20"/>
                <w:lang w:val="en-GB" w:eastAsia="en-GB"/>
              </w:rPr>
            </w:pPr>
            <w:r>
              <w:t>Formalize AI model validation procedures and integrate them into the AIMS</w:t>
            </w:r>
          </w:p>
        </w:tc>
      </w:tr>
      <w:tr w:rsidR="00D03121" w:rsidRPr="001E14CD" w14:paraId="7649791F" w14:textId="77777777" w:rsidTr="00D03121">
        <w:trPr>
          <w:trHeight w:val="1142"/>
        </w:trPr>
        <w:tc>
          <w:tcPr>
            <w:tcW w:w="394" w:type="dxa"/>
            <w:hideMark/>
          </w:tcPr>
          <w:p w14:paraId="68929964" w14:textId="77777777" w:rsidR="00D03121" w:rsidRPr="001E14CD" w:rsidRDefault="00D03121" w:rsidP="00D03121">
            <w:pPr>
              <w:spacing w:before="120" w:after="0"/>
              <w:jc w:val="center"/>
              <w:rPr>
                <w:rFonts w:ascii="Arial" w:eastAsia="Noto Sans" w:hAnsi="Arial" w:cs="Arial"/>
                <w:b/>
                <w:bCs/>
                <w:color w:val="000000"/>
                <w:kern w:val="24"/>
                <w:sz w:val="20"/>
                <w:szCs w:val="20"/>
                <w:lang w:eastAsia="en-GB"/>
              </w:rPr>
            </w:pPr>
            <w:r w:rsidRPr="001E14CD">
              <w:rPr>
                <w:rFonts w:ascii="Arial" w:eastAsia="Noto Sans" w:hAnsi="Arial" w:cs="Arial"/>
                <w:b/>
                <w:bCs/>
                <w:color w:val="000000"/>
                <w:kern w:val="24"/>
                <w:sz w:val="20"/>
                <w:szCs w:val="20"/>
                <w:lang w:eastAsia="en-GB"/>
              </w:rPr>
              <w:t>3</w:t>
            </w:r>
          </w:p>
        </w:tc>
        <w:tc>
          <w:tcPr>
            <w:tcW w:w="2315" w:type="dxa"/>
            <w:hideMark/>
          </w:tcPr>
          <w:p w14:paraId="5B1383BE" w14:textId="77777777" w:rsidR="00D03121" w:rsidRPr="001E14CD" w:rsidRDefault="00D03121" w:rsidP="00D03121">
            <w:pPr>
              <w:spacing w:before="120" w:after="0"/>
              <w:rPr>
                <w:rFonts w:ascii="Arial" w:eastAsia="Noto Sans" w:hAnsi="Arial" w:cs="Arial"/>
                <w:color w:val="000000"/>
                <w:kern w:val="24"/>
                <w:sz w:val="20"/>
                <w:szCs w:val="20"/>
                <w:lang w:eastAsia="en-GB"/>
              </w:rPr>
            </w:pPr>
            <w:r w:rsidRPr="001E14CD">
              <w:rPr>
                <w:rFonts w:ascii="Arial" w:eastAsia="Noto Sans" w:hAnsi="Arial" w:cs="Arial"/>
                <w:color w:val="000000"/>
                <w:kern w:val="24"/>
                <w:sz w:val="20"/>
                <w:szCs w:val="20"/>
                <w:lang w:eastAsia="en-GB"/>
              </w:rPr>
              <w:t>AI model interpretability and transparency concerns</w:t>
            </w:r>
          </w:p>
        </w:tc>
        <w:tc>
          <w:tcPr>
            <w:tcW w:w="1661" w:type="dxa"/>
          </w:tcPr>
          <w:p w14:paraId="16B1F7E0" w14:textId="337C47EE" w:rsidR="00D03121" w:rsidRPr="001E14CD" w:rsidRDefault="00D03121" w:rsidP="00D03121">
            <w:pPr>
              <w:spacing w:before="120" w:after="0"/>
              <w:rPr>
                <w:rFonts w:ascii="Arial" w:eastAsia="Noto Sans" w:hAnsi="Arial" w:cs="Arial"/>
                <w:color w:val="000000"/>
                <w:kern w:val="24"/>
                <w:sz w:val="20"/>
                <w:szCs w:val="20"/>
                <w:lang w:val="en-GB" w:eastAsia="en-GB"/>
              </w:rPr>
            </w:pPr>
            <w:r>
              <w:t>AI decisions are explainable, transparent, and trusted by stakeholders</w:t>
            </w:r>
          </w:p>
        </w:tc>
        <w:tc>
          <w:tcPr>
            <w:tcW w:w="2411" w:type="dxa"/>
          </w:tcPr>
          <w:p w14:paraId="447F1CC6" w14:textId="607C20D3" w:rsidR="00D03121" w:rsidRPr="001E14CD" w:rsidRDefault="00D03121" w:rsidP="00D03121">
            <w:pPr>
              <w:spacing w:before="120" w:after="0"/>
              <w:rPr>
                <w:rFonts w:ascii="Arial" w:eastAsia="Noto Sans" w:hAnsi="Arial" w:cs="Arial"/>
                <w:color w:val="000000"/>
                <w:kern w:val="24"/>
                <w:sz w:val="20"/>
                <w:szCs w:val="20"/>
                <w:lang w:val="en-GB" w:eastAsia="en-GB"/>
              </w:rPr>
            </w:pPr>
            <w:r>
              <w:t>Difficulty in explaining AI decisions may lead to loss of trust</w:t>
            </w:r>
          </w:p>
        </w:tc>
        <w:tc>
          <w:tcPr>
            <w:tcW w:w="974" w:type="dxa"/>
          </w:tcPr>
          <w:p w14:paraId="5B7FADF2" w14:textId="624D25EF" w:rsidR="00D03121" w:rsidRPr="001E14CD" w:rsidRDefault="00255FCD" w:rsidP="00D03121">
            <w:pPr>
              <w:spacing w:before="120" w:after="0"/>
              <w:jc w:val="center"/>
              <w:rPr>
                <w:rFonts w:ascii="Arial" w:eastAsia="Noto Sans" w:hAnsi="Arial" w:cs="Arial"/>
                <w:color w:val="000000"/>
                <w:kern w:val="24"/>
                <w:sz w:val="20"/>
                <w:szCs w:val="20"/>
                <w:lang w:val="en-GB" w:eastAsia="en-GB"/>
              </w:rPr>
            </w:pPr>
            <w:r>
              <w:t>H</w:t>
            </w:r>
          </w:p>
        </w:tc>
        <w:tc>
          <w:tcPr>
            <w:tcW w:w="2605" w:type="dxa"/>
          </w:tcPr>
          <w:p w14:paraId="4C410AD5" w14:textId="33E1D59B" w:rsidR="00D03121" w:rsidRPr="001E14CD" w:rsidRDefault="00D03121" w:rsidP="00D03121">
            <w:pPr>
              <w:spacing w:before="120" w:after="0"/>
              <w:rPr>
                <w:rFonts w:ascii="Arial" w:eastAsia="Noto Sans" w:hAnsi="Arial" w:cs="Arial"/>
                <w:color w:val="000000"/>
                <w:kern w:val="24"/>
                <w:sz w:val="20"/>
                <w:szCs w:val="20"/>
                <w:lang w:val="en-GB" w:eastAsia="en-GB"/>
              </w:rPr>
            </w:pPr>
            <w:r>
              <w:t>Adopt explainable AI techniques and strengthen transparency governance</w:t>
            </w:r>
          </w:p>
        </w:tc>
      </w:tr>
      <w:tr w:rsidR="00D03121" w:rsidRPr="001E14CD" w14:paraId="749A52E7" w14:textId="77777777" w:rsidTr="00D03121">
        <w:trPr>
          <w:trHeight w:val="559"/>
        </w:trPr>
        <w:tc>
          <w:tcPr>
            <w:tcW w:w="394" w:type="dxa"/>
            <w:hideMark/>
          </w:tcPr>
          <w:p w14:paraId="7BB8A21A" w14:textId="77777777" w:rsidR="00D03121" w:rsidRPr="000E24E8" w:rsidRDefault="00D03121" w:rsidP="00D03121">
            <w:pPr>
              <w:spacing w:before="120" w:after="0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GB" w:eastAsia="en-GB"/>
              </w:rPr>
            </w:pPr>
            <w:r w:rsidRPr="000E24E8">
              <w:rPr>
                <w:rFonts w:ascii="Arial" w:eastAsia="Noto Sans" w:hAnsi="Arial" w:cs="Arial"/>
                <w:b/>
                <w:bCs/>
                <w:color w:val="000000"/>
                <w:kern w:val="24"/>
                <w:sz w:val="20"/>
                <w:szCs w:val="20"/>
                <w:lang w:eastAsia="en-GB"/>
              </w:rPr>
              <w:t>#</w:t>
            </w:r>
          </w:p>
        </w:tc>
        <w:tc>
          <w:tcPr>
            <w:tcW w:w="2315" w:type="dxa"/>
            <w:hideMark/>
          </w:tcPr>
          <w:p w14:paraId="752FCBC8" w14:textId="77777777" w:rsidR="00D03121" w:rsidRPr="000E24E8" w:rsidRDefault="00D03121" w:rsidP="00D03121">
            <w:pPr>
              <w:spacing w:before="120" w:after="0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GB" w:eastAsia="en-GB"/>
              </w:rPr>
            </w:pPr>
            <w:r w:rsidRPr="000E24E8">
              <w:rPr>
                <w:rFonts w:ascii="Arial" w:eastAsia="Noto Sans" w:hAnsi="Arial" w:cs="Arial"/>
                <w:b/>
                <w:bCs/>
                <w:color w:val="000000"/>
                <w:kern w:val="24"/>
                <w:sz w:val="20"/>
                <w:szCs w:val="20"/>
                <w:lang w:eastAsia="en-GB"/>
              </w:rPr>
              <w:t>Issues (external)</w:t>
            </w:r>
          </w:p>
        </w:tc>
        <w:tc>
          <w:tcPr>
            <w:tcW w:w="1661" w:type="dxa"/>
            <w:hideMark/>
          </w:tcPr>
          <w:p w14:paraId="45A9C01A" w14:textId="310243A5" w:rsidR="00D03121" w:rsidRPr="000E24E8" w:rsidRDefault="00D03121" w:rsidP="00D03121">
            <w:pPr>
              <w:spacing w:before="120" w:after="0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GB" w:eastAsia="en-GB"/>
              </w:rPr>
            </w:pPr>
            <w:r w:rsidRPr="000E24E8">
              <w:rPr>
                <w:rFonts w:ascii="Arial" w:eastAsia="Noto Sans" w:hAnsi="Arial" w:cs="Arial"/>
                <w:b/>
                <w:bCs/>
                <w:color w:val="000000"/>
                <w:kern w:val="24"/>
                <w:sz w:val="20"/>
                <w:szCs w:val="20"/>
                <w:lang w:val="en-GB" w:eastAsia="en-GB"/>
              </w:rPr>
              <w:t>Expected results</w:t>
            </w:r>
          </w:p>
        </w:tc>
        <w:tc>
          <w:tcPr>
            <w:tcW w:w="2411" w:type="dxa"/>
            <w:hideMark/>
          </w:tcPr>
          <w:p w14:paraId="1C3B7672" w14:textId="2E2E9459" w:rsidR="00D03121" w:rsidRPr="000E24E8" w:rsidRDefault="00D03121" w:rsidP="00D03121">
            <w:pPr>
              <w:spacing w:before="120" w:after="0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GB" w:eastAsia="en-GB"/>
              </w:rPr>
            </w:pPr>
            <w:r w:rsidRPr="000E24E8">
              <w:rPr>
                <w:rFonts w:ascii="Arial" w:eastAsia="Noto Sans" w:hAnsi="Arial" w:cs="Arial"/>
                <w:b/>
                <w:bCs/>
                <w:color w:val="000000"/>
                <w:kern w:val="24"/>
                <w:sz w:val="20"/>
                <w:szCs w:val="20"/>
                <w:lang w:eastAsia="en-GB"/>
              </w:rPr>
              <w:t>Uncertainty</w:t>
            </w:r>
          </w:p>
        </w:tc>
        <w:tc>
          <w:tcPr>
            <w:tcW w:w="974" w:type="dxa"/>
            <w:hideMark/>
          </w:tcPr>
          <w:p w14:paraId="6687A4EF" w14:textId="77777777" w:rsidR="00D03121" w:rsidRPr="000E24E8" w:rsidRDefault="00D03121" w:rsidP="00D03121">
            <w:pPr>
              <w:spacing w:after="0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GB" w:eastAsia="en-GB"/>
              </w:rPr>
            </w:pPr>
            <w:r w:rsidRPr="000E24E8">
              <w:rPr>
                <w:rFonts w:ascii="Arial" w:eastAsia="Noto Sans" w:hAnsi="Arial" w:cs="Arial"/>
                <w:b/>
                <w:bCs/>
                <w:color w:val="000000"/>
                <w:kern w:val="24"/>
                <w:sz w:val="20"/>
                <w:szCs w:val="20"/>
                <w:lang w:eastAsia="en-GB"/>
              </w:rPr>
              <w:t>Risk (-</w:t>
            </w:r>
            <w:proofErr w:type="spellStart"/>
            <w:r w:rsidRPr="000E24E8">
              <w:rPr>
                <w:rFonts w:ascii="Arial" w:eastAsia="Noto Sans" w:hAnsi="Arial" w:cs="Arial"/>
                <w:b/>
                <w:bCs/>
                <w:color w:val="000000"/>
                <w:kern w:val="24"/>
                <w:sz w:val="20"/>
                <w:szCs w:val="20"/>
                <w:lang w:eastAsia="en-GB"/>
              </w:rPr>
              <w:t>ve</w:t>
            </w:r>
            <w:proofErr w:type="spellEnd"/>
            <w:r w:rsidRPr="000E24E8">
              <w:rPr>
                <w:rFonts w:ascii="Arial" w:eastAsia="Noto Sans" w:hAnsi="Arial" w:cs="Arial"/>
                <w:b/>
                <w:bCs/>
                <w:color w:val="000000"/>
                <w:kern w:val="24"/>
                <w:sz w:val="20"/>
                <w:szCs w:val="20"/>
                <w:lang w:eastAsia="en-GB"/>
              </w:rPr>
              <w:t>) H/M/L</w:t>
            </w:r>
          </w:p>
          <w:p w14:paraId="7D869317" w14:textId="7CCF4B19" w:rsidR="00D03121" w:rsidRPr="000E24E8" w:rsidRDefault="00D03121" w:rsidP="00D03121">
            <w:pPr>
              <w:spacing w:after="0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GB" w:eastAsia="en-GB"/>
              </w:rPr>
            </w:pPr>
            <w:r w:rsidRPr="000E24E8">
              <w:rPr>
                <w:rFonts w:ascii="Arial" w:eastAsia="Noto Sans" w:hAnsi="Arial" w:cs="Arial"/>
                <w:b/>
                <w:bCs/>
                <w:color w:val="000000"/>
                <w:kern w:val="24"/>
                <w:sz w:val="20"/>
                <w:szCs w:val="20"/>
                <w:lang w:eastAsia="en-GB"/>
              </w:rPr>
              <w:t>(Effect)</w:t>
            </w:r>
          </w:p>
        </w:tc>
        <w:tc>
          <w:tcPr>
            <w:tcW w:w="2605" w:type="dxa"/>
            <w:hideMark/>
          </w:tcPr>
          <w:p w14:paraId="2EC5C81A" w14:textId="6A4EEC33" w:rsidR="00D03121" w:rsidRPr="000E24E8" w:rsidRDefault="00D03121" w:rsidP="00D03121">
            <w:pPr>
              <w:spacing w:before="120" w:after="0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GB" w:eastAsia="en-GB"/>
              </w:rPr>
            </w:pPr>
            <w:r w:rsidRPr="000E24E8">
              <w:rPr>
                <w:rFonts w:ascii="Arial" w:eastAsia="Noto Sans" w:hAnsi="Arial" w:cs="Arial"/>
                <w:b/>
                <w:bCs/>
                <w:color w:val="000000"/>
                <w:kern w:val="24"/>
                <w:sz w:val="20"/>
                <w:szCs w:val="20"/>
                <w:lang w:eastAsia="en-GB"/>
              </w:rPr>
              <w:t>Opportunities</w:t>
            </w:r>
          </w:p>
        </w:tc>
      </w:tr>
      <w:tr w:rsidR="00D03121" w:rsidRPr="001E14CD" w14:paraId="361EF820" w14:textId="77777777" w:rsidTr="00D03121">
        <w:trPr>
          <w:trHeight w:val="1020"/>
        </w:trPr>
        <w:tc>
          <w:tcPr>
            <w:tcW w:w="394" w:type="dxa"/>
            <w:hideMark/>
          </w:tcPr>
          <w:p w14:paraId="5F6B505E" w14:textId="77777777" w:rsidR="00D03121" w:rsidRPr="001E14CD" w:rsidRDefault="00D03121" w:rsidP="00D03121">
            <w:pPr>
              <w:spacing w:before="120" w:after="0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GB" w:eastAsia="en-GB"/>
              </w:rPr>
            </w:pPr>
            <w:r w:rsidRPr="001E14CD">
              <w:rPr>
                <w:rFonts w:ascii="Arial" w:hAnsi="Arial" w:cs="Arial"/>
                <w:b/>
                <w:bCs/>
                <w:sz w:val="21"/>
                <w:szCs w:val="21"/>
              </w:rPr>
              <w:t>4</w:t>
            </w:r>
          </w:p>
        </w:tc>
        <w:tc>
          <w:tcPr>
            <w:tcW w:w="2315" w:type="dxa"/>
            <w:hideMark/>
          </w:tcPr>
          <w:p w14:paraId="32F70815" w14:textId="77777777" w:rsidR="00D03121" w:rsidRPr="001E14CD" w:rsidRDefault="00D03121" w:rsidP="00D03121">
            <w:pPr>
              <w:spacing w:before="120" w:after="0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1E14CD">
              <w:rPr>
                <w:rFonts w:ascii="Arial" w:hAnsi="Arial" w:cs="Arial"/>
                <w:sz w:val="21"/>
                <w:szCs w:val="21"/>
              </w:rPr>
              <w:t>Impact of data loss from environmental disasters</w:t>
            </w:r>
          </w:p>
        </w:tc>
        <w:tc>
          <w:tcPr>
            <w:tcW w:w="1661" w:type="dxa"/>
          </w:tcPr>
          <w:p w14:paraId="49FDD09D" w14:textId="70C84694" w:rsidR="00D03121" w:rsidRPr="001E14CD" w:rsidRDefault="00D03121" w:rsidP="00D03121">
            <w:pPr>
              <w:spacing w:before="120" w:after="0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>
              <w:t>AI data and models remain available and recoverable under disruptive events</w:t>
            </w:r>
          </w:p>
        </w:tc>
        <w:tc>
          <w:tcPr>
            <w:tcW w:w="2411" w:type="dxa"/>
          </w:tcPr>
          <w:p w14:paraId="2938FFB6" w14:textId="4E4884BD" w:rsidR="00D03121" w:rsidRPr="001E14CD" w:rsidRDefault="00D03121" w:rsidP="00D03121">
            <w:pPr>
              <w:spacing w:before="120" w:after="0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>
              <w:t>Operational disruption and loss of critical AI data impacting continuity</w:t>
            </w:r>
          </w:p>
        </w:tc>
        <w:tc>
          <w:tcPr>
            <w:tcW w:w="974" w:type="dxa"/>
          </w:tcPr>
          <w:p w14:paraId="0AB6B972" w14:textId="4F1932EE" w:rsidR="00D03121" w:rsidRPr="001E14CD" w:rsidRDefault="00D03121" w:rsidP="00D03121">
            <w:pPr>
              <w:spacing w:before="120" w:after="0"/>
              <w:jc w:val="center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>
              <w:t>M</w:t>
            </w:r>
          </w:p>
        </w:tc>
        <w:tc>
          <w:tcPr>
            <w:tcW w:w="2605" w:type="dxa"/>
          </w:tcPr>
          <w:p w14:paraId="1EF4F31A" w14:textId="14C3C05C" w:rsidR="00D03121" w:rsidRPr="001E14CD" w:rsidRDefault="00D03121" w:rsidP="00D03121">
            <w:pPr>
              <w:spacing w:before="120" w:after="0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>
              <w:t>Strengthen disaster recovery, backup, and business continuity planning</w:t>
            </w:r>
          </w:p>
        </w:tc>
      </w:tr>
      <w:tr w:rsidR="00D03121" w:rsidRPr="001E14CD" w14:paraId="4BA5DE21" w14:textId="77777777" w:rsidTr="00D03121">
        <w:tc>
          <w:tcPr>
            <w:tcW w:w="394" w:type="dxa"/>
            <w:hideMark/>
          </w:tcPr>
          <w:p w14:paraId="5D21A8A2" w14:textId="77777777" w:rsidR="00D03121" w:rsidRPr="001E14CD" w:rsidRDefault="00D03121" w:rsidP="00D03121">
            <w:pPr>
              <w:spacing w:before="120" w:after="0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GB" w:eastAsia="en-GB"/>
              </w:rPr>
            </w:pPr>
            <w:r w:rsidRPr="001E14CD">
              <w:rPr>
                <w:rFonts w:ascii="Arial" w:hAnsi="Arial" w:cs="Arial"/>
                <w:b/>
                <w:bCs/>
                <w:sz w:val="21"/>
                <w:szCs w:val="21"/>
              </w:rPr>
              <w:t>5</w:t>
            </w:r>
          </w:p>
        </w:tc>
        <w:tc>
          <w:tcPr>
            <w:tcW w:w="2315" w:type="dxa"/>
            <w:hideMark/>
          </w:tcPr>
          <w:p w14:paraId="6F4F33DA" w14:textId="77777777" w:rsidR="00D03121" w:rsidRPr="001E14CD" w:rsidRDefault="00D03121" w:rsidP="00D03121">
            <w:pPr>
              <w:spacing w:before="120" w:after="0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1E14CD">
              <w:rPr>
                <w:rFonts w:ascii="Arial" w:hAnsi="Arial" w:cs="Arial"/>
                <w:sz w:val="21"/>
                <w:szCs w:val="21"/>
              </w:rPr>
              <w:t>Evolution of adversarial AI attacks</w:t>
            </w:r>
          </w:p>
        </w:tc>
        <w:tc>
          <w:tcPr>
            <w:tcW w:w="1661" w:type="dxa"/>
          </w:tcPr>
          <w:p w14:paraId="4C852CB4" w14:textId="34B7527A" w:rsidR="00D03121" w:rsidRPr="001E14CD" w:rsidRDefault="00D03121" w:rsidP="00D03121">
            <w:pPr>
              <w:spacing w:before="120" w:after="0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>
              <w:t>AI systems remain resilient against evolving adversarial threats</w:t>
            </w:r>
          </w:p>
        </w:tc>
        <w:tc>
          <w:tcPr>
            <w:tcW w:w="2411" w:type="dxa"/>
          </w:tcPr>
          <w:p w14:paraId="2C10CEA2" w14:textId="77E3EFFA" w:rsidR="00D03121" w:rsidRPr="001E14CD" w:rsidRDefault="00D03121" w:rsidP="00D03121">
            <w:pPr>
              <w:spacing w:before="120" w:after="0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>
              <w:t>Advanced attacks may bypass existing controls and compromise model integrity</w:t>
            </w:r>
          </w:p>
        </w:tc>
        <w:tc>
          <w:tcPr>
            <w:tcW w:w="974" w:type="dxa"/>
          </w:tcPr>
          <w:p w14:paraId="1BD3DD24" w14:textId="7E7A4BF8" w:rsidR="00D03121" w:rsidRPr="001E14CD" w:rsidRDefault="00D03121" w:rsidP="00D03121">
            <w:pPr>
              <w:spacing w:before="120" w:after="0"/>
              <w:jc w:val="center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>
              <w:t>H</w:t>
            </w:r>
          </w:p>
        </w:tc>
        <w:tc>
          <w:tcPr>
            <w:tcW w:w="2605" w:type="dxa"/>
          </w:tcPr>
          <w:p w14:paraId="29D78213" w14:textId="34C15691" w:rsidR="00D03121" w:rsidRPr="001E14CD" w:rsidRDefault="00D03121" w:rsidP="00D03121">
            <w:pPr>
              <w:spacing w:before="120" w:after="0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>
              <w:t>Enhance AI security controls and continuous threat monitoring</w:t>
            </w:r>
          </w:p>
        </w:tc>
      </w:tr>
      <w:tr w:rsidR="00D03121" w:rsidRPr="001E14CD" w14:paraId="62AA82FC" w14:textId="77777777" w:rsidTr="00D03121">
        <w:trPr>
          <w:trHeight w:val="1427"/>
        </w:trPr>
        <w:tc>
          <w:tcPr>
            <w:tcW w:w="394" w:type="dxa"/>
            <w:hideMark/>
          </w:tcPr>
          <w:p w14:paraId="35477FEA" w14:textId="77777777" w:rsidR="00D03121" w:rsidRPr="001E14CD" w:rsidRDefault="00D03121" w:rsidP="00D03121">
            <w:pPr>
              <w:spacing w:before="120" w:after="0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GB" w:eastAsia="en-GB"/>
              </w:rPr>
            </w:pPr>
            <w:r w:rsidRPr="001E14CD">
              <w:rPr>
                <w:rFonts w:ascii="Arial" w:hAnsi="Arial" w:cs="Arial"/>
                <w:b/>
                <w:bCs/>
                <w:sz w:val="21"/>
                <w:szCs w:val="21"/>
              </w:rPr>
              <w:lastRenderedPageBreak/>
              <w:t>6</w:t>
            </w:r>
          </w:p>
        </w:tc>
        <w:tc>
          <w:tcPr>
            <w:tcW w:w="2315" w:type="dxa"/>
            <w:hideMark/>
          </w:tcPr>
          <w:p w14:paraId="13030B61" w14:textId="77777777" w:rsidR="00D03121" w:rsidRPr="001E14CD" w:rsidRDefault="00D03121" w:rsidP="00D03121">
            <w:pPr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 w:rsidRPr="001E14CD">
              <w:rPr>
                <w:rFonts w:ascii="Arial" w:hAnsi="Arial" w:cs="Arial"/>
                <w:sz w:val="21"/>
                <w:szCs w:val="21"/>
              </w:rPr>
              <w:t>Rapid advancements in AI algorithms and architectures</w:t>
            </w:r>
          </w:p>
        </w:tc>
        <w:tc>
          <w:tcPr>
            <w:tcW w:w="1661" w:type="dxa"/>
          </w:tcPr>
          <w:p w14:paraId="76D833C5" w14:textId="7822BAAF" w:rsidR="00D03121" w:rsidRPr="001E14CD" w:rsidRDefault="00D03121" w:rsidP="00D03121">
            <w:pPr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>
              <w:t>Responsible adoption of new AI technologies aligned with governance controls</w:t>
            </w:r>
          </w:p>
        </w:tc>
        <w:tc>
          <w:tcPr>
            <w:tcW w:w="2411" w:type="dxa"/>
          </w:tcPr>
          <w:p w14:paraId="5F46FADC" w14:textId="6760CCC0" w:rsidR="00D03121" w:rsidRPr="001E14CD" w:rsidRDefault="00D03121" w:rsidP="00D03121">
            <w:pPr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>
              <w:t>Rapid innovation may outpace governance and risk controls</w:t>
            </w:r>
          </w:p>
        </w:tc>
        <w:tc>
          <w:tcPr>
            <w:tcW w:w="974" w:type="dxa"/>
          </w:tcPr>
          <w:p w14:paraId="4112B226" w14:textId="079BC14A" w:rsidR="00D03121" w:rsidRPr="001E14CD" w:rsidRDefault="00D03121" w:rsidP="00D03121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>
              <w:t>M</w:t>
            </w:r>
          </w:p>
        </w:tc>
        <w:tc>
          <w:tcPr>
            <w:tcW w:w="2605" w:type="dxa"/>
          </w:tcPr>
          <w:p w14:paraId="054928AF" w14:textId="7D52D7B2" w:rsidR="00D03121" w:rsidRPr="001E14CD" w:rsidRDefault="00D03121" w:rsidP="00D03121">
            <w:pPr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  <w:r>
              <w:t>Structured innovation within the AIMS to maintain competitiveness</w:t>
            </w:r>
          </w:p>
        </w:tc>
      </w:tr>
      <w:tr w:rsidR="00D03121" w:rsidRPr="001E14CD" w14:paraId="46054FFF" w14:textId="77777777" w:rsidTr="00D03121">
        <w:trPr>
          <w:trHeight w:val="1427"/>
        </w:trPr>
        <w:tc>
          <w:tcPr>
            <w:tcW w:w="394" w:type="dxa"/>
            <w:hideMark/>
          </w:tcPr>
          <w:p w14:paraId="426FED57" w14:textId="77777777" w:rsidR="00D03121" w:rsidRPr="001E14CD" w:rsidRDefault="00D03121" w:rsidP="00D03121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E14CD">
              <w:rPr>
                <w:rFonts w:ascii="Arial" w:hAnsi="Arial" w:cs="Arial"/>
                <w:b/>
                <w:bCs/>
                <w:sz w:val="20"/>
                <w:szCs w:val="20"/>
              </w:rPr>
              <w:t>#</w:t>
            </w:r>
          </w:p>
        </w:tc>
        <w:tc>
          <w:tcPr>
            <w:tcW w:w="2315" w:type="dxa"/>
            <w:hideMark/>
          </w:tcPr>
          <w:p w14:paraId="5AF0FCBE" w14:textId="77777777" w:rsidR="00D03121" w:rsidRPr="001E14CD" w:rsidRDefault="00D03121" w:rsidP="00D03121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E14CD">
              <w:rPr>
                <w:rFonts w:ascii="Arial" w:hAnsi="Arial" w:cs="Arial"/>
                <w:b/>
                <w:bCs/>
                <w:sz w:val="20"/>
                <w:szCs w:val="20"/>
              </w:rPr>
              <w:t>IP requirements</w:t>
            </w:r>
          </w:p>
        </w:tc>
        <w:tc>
          <w:tcPr>
            <w:tcW w:w="1661" w:type="dxa"/>
            <w:hideMark/>
          </w:tcPr>
          <w:p w14:paraId="6A1CF291" w14:textId="52E2AD09" w:rsidR="00D03121" w:rsidRPr="001E14CD" w:rsidRDefault="00D03121" w:rsidP="00D03121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E14CD">
              <w:rPr>
                <w:rFonts w:ascii="Arial" w:hAnsi="Arial" w:cs="Arial"/>
                <w:b/>
                <w:bCs/>
                <w:sz w:val="20"/>
                <w:szCs w:val="20"/>
              </w:rPr>
              <w:t>Expected results</w:t>
            </w:r>
          </w:p>
        </w:tc>
        <w:tc>
          <w:tcPr>
            <w:tcW w:w="2411" w:type="dxa"/>
            <w:hideMark/>
          </w:tcPr>
          <w:p w14:paraId="739293F1" w14:textId="0A92AA74" w:rsidR="00D03121" w:rsidRPr="001E14CD" w:rsidRDefault="00D03121" w:rsidP="00D03121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E14CD">
              <w:rPr>
                <w:rFonts w:ascii="Arial" w:hAnsi="Arial" w:cs="Arial"/>
                <w:b/>
                <w:bCs/>
                <w:sz w:val="20"/>
                <w:szCs w:val="20"/>
              </w:rPr>
              <w:t>Uncertainty</w:t>
            </w:r>
          </w:p>
        </w:tc>
        <w:tc>
          <w:tcPr>
            <w:tcW w:w="974" w:type="dxa"/>
            <w:hideMark/>
          </w:tcPr>
          <w:p w14:paraId="55AEA785" w14:textId="77777777" w:rsidR="00D03121" w:rsidRPr="001E14CD" w:rsidRDefault="00D03121" w:rsidP="00D03121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E14CD">
              <w:rPr>
                <w:rFonts w:ascii="Arial" w:hAnsi="Arial" w:cs="Arial"/>
                <w:b/>
                <w:bCs/>
                <w:sz w:val="20"/>
                <w:szCs w:val="20"/>
              </w:rPr>
              <w:t>Risk (-</w:t>
            </w:r>
            <w:proofErr w:type="spellStart"/>
            <w:r w:rsidRPr="001E14CD">
              <w:rPr>
                <w:rFonts w:ascii="Arial" w:hAnsi="Arial" w:cs="Arial"/>
                <w:b/>
                <w:bCs/>
                <w:sz w:val="20"/>
                <w:szCs w:val="20"/>
              </w:rPr>
              <w:t>ve</w:t>
            </w:r>
            <w:proofErr w:type="spellEnd"/>
            <w:r w:rsidRPr="001E14CD">
              <w:rPr>
                <w:rFonts w:ascii="Arial" w:hAnsi="Arial" w:cs="Arial"/>
                <w:b/>
                <w:bCs/>
                <w:sz w:val="20"/>
                <w:szCs w:val="20"/>
              </w:rPr>
              <w:t>) H/M/L</w:t>
            </w:r>
          </w:p>
          <w:p w14:paraId="6667A33E" w14:textId="285D794D" w:rsidR="00D03121" w:rsidRPr="001E14CD" w:rsidRDefault="00D03121" w:rsidP="00D03121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E14CD">
              <w:rPr>
                <w:rFonts w:ascii="Arial" w:hAnsi="Arial" w:cs="Arial"/>
                <w:b/>
                <w:bCs/>
                <w:sz w:val="20"/>
                <w:szCs w:val="20"/>
              </w:rPr>
              <w:t>(Effect)</w:t>
            </w:r>
          </w:p>
        </w:tc>
        <w:tc>
          <w:tcPr>
            <w:tcW w:w="2605" w:type="dxa"/>
            <w:hideMark/>
          </w:tcPr>
          <w:p w14:paraId="30EE6E2C" w14:textId="0A9E6A51" w:rsidR="00D03121" w:rsidRPr="001E14CD" w:rsidRDefault="00D03121" w:rsidP="00D03121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E14CD">
              <w:rPr>
                <w:rFonts w:ascii="Arial" w:hAnsi="Arial" w:cs="Arial"/>
                <w:b/>
                <w:bCs/>
                <w:sz w:val="20"/>
                <w:szCs w:val="20"/>
              </w:rPr>
              <w:t>Opportunities</w:t>
            </w:r>
          </w:p>
        </w:tc>
      </w:tr>
      <w:tr w:rsidR="00D03121" w:rsidRPr="001E14CD" w14:paraId="3A73012B" w14:textId="77777777" w:rsidTr="00D03121">
        <w:trPr>
          <w:trHeight w:val="1427"/>
        </w:trPr>
        <w:tc>
          <w:tcPr>
            <w:tcW w:w="394" w:type="dxa"/>
            <w:hideMark/>
          </w:tcPr>
          <w:p w14:paraId="54DAC473" w14:textId="77777777" w:rsidR="00D03121" w:rsidRPr="001E14CD" w:rsidRDefault="00D03121" w:rsidP="00D03121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E14CD">
              <w:rPr>
                <w:rFonts w:ascii="Arial" w:hAnsi="Arial" w:cs="Arial"/>
                <w:b/>
                <w:bCs/>
              </w:rPr>
              <w:t>7</w:t>
            </w:r>
          </w:p>
        </w:tc>
        <w:tc>
          <w:tcPr>
            <w:tcW w:w="2315" w:type="dxa"/>
            <w:hideMark/>
          </w:tcPr>
          <w:p w14:paraId="67AF4F4F" w14:textId="77777777" w:rsidR="00D03121" w:rsidRPr="001E14CD" w:rsidRDefault="00D03121" w:rsidP="00D03121">
            <w:pPr>
              <w:rPr>
                <w:rFonts w:ascii="Arial" w:hAnsi="Arial" w:cs="Arial"/>
                <w:sz w:val="20"/>
                <w:szCs w:val="20"/>
              </w:rPr>
            </w:pPr>
            <w:r w:rsidRPr="001E14CD">
              <w:rPr>
                <w:rFonts w:ascii="Arial" w:hAnsi="Arial" w:cs="Arial"/>
              </w:rPr>
              <w:t>Executive Board</w:t>
            </w:r>
          </w:p>
        </w:tc>
        <w:tc>
          <w:tcPr>
            <w:tcW w:w="1661" w:type="dxa"/>
          </w:tcPr>
          <w:p w14:paraId="4B827A3E" w14:textId="7A616C01" w:rsidR="00D03121" w:rsidRPr="001E14CD" w:rsidRDefault="00D03121" w:rsidP="00D03121">
            <w:pPr>
              <w:rPr>
                <w:rFonts w:ascii="Arial" w:hAnsi="Arial" w:cs="Arial"/>
                <w:sz w:val="20"/>
                <w:szCs w:val="20"/>
              </w:rPr>
            </w:pPr>
            <w:r>
              <w:t>AI initiatives align with business objectives and risk appetite</w:t>
            </w:r>
          </w:p>
        </w:tc>
        <w:tc>
          <w:tcPr>
            <w:tcW w:w="2411" w:type="dxa"/>
          </w:tcPr>
          <w:p w14:paraId="67986F9E" w14:textId="0679669E" w:rsidR="00D03121" w:rsidRPr="001E14CD" w:rsidRDefault="00D03121" w:rsidP="00D03121">
            <w:pPr>
              <w:rPr>
                <w:rFonts w:ascii="Arial" w:hAnsi="Arial" w:cs="Arial"/>
                <w:sz w:val="20"/>
                <w:szCs w:val="20"/>
              </w:rPr>
            </w:pPr>
            <w:r>
              <w:t>Misalignment between strategy and AI risk management</w:t>
            </w:r>
          </w:p>
        </w:tc>
        <w:tc>
          <w:tcPr>
            <w:tcW w:w="974" w:type="dxa"/>
          </w:tcPr>
          <w:p w14:paraId="5DFEEB18" w14:textId="7A625F70" w:rsidR="00D03121" w:rsidRPr="001E14CD" w:rsidRDefault="00D03121" w:rsidP="00D031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t>M</w:t>
            </w:r>
          </w:p>
        </w:tc>
        <w:tc>
          <w:tcPr>
            <w:tcW w:w="2605" w:type="dxa"/>
          </w:tcPr>
          <w:p w14:paraId="178DEABD" w14:textId="2AF433B1" w:rsidR="00D03121" w:rsidRPr="001E14CD" w:rsidRDefault="00D03121" w:rsidP="00D03121">
            <w:pPr>
              <w:rPr>
                <w:rFonts w:ascii="Arial" w:hAnsi="Arial" w:cs="Arial"/>
                <w:sz w:val="20"/>
                <w:szCs w:val="20"/>
              </w:rPr>
            </w:pPr>
            <w:r>
              <w:t>Strengthen executive engagement and AIMS accountability</w:t>
            </w:r>
          </w:p>
        </w:tc>
      </w:tr>
      <w:tr w:rsidR="00D03121" w:rsidRPr="001E14CD" w14:paraId="693DA735" w14:textId="77777777" w:rsidTr="00D03121">
        <w:trPr>
          <w:trHeight w:val="1427"/>
        </w:trPr>
        <w:tc>
          <w:tcPr>
            <w:tcW w:w="394" w:type="dxa"/>
            <w:hideMark/>
          </w:tcPr>
          <w:p w14:paraId="6900A469" w14:textId="77777777" w:rsidR="00D03121" w:rsidRPr="001E14CD" w:rsidRDefault="00D03121" w:rsidP="00D03121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E14CD">
              <w:rPr>
                <w:rFonts w:ascii="Arial" w:hAnsi="Arial" w:cs="Arial"/>
                <w:b/>
                <w:bCs/>
              </w:rPr>
              <w:t>8</w:t>
            </w:r>
          </w:p>
        </w:tc>
        <w:tc>
          <w:tcPr>
            <w:tcW w:w="2315" w:type="dxa"/>
            <w:hideMark/>
          </w:tcPr>
          <w:p w14:paraId="58B04F85" w14:textId="77777777" w:rsidR="00D03121" w:rsidRPr="001E14CD" w:rsidRDefault="00D03121" w:rsidP="00D03121">
            <w:pPr>
              <w:rPr>
                <w:rFonts w:ascii="Arial" w:hAnsi="Arial" w:cs="Arial"/>
                <w:sz w:val="20"/>
                <w:szCs w:val="20"/>
              </w:rPr>
            </w:pPr>
            <w:r w:rsidRPr="001E14CD">
              <w:rPr>
                <w:rFonts w:ascii="Arial" w:hAnsi="Arial" w:cs="Arial"/>
              </w:rPr>
              <w:t>AI Regulators</w:t>
            </w:r>
          </w:p>
        </w:tc>
        <w:tc>
          <w:tcPr>
            <w:tcW w:w="1661" w:type="dxa"/>
          </w:tcPr>
          <w:p w14:paraId="7EE7996C" w14:textId="756FC545" w:rsidR="00D03121" w:rsidRPr="001E14CD" w:rsidRDefault="00D03121" w:rsidP="00D03121">
            <w:pPr>
              <w:rPr>
                <w:rFonts w:ascii="Arial" w:hAnsi="Arial" w:cs="Arial"/>
                <w:sz w:val="20"/>
                <w:szCs w:val="20"/>
              </w:rPr>
            </w:pPr>
            <w:r>
              <w:t>Compliance with applicable AI and data protection regulations</w:t>
            </w:r>
          </w:p>
        </w:tc>
        <w:tc>
          <w:tcPr>
            <w:tcW w:w="2411" w:type="dxa"/>
          </w:tcPr>
          <w:p w14:paraId="15F5CAF5" w14:textId="5BEFDC34" w:rsidR="00D03121" w:rsidRPr="001E14CD" w:rsidRDefault="00D03121" w:rsidP="00D03121">
            <w:pPr>
              <w:rPr>
                <w:rFonts w:ascii="Arial" w:hAnsi="Arial" w:cs="Arial"/>
                <w:sz w:val="20"/>
                <w:szCs w:val="20"/>
              </w:rPr>
            </w:pPr>
            <w:r>
              <w:t>Regulatory changes or differing interpretations impacting compliance</w:t>
            </w:r>
          </w:p>
        </w:tc>
        <w:tc>
          <w:tcPr>
            <w:tcW w:w="974" w:type="dxa"/>
          </w:tcPr>
          <w:p w14:paraId="1177E343" w14:textId="1BDFA5B6" w:rsidR="00D03121" w:rsidRPr="001E14CD" w:rsidRDefault="00D03121" w:rsidP="00D031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t>H</w:t>
            </w:r>
          </w:p>
        </w:tc>
        <w:tc>
          <w:tcPr>
            <w:tcW w:w="2605" w:type="dxa"/>
          </w:tcPr>
          <w:p w14:paraId="3F56350A" w14:textId="6DE50364" w:rsidR="00D03121" w:rsidRPr="001E14CD" w:rsidRDefault="00D03121" w:rsidP="00D03121">
            <w:pPr>
              <w:rPr>
                <w:rFonts w:ascii="Arial" w:hAnsi="Arial" w:cs="Arial"/>
                <w:sz w:val="20"/>
                <w:szCs w:val="20"/>
              </w:rPr>
            </w:pPr>
            <w:r>
              <w:t>Proactive regulatory monitoring and compliance integration</w:t>
            </w:r>
          </w:p>
        </w:tc>
      </w:tr>
      <w:tr w:rsidR="00D03121" w:rsidRPr="001E14CD" w14:paraId="7B32DCA0" w14:textId="77777777" w:rsidTr="00D03121">
        <w:trPr>
          <w:trHeight w:val="556"/>
        </w:trPr>
        <w:tc>
          <w:tcPr>
            <w:tcW w:w="394" w:type="dxa"/>
            <w:hideMark/>
          </w:tcPr>
          <w:p w14:paraId="7D448FA4" w14:textId="77777777" w:rsidR="00D03121" w:rsidRPr="001E14CD" w:rsidRDefault="00D03121" w:rsidP="00D03121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E14CD">
              <w:rPr>
                <w:rFonts w:ascii="Arial" w:hAnsi="Arial" w:cs="Arial"/>
                <w:b/>
                <w:bCs/>
              </w:rPr>
              <w:t>9</w:t>
            </w:r>
          </w:p>
        </w:tc>
        <w:tc>
          <w:tcPr>
            <w:tcW w:w="2315" w:type="dxa"/>
            <w:hideMark/>
          </w:tcPr>
          <w:p w14:paraId="4A477C4A" w14:textId="77777777" w:rsidR="00D03121" w:rsidRPr="001E14CD" w:rsidRDefault="00D03121" w:rsidP="00D03121">
            <w:pPr>
              <w:rPr>
                <w:rFonts w:ascii="Arial" w:hAnsi="Arial" w:cs="Arial"/>
                <w:sz w:val="20"/>
                <w:szCs w:val="20"/>
              </w:rPr>
            </w:pPr>
            <w:r w:rsidRPr="001E14CD">
              <w:rPr>
                <w:rFonts w:ascii="Arial" w:hAnsi="Arial" w:cs="Arial"/>
              </w:rPr>
              <w:t>AI Customers/End-users</w:t>
            </w:r>
          </w:p>
        </w:tc>
        <w:tc>
          <w:tcPr>
            <w:tcW w:w="1661" w:type="dxa"/>
          </w:tcPr>
          <w:p w14:paraId="33780A82" w14:textId="05C01016" w:rsidR="00D03121" w:rsidRPr="001E14CD" w:rsidRDefault="00D03121" w:rsidP="00D03121">
            <w:pPr>
              <w:rPr>
                <w:rFonts w:ascii="Arial" w:hAnsi="Arial" w:cs="Arial"/>
                <w:sz w:val="20"/>
                <w:szCs w:val="20"/>
              </w:rPr>
            </w:pPr>
            <w:r>
              <w:t>Trustworthy, fair, and secure AI services</w:t>
            </w:r>
          </w:p>
        </w:tc>
        <w:tc>
          <w:tcPr>
            <w:tcW w:w="2411" w:type="dxa"/>
          </w:tcPr>
          <w:p w14:paraId="1F37FF16" w14:textId="3435E01A" w:rsidR="00D03121" w:rsidRPr="001E14CD" w:rsidRDefault="00D03121" w:rsidP="00D03121">
            <w:pPr>
              <w:rPr>
                <w:rFonts w:ascii="Arial" w:hAnsi="Arial" w:cs="Arial"/>
                <w:sz w:val="20"/>
                <w:szCs w:val="20"/>
              </w:rPr>
            </w:pPr>
            <w:r>
              <w:t>Loss of customer trust due to AI bias, errors, or opacity</w:t>
            </w:r>
          </w:p>
        </w:tc>
        <w:tc>
          <w:tcPr>
            <w:tcW w:w="974" w:type="dxa"/>
          </w:tcPr>
          <w:p w14:paraId="4241AB03" w14:textId="11E3238F" w:rsidR="00D03121" w:rsidRPr="001E14CD" w:rsidRDefault="00D03121" w:rsidP="00D031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t>M</w:t>
            </w:r>
          </w:p>
        </w:tc>
        <w:tc>
          <w:tcPr>
            <w:tcW w:w="2605" w:type="dxa"/>
          </w:tcPr>
          <w:p w14:paraId="6C4A5885" w14:textId="51D7DDD2" w:rsidR="00D03121" w:rsidRPr="001E14CD" w:rsidRDefault="00D03121" w:rsidP="00D03121">
            <w:pPr>
              <w:rPr>
                <w:rFonts w:ascii="Arial" w:hAnsi="Arial" w:cs="Arial"/>
                <w:sz w:val="20"/>
                <w:szCs w:val="20"/>
              </w:rPr>
            </w:pPr>
            <w:r>
              <w:t>Differentiate through responsible and transparent AI practices</w:t>
            </w:r>
          </w:p>
        </w:tc>
      </w:tr>
    </w:tbl>
    <w:p w14:paraId="6946DF22" w14:textId="77777777" w:rsidR="000E108F" w:rsidRPr="001E14CD" w:rsidRDefault="000E108F" w:rsidP="000E108F">
      <w:pPr>
        <w:rPr>
          <w:rFonts w:ascii="Arial" w:hAnsi="Arial" w:cs="Arial"/>
          <w:sz w:val="20"/>
          <w:szCs w:val="20"/>
        </w:rPr>
      </w:pPr>
    </w:p>
    <w:p w14:paraId="5EEB02AD" w14:textId="77777777" w:rsidR="000E108F" w:rsidRPr="001E14CD" w:rsidRDefault="000E108F" w:rsidP="000E108F">
      <w:pPr>
        <w:rPr>
          <w:rFonts w:ascii="Arial" w:hAnsi="Arial" w:cs="Arial"/>
          <w:sz w:val="20"/>
          <w:szCs w:val="20"/>
        </w:rPr>
      </w:pPr>
      <w:r w:rsidRPr="001E14CD">
        <w:rPr>
          <w:rFonts w:ascii="Arial" w:hAnsi="Arial" w:cs="Arial"/>
          <w:sz w:val="20"/>
          <w:szCs w:val="20"/>
        </w:rPr>
        <w:t xml:space="preserve">*Risk (Effect) could be purely a description rather than a H, M, L. </w:t>
      </w:r>
    </w:p>
    <w:p w14:paraId="78D29331" w14:textId="77777777" w:rsidR="000E108F" w:rsidRPr="001E14CD" w:rsidRDefault="000E108F" w:rsidP="000E108F">
      <w:pPr>
        <w:rPr>
          <w:rFonts w:ascii="Arial" w:hAnsi="Arial" w:cs="Arial"/>
          <w:sz w:val="20"/>
          <w:szCs w:val="20"/>
        </w:rPr>
      </w:pPr>
      <w:r w:rsidRPr="001E14CD">
        <w:rPr>
          <w:rFonts w:ascii="Arial" w:hAnsi="Arial" w:cs="Arial"/>
          <w:sz w:val="20"/>
          <w:szCs w:val="20"/>
        </w:rPr>
        <w:t>If H, M, L is used then a description as to what constitutes this would be necessary.</w:t>
      </w:r>
    </w:p>
    <w:p w14:paraId="4165B1AB" w14:textId="77777777" w:rsidR="000E108F" w:rsidRPr="001E14CD" w:rsidRDefault="000E108F" w:rsidP="000E108F">
      <w:pPr>
        <w:rPr>
          <w:rFonts w:ascii="Arial" w:hAnsi="Arial" w:cs="Arial"/>
          <w:sz w:val="20"/>
          <w:szCs w:val="20"/>
        </w:rPr>
      </w:pPr>
      <w:r w:rsidRPr="001E14CD">
        <w:rPr>
          <w:rFonts w:ascii="Arial" w:hAnsi="Arial" w:cs="Arial"/>
          <w:sz w:val="20"/>
          <w:szCs w:val="20"/>
        </w:rPr>
        <w:t>A simple combination of likelihood and consequence is equally valid, to derive risk.</w:t>
      </w:r>
    </w:p>
    <w:p w14:paraId="268780FE" w14:textId="4DD48AC4" w:rsidR="00451445" w:rsidRPr="000E108F" w:rsidRDefault="000E108F">
      <w:pPr>
        <w:rPr>
          <w:rFonts w:ascii="Arial" w:hAnsi="Arial" w:cs="Arial"/>
          <w:sz w:val="20"/>
          <w:szCs w:val="20"/>
        </w:rPr>
      </w:pPr>
      <w:r w:rsidRPr="001E14CD">
        <w:rPr>
          <w:rFonts w:ascii="Arial" w:hAnsi="Arial" w:cs="Arial"/>
          <w:sz w:val="20"/>
          <w:szCs w:val="20"/>
        </w:rPr>
        <w:t>Your tutor will review any opportunities (not deriving from a negative effect) that you may have identified, and its associated risk.</w:t>
      </w:r>
    </w:p>
    <w:sectPr w:rsidR="00451445" w:rsidRPr="000E10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ans">
    <w:charset w:val="00"/>
    <w:family w:val="swiss"/>
    <w:pitch w:val="variable"/>
    <w:sig w:usb0="E00082FF" w:usb1="400078FF" w:usb2="0000002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108F"/>
    <w:rsid w:val="000E108F"/>
    <w:rsid w:val="000E24E8"/>
    <w:rsid w:val="00255FCD"/>
    <w:rsid w:val="00451445"/>
    <w:rsid w:val="00510E72"/>
    <w:rsid w:val="0053128D"/>
    <w:rsid w:val="006F58DA"/>
    <w:rsid w:val="0098729C"/>
    <w:rsid w:val="00A530FA"/>
    <w:rsid w:val="00D031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6B276E"/>
  <w15:chartTrackingRefBased/>
  <w15:docId w15:val="{BD4C782B-5953-4BFB-90FB-9CE065F1A8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108F"/>
    <w:pPr>
      <w:spacing w:after="120" w:line="240" w:lineRule="auto"/>
    </w:pPr>
    <w:rPr>
      <w:rFonts w:ascii="Tahoma" w:eastAsia="Calibri" w:hAnsi="Tahoma" w:cs="Times New Roman"/>
      <w:kern w:val="0"/>
      <w:lang w:val="en-US"/>
      <w14:ligatures w14:val="none"/>
    </w:rPr>
  </w:style>
  <w:style w:type="paragraph" w:styleId="Heading1">
    <w:name w:val="heading 1"/>
    <w:aliases w:val="Heading 1-BSI"/>
    <w:basedOn w:val="Normal"/>
    <w:next w:val="Normal"/>
    <w:link w:val="Heading1Char"/>
    <w:uiPriority w:val="1"/>
    <w:qFormat/>
    <w:rsid w:val="000E10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aliases w:val="Heading 2-BSI"/>
    <w:basedOn w:val="Normal"/>
    <w:next w:val="Normal"/>
    <w:link w:val="Heading2Char"/>
    <w:uiPriority w:val="1"/>
    <w:unhideWhenUsed/>
    <w:qFormat/>
    <w:rsid w:val="000E10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aliases w:val="Heading 3-BSI"/>
    <w:basedOn w:val="Normal"/>
    <w:next w:val="Normal"/>
    <w:link w:val="Heading3Char"/>
    <w:uiPriority w:val="1"/>
    <w:unhideWhenUsed/>
    <w:qFormat/>
    <w:rsid w:val="000E10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10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10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10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10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10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10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Heading 1-BSI Char"/>
    <w:basedOn w:val="DefaultParagraphFont"/>
    <w:link w:val="Heading1"/>
    <w:uiPriority w:val="1"/>
    <w:rsid w:val="000E10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aliases w:val="Heading 2-BSI Char"/>
    <w:basedOn w:val="DefaultParagraphFont"/>
    <w:link w:val="Heading2"/>
    <w:uiPriority w:val="9"/>
    <w:semiHidden/>
    <w:rsid w:val="000E10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aliases w:val="Heading 3-BSI Char"/>
    <w:basedOn w:val="DefaultParagraphFont"/>
    <w:link w:val="Heading3"/>
    <w:uiPriority w:val="9"/>
    <w:semiHidden/>
    <w:rsid w:val="000E10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10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10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10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10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10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10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108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10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10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10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10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10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10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10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10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10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108F"/>
    <w:rPr>
      <w:b/>
      <w:bCs/>
      <w:smallCaps/>
      <w:color w:val="0F4761" w:themeColor="accent1" w:themeShade="BF"/>
      <w:spacing w:val="5"/>
    </w:rPr>
  </w:style>
  <w:style w:type="table" w:styleId="TableGridLight">
    <w:name w:val="Grid Table Light"/>
    <w:basedOn w:val="TableNormal"/>
    <w:uiPriority w:val="40"/>
    <w:rsid w:val="000E108F"/>
    <w:pPr>
      <w:spacing w:after="0" w:line="240" w:lineRule="auto"/>
    </w:pPr>
    <w:rPr>
      <w:rFonts w:ascii="Arial" w:eastAsia="Calibri" w:hAnsi="Arial" w:cs="Times New Roman"/>
      <w:kern w:val="0"/>
      <w:sz w:val="20"/>
      <w:szCs w:val="20"/>
      <w:lang w:val="en-US"/>
      <w14:ligatures w14:val="none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Grid">
    <w:name w:val="Table Grid"/>
    <w:basedOn w:val="TableNormal"/>
    <w:uiPriority w:val="39"/>
    <w:rsid w:val="000E108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2</Pages>
  <Words>420</Words>
  <Characters>2532</Characters>
  <Application>Microsoft Office Word</Application>
  <DocSecurity>0</DocSecurity>
  <Lines>198</Lines>
  <Paragraphs>80</Paragraphs>
  <ScaleCrop>false</ScaleCrop>
  <Company/>
  <LinksUpToDate>false</LinksUpToDate>
  <CharactersWithSpaces>2873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Meghna Taneja</dc:creator>
  <cp:keywords/>
  <dc:description/>
  <cp:lastModifiedBy>Meghna Taneja</cp:lastModifiedBy>
  <cp:revision>7</cp:revision>
  <dcterms:created xsi:type="dcterms:W3CDTF">2026-04-07T07:39:00Z</dcterms:created>
  <dcterms:modified xsi:type="dcterms:W3CDTF">2026-04-07T08:35:00Z</dcterms:modified>
</cp:coreProperties>
</file>