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52"/>
          <w:szCs w:val="52"/>
        </w:rPr>
        <w:t xml:space="preserve">What Drives Efficiency in Generative AI Inference?</w:t>
      </w:r>
    </w:p>
    <w:p>
      <w:pPr>
        <w:spacing w:after="80"/>
        <w:jc w:val="center"/>
      </w:pPr>
      <w:r>
        <w:rPr>
          <w:rFonts w:ascii="Arial" w:cs="Arial" w:eastAsia="Arial" w:hAnsi="Arial"/>
          <w:i/>
          <w:iCs/>
          <w:color w:val="2E75B6"/>
          <w:sz w:val="26"/>
          <w:szCs w:val="26"/>
        </w:rPr>
        <w:t xml:space="preserve">A Practitioner's Decision Guide: Architecture, Hardware, and Quantization for LLMs and Diffusion Models</w:t>
      </w:r>
    </w:p>
    <w:p>
      <w:pPr>
        <w:spacing w:after="60"/>
        <w:jc w:val="center"/>
      </w:pPr>
      <w:r>
        <w:rPr>
          <w:rFonts w:ascii="Arial" w:cs="Arial" w:eastAsia="Arial" w:hAnsi="Arial"/>
          <w:color w:val="546E7A"/>
          <w:sz w:val="20"/>
          <w:szCs w:val="20"/>
        </w:rPr>
        <w:t xml:space="preserve">Vrathik Shenoy K  |  Nitte Institute of Professional Education, Mangalore  |  March 2026</w:t>
      </w:r>
    </w:p>
    <w:p>
      <w:pPr>
        <w:pBdr>
          <w:bottom w:val="single" w:color="2E75B6" w:sz="8" w:space="1"/>
        </w:pBdr>
        <w:spacing w:after="3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BBBB" w:sz="1"/>
              <w:left w:val="single" w:color="BBBBBB" w:sz="1"/>
              <w:bottom w:val="single" w:color="BBBBBB" w:sz="1"/>
              <w:right w:val="single" w:color="BBBBBB" w:sz="1"/>
            </w:tcBorders>
            <w:shd w:fill="E3F2FD" w:val="clear"/>
            <w:tcMar>
              <w:top w:type="dxa" w:w="120"/>
              <w:left w:type="dxa" w:w="200"/>
              <w:bottom w:type="dxa" w:w="120"/>
              <w:right w:type="dxa" w:w="200"/>
            </w:tcMar>
          </w:tcPr>
          <w:p>
            <w:pPr>
              <w:spacing w:after="60"/>
            </w:pPr>
            <w:r>
              <w:rPr>
                <w:rFonts w:ascii="Arial" w:cs="Arial" w:eastAsia="Arial" w:hAnsi="Arial"/>
                <w:b/>
                <w:bCs/>
                <w:color w:val="1F4E79"/>
                <w:sz w:val="20"/>
                <w:szCs w:val="20"/>
              </w:rPr>
              <w:t xml:space="preserve">Table Legend</w:t>
            </w:r>
          </w:p>
          <w:p>
            <w:r>
              <w:rPr>
                <w:rFonts w:ascii="Arial" w:cs="Arial" w:eastAsia="Arial" w:hAnsi="Arial"/>
                <w:color w:val="222222"/>
                <w:sz w:val="18"/>
                <w:szCs w:val="18"/>
              </w:rPr>
              <w:t xml:space="preserve">★ = New data added from March 2026 update (GLM-5, MiniMax M2.5, LFM2-24B-A2B, Qwen3-30B-A3B, DeepSeek V3, Z-Image/Turbo, Flux 1.1 Pro Ultra, GLM-Image, Blackwell/GB300, Ironwood, Cerebras CS-3, AMD MI325X). est.* = energy estimated from active-parameter scaling ratios (no direct measurement available at publication; treat as indicative). Highlighted rows in orange = new 2025–2026 models. Purple = frontier-scale new models. Source URLs listed per table.</w:t>
            </w:r>
          </w:p>
        </w:tc>
      </w:tr>
    </w:tbl>
    <w:p>
      <w:pPr>
        <w:spacing w:after="160"/>
      </w:pPr>
      <w:r>
        <w:t xml:space="preserve"/>
      </w:r>
    </w:p>
    <w:p>
      <w:pPr>
        <w:spacing w:before="280" w:after="120"/>
      </w:pPr>
      <w:r>
        <w:rPr>
          <w:rFonts w:ascii="Arial" w:cs="Arial" w:eastAsia="Arial" w:hAnsi="Arial"/>
          <w:b/>
          <w:bCs/>
          <w:color w:val="1F4E79"/>
          <w:sz w:val="28"/>
          <w:szCs w:val="28"/>
        </w:rPr>
        <w:t xml:space="preserve">Abstract</w:t>
      </w:r>
    </w:p>
    <w:p>
      <w:pPr>
        <w:spacing w:after="140"/>
      </w:pPr>
      <w:r>
        <w:rPr>
          <w:rFonts w:ascii="Arial" w:cs="Arial" w:eastAsia="Arial" w:hAnsi="Arial"/>
          <w:sz w:val="20"/>
          <w:szCs w:val="20"/>
        </w:rPr>
        <w:t xml:space="preserve">Generative AI inference is among the fastest-growing contributors to global data-centre energy consumption. This paper delivers hardware-specific guidance on which models to deploy, at what precision, and on which GPU. We systematically benchmark large language models—including LLaMA 3, GLM-4.5-Flash, Qwen2.5/3, DeepSeek-R1/V3, GLM-5, MiniMax M2.5, and LFM2-24B-A2B—alongside diffusion image generation models—Stable Diffusion, Flux Dev/Schnell/1.1 Pro Ultra, Flash SD3, Z-Image/Turbo, Qwen-Image-2.0, Qwen-Image-Edit-2511, and GLM-Image—across NVIDIA RTX 4090, A100/H100, and next-generation Blackwell hardware. We extend our analysis to include emerging AI accelerators (Google Ironwood TPU v7, Cerebras CS-3, AMD MI325X). Key findings: (1) extreme sparsity in the latest MoE models (4.3–5.9% active parameters) suggests 10–20× theoretical energy savings over dense equivalents; (2) step-distillation in new diffusion models (Z-Image-Turbo, Qwen-Image-Edit-2511 Lightning at 4 steps) confirms that reducing steps outperforms quantization; (3) NVIDIA Blackwell GB300 achieves 50× throughput/MW versus Hopper H100; (4) Qwen-Image-2.0 achieves 65% fewer parameters than its predecessor while topping AI Arena ELO for both generation and editing, demonstrating that architectural efficiency gains apply equally to diffusion models; and (5) LFM2-24B-A2B opens edge CPU inference as a new deployment tier.</w:t>
      </w:r>
    </w:p>
    <w:p>
      <w:pPr>
        <w:spacing w:after="140"/>
      </w:pPr>
      <w:r>
        <w:rPr>
          <w:rFonts w:ascii="Arial" w:cs="Arial" w:eastAsia="Arial" w:hAnsi="Arial"/>
          <w:i/>
          <w:iCs/>
          <w:color w:val="546E7A"/>
          <w:sz w:val="20"/>
          <w:szCs w:val="20"/>
        </w:rPr>
        <w:t xml:space="preserve">Keywords: Generative AI, Energy Efficiency, LLM Inference, Diffusion Models, Quantization, Sparse MoE, Green AI, Blackwell, Z-Image, LFM2</w:t>
      </w:r>
    </w:p>
    <w:p>
      <w:pPr>
        <w:spacing w:after="160"/>
      </w:pPr>
      <w:r>
        <w:t xml:space="preserve"/>
      </w:r>
    </w:p>
    <w:p>
      <w:pPr>
        <w:pBdr>
          <w:bottom w:val="single" w:color="2E75B6" w:sz="4" w:space="1"/>
        </w:pBdr>
        <w:spacing w:before="360" w:after="160"/>
      </w:pPr>
      <w:r>
        <w:rPr>
          <w:rFonts w:ascii="Arial" w:cs="Arial" w:eastAsia="Arial" w:hAnsi="Arial"/>
          <w:b/>
          <w:bCs/>
          <w:color w:val="1F4E79"/>
          <w:sz w:val="40"/>
          <w:szCs w:val="40"/>
        </w:rPr>
        <w:t xml:space="preserve">1.  Introduction</w:t>
      </w:r>
    </w:p>
    <w:p>
      <w:pPr>
        <w:spacing w:before="280" w:after="120"/>
      </w:pPr>
      <w:r>
        <w:rPr>
          <w:rFonts w:ascii="Arial" w:cs="Arial" w:eastAsia="Arial" w:hAnsi="Arial"/>
          <w:b/>
          <w:bCs/>
          <w:color w:val="1F4E79"/>
          <w:sz w:val="28"/>
          <w:szCs w:val="28"/>
        </w:rPr>
        <w:t xml:space="preserve">1.1  Motivation</w:t>
      </w:r>
    </w:p>
    <w:p>
      <w:pPr>
        <w:spacing w:after="140"/>
      </w:pPr>
      <w:r>
        <w:rPr>
          <w:rFonts w:ascii="Arial" w:cs="Arial" w:eastAsia="Arial" w:hAnsi="Arial"/>
          <w:sz w:val="20"/>
          <w:szCs w:val="20"/>
        </w:rPr>
        <w:t xml:space="preserve">Each query to a 70B dense LLM consumes approximately 9.7 Wh. Across billions of daily queries, this aggregates into a material fraction of global electricity demand—US data centres consumed 183 TWh in 2024, projected to reach 426 TWh by 2030. This paper answers the most practical question facing ML engineers and researchers today: for a given task, hardware, and energy budget, which model and configuration should I deploy?</w:t>
      </w:r>
    </w:p>
    <w:p>
      <w:pPr>
        <w:spacing w:after="140"/>
      </w:pPr>
      <w:r>
        <w:rPr>
          <w:rFonts w:ascii="Arial" w:cs="Arial" w:eastAsia="Arial" w:hAnsi="Arial"/>
          <w:sz w:val="20"/>
          <w:szCs w:val="20"/>
        </w:rPr>
        <w:t xml:space="preserve">Since the original benchmarking in this paper (2023–2025), the model and hardware landscape has advanced substantially. New MoE LLMs activate as little as 4.3% of parameters per token (MiniMax M2.5), hybrid non-Transformer architectures run 112 tok/s on CPU (LFM2-24B-A2B), and NVIDIA's Blackwell GB300 achieves 50× throughput/MW versus Hopper. These developments reinforce and extend every major conclusion of this paper, which are now supported by a broader and more recent evidence base.</w:t>
      </w:r>
    </w:p>
    <w:p>
      <w:pPr>
        <w:spacing w:before="280" w:after="120"/>
      </w:pPr>
      <w:r>
        <w:rPr>
          <w:rFonts w:ascii="Arial" w:cs="Arial" w:eastAsia="Arial" w:hAnsi="Arial"/>
          <w:b/>
          <w:bCs/>
          <w:color w:val="1F4E79"/>
          <w:sz w:val="28"/>
          <w:szCs w:val="28"/>
        </w:rPr>
        <w:t xml:space="preserve">1.2  Research Questions</w:t>
      </w:r>
    </w:p>
    <w:p>
      <w:pPr>
        <w:spacing w:after="140"/>
      </w:pPr>
      <w:r>
        <w:rPr>
          <w:rFonts w:ascii="Arial" w:cs="Arial" w:eastAsia="Arial" w:hAnsi="Arial"/>
          <w:sz w:val="20"/>
          <w:szCs w:val="20"/>
        </w:rPr>
        <w:t xml:space="preserve">This study answers five questions:</w:t>
      </w:r>
    </w:p>
    <w:p>
      <w:pPr>
        <w:pStyle w:val="ListParagraph"/>
        <w:numPr>
          <w:ilvl w:val="0"/>
          <w:numId w:val="2"/>
        </w:numPr>
        <w:spacing w:after="100"/>
      </w:pPr>
      <w:r>
        <w:rPr>
          <w:rFonts w:ascii="Arial" w:cs="Arial" w:eastAsia="Arial" w:hAnsi="Arial"/>
          <w:sz w:val="20"/>
          <w:szCs w:val="20"/>
        </w:rPr>
        <w:t xml:space="preserve">How do INT8, INT4, FP8, and GGUF quantization affect inference energy and quality for LLMs and diffusion models across RTX 4090 and A100/H100 hardware?</w:t>
      </w:r>
    </w:p>
    <w:p>
      <w:pPr>
        <w:pStyle w:val="ListParagraph"/>
        <w:numPr>
          <w:ilvl w:val="0"/>
          <w:numId w:val="2"/>
        </w:numPr>
        <w:spacing w:after="100"/>
      </w:pPr>
      <w:r>
        <w:rPr>
          <w:rFonts w:ascii="Arial" w:cs="Arial" w:eastAsia="Arial" w:hAnsi="Arial"/>
          <w:sz w:val="20"/>
          <w:szCs w:val="20"/>
        </w:rPr>
        <w:t xml:space="preserve">Do sparse MoE architectures—now including GLM-5 (5.9% active), MiniMax M2.5 (4.3% active), and LFM2-24B-A2B (8.3% active)—provide measurably lower energy per token than dense equivalents?</w:t>
      </w:r>
    </w:p>
    <w:p>
      <w:pPr>
        <w:pStyle w:val="ListParagraph"/>
        <w:numPr>
          <w:ilvl w:val="0"/>
          <w:numId w:val="2"/>
        </w:numPr>
        <w:spacing w:after="100"/>
      </w:pPr>
      <w:r>
        <w:rPr>
          <w:rFonts w:ascii="Arial" w:cs="Arial" w:eastAsia="Arial" w:hAnsi="Arial"/>
          <w:sz w:val="20"/>
          <w:szCs w:val="20"/>
        </w:rPr>
        <w:t xml:space="preserve">Under what conditions does quantization paradoxically increase inference energy, and how is this resolved by new distillation-based models like Z-Image-Turbo?</w:t>
      </w:r>
    </w:p>
    <w:p>
      <w:pPr>
        <w:pStyle w:val="ListParagraph"/>
        <w:numPr>
          <w:ilvl w:val="0"/>
          <w:numId w:val="2"/>
        </w:numPr>
        <w:spacing w:after="100"/>
      </w:pPr>
      <w:r>
        <w:rPr>
          <w:rFonts w:ascii="Arial" w:cs="Arial" w:eastAsia="Arial" w:hAnsi="Arial"/>
          <w:sz w:val="20"/>
          <w:szCs w:val="20"/>
        </w:rPr>
        <w:t xml:space="preserve">How does inference step count in diffusion models compare to quantization as an energy lever, as confirmed by Z-Image-Turbo (8 steps) and Flux Schnell (4 steps)?</w:t>
      </w:r>
    </w:p>
    <w:p>
      <w:pPr>
        <w:pStyle w:val="ListParagraph"/>
        <w:numPr>
          <w:ilvl w:val="0"/>
          <w:numId w:val="2"/>
        </w:numPr>
        <w:spacing w:after="100"/>
      </w:pPr>
      <w:r>
        <w:rPr>
          <w:rFonts w:ascii="Arial" w:cs="Arial" w:eastAsia="Arial" w:hAnsi="Arial"/>
          <w:sz w:val="20"/>
          <w:szCs w:val="20"/>
        </w:rPr>
        <w:t xml:space="preserve">Given (1)–(4), what are concrete model, hardware, and quantization recommendations across RTX 4090, A100/H100, and emerging Blackwell-class accelerators?</w:t>
      </w:r>
    </w:p>
    <w:p>
      <w:pPr>
        <w:spacing w:after="160"/>
      </w:pPr>
      <w:r>
        <w:t xml:space="preserve"/>
      </w:r>
    </w:p>
    <w:p>
      <w:pPr>
        <w:pBdr>
          <w:bottom w:val="single" w:color="2E75B6" w:sz="4" w:space="1"/>
        </w:pBdr>
        <w:spacing w:before="360" w:after="160"/>
      </w:pPr>
      <w:r>
        <w:rPr>
          <w:rFonts w:ascii="Arial" w:cs="Arial" w:eastAsia="Arial" w:hAnsi="Arial"/>
          <w:b/>
          <w:bCs/>
          <w:color w:val="1F4E79"/>
          <w:sz w:val="40"/>
          <w:szCs w:val="40"/>
        </w:rPr>
        <w:t xml:space="preserve">2.  Literature Review</w:t>
      </w:r>
    </w:p>
    <w:p>
      <w:pPr>
        <w:spacing w:before="280" w:after="120"/>
      </w:pPr>
      <w:r>
        <w:rPr>
          <w:rFonts w:ascii="Arial" w:cs="Arial" w:eastAsia="Arial" w:hAnsi="Arial"/>
          <w:b/>
          <w:bCs/>
          <w:color w:val="1F4E79"/>
          <w:sz w:val="28"/>
          <w:szCs w:val="28"/>
        </w:rPr>
        <w:t xml:space="preserve">2.1  The Energy Cost of Scale</w:t>
      </w:r>
    </w:p>
    <w:p>
      <w:pPr>
        <w:spacing w:after="140"/>
      </w:pPr>
      <w:r>
        <w:rPr>
          <w:rFonts w:ascii="Arial" w:cs="Arial" w:eastAsia="Arial" w:hAnsi="Arial"/>
          <w:sz w:val="20"/>
          <w:szCs w:val="20"/>
        </w:rPr>
        <w:t xml:space="preserve">Samsi et al. (2023) established the foundational energy baseline: 3–4 J/token for LLaMA-65B on A100 GPUs. Hardware advances have since reduced this dramatically—Lin (2025) measured 0.39 J/token for LLaMA 3-70B at FP8 on H100 at high concurrency, a 10× improvement. NVIDIA's Blackwell B200 further reduces this to approximately 0.4 J/token for DeepSeek-R1 (25× better than H100), with GB300 projected at 0.2 J/token (50× better).</w:t>
      </w:r>
    </w:p>
    <w:p>
      <w:pPr>
        <w:spacing w:after="140"/>
      </w:pPr>
      <w:r>
        <w:rPr>
          <w:rFonts w:ascii="Arial" w:cs="Arial" w:eastAsia="Arial" w:hAnsi="Arial"/>
          <w:sz w:val="20"/>
          <w:szCs w:val="20"/>
        </w:rPr>
        <w:t xml:space="preserve">Luccioni (2025) established the architectural baseline: GPT-OSS-20B MoE consumed 2.0 Wh/100 tokens versus 9.7 Wh for LLaMA-3.1-70B. The latest MoE models—GLM-5 (5.9% active), MiniMax M2.5 (4.3% active), DeepSeek V3 (5.4% active)—activate a smaller fraction of parameters than GPT-OSS-20B (17.2%), suggesting even greater energy advantages that have not yet been directly measured at comparable scale.</w:t>
      </w:r>
    </w:p>
    <w:p>
      <w:pPr>
        <w:spacing w:before="280" w:after="120"/>
      </w:pPr>
      <w:r>
        <w:rPr>
          <w:rFonts w:ascii="Arial" w:cs="Arial" w:eastAsia="Arial" w:hAnsi="Arial"/>
          <w:b/>
          <w:bCs/>
          <w:color w:val="1F4E79"/>
          <w:sz w:val="28"/>
          <w:szCs w:val="28"/>
        </w:rPr>
        <w:t xml:space="preserve">2.2  New Architectural Paradigms (2025–2026)</w:t>
      </w:r>
    </w:p>
    <w:p>
      <w:pPr>
        <w:spacing w:after="140"/>
      </w:pPr>
      <w:r>
        <w:rPr>
          <w:rFonts w:ascii="Arial" w:cs="Arial" w:eastAsia="Arial" w:hAnsi="Arial"/>
          <w:sz w:val="20"/>
          <w:szCs w:val="20"/>
        </w:rPr>
        <w:t xml:space="preserve">Three architectural developments since the original paper substantially extend the findings. First, GLM-5 (Zhipu AI, Feb 2026) deploys a 744B-parameter MoE with only 40B active per token across 256 experts, combined with DeepSeek Sparse Attention (DSA) and Multi-head Latent Attention (MLA), reducing compute by approximately 95% per token versus a comparably-sized dense model. Second, LFM2-24B-A2B (Liquid AI, 2025) introduces a hybrid non-Transformer architecture that achieves 112 tok/s on an AMD Ryzen AI Max+ 395 CPU and 293 tok/s on a single H100, with only 2B active parameters from 24B total—demonstrating that the Transformer is not the only viable architecture for efficient large-model inference. Third, Qwen3-30B-A3B (Alibaba, April 2025) achieves 73 tok/s on an RTX 3090 and &gt;100 tok/s on Apple M4 Max (Q4, MLX), expanding the frontier of consumer-hardware inference.</w:t>
      </w:r>
    </w:p>
    <w:p>
      <w:pPr>
        <w:spacing w:after="140"/>
      </w:pPr>
      <w:r>
        <w:rPr>
          <w:rFonts w:ascii="Arial" w:cs="Arial" w:eastAsia="Arial" w:hAnsi="Arial"/>
          <w:sz w:val="20"/>
          <w:szCs w:val="20"/>
        </w:rPr>
        <w:t xml:space="preserve">In diffusion models, Alibaba's Z-Image-Turbo (2025) introduces a distilled S3-DiT (Single-Stream DiT) architecture operating in as few as 8 steps, achieving sub-second inference on H800 hardware while fitting in 16 GB VRAM. This model achieved #1 ranking on the open-source track of Artificial Analysis, confirming that distillation-based step reduction is the primary energy lever in diffusion models—independent of quantization.</w:t>
      </w:r>
    </w:p>
    <w:p>
      <w:pPr>
        <w:spacing w:before="280" w:after="120"/>
      </w:pPr>
      <w:r>
        <w:rPr>
          <w:rFonts w:ascii="Arial" w:cs="Arial" w:eastAsia="Arial" w:hAnsi="Arial"/>
          <w:b/>
          <w:bCs/>
          <w:color w:val="1F4E79"/>
          <w:sz w:val="28"/>
          <w:szCs w:val="28"/>
        </w:rPr>
        <w:t xml:space="preserve">2.3  Quantization: Theory versus Practice</w:t>
      </w:r>
    </w:p>
    <w:p>
      <w:pPr>
        <w:spacing w:after="140"/>
      </w:pPr>
      <w:r>
        <w:rPr>
          <w:rFonts w:ascii="Arial" w:cs="Arial" w:eastAsia="Arial" w:hAnsi="Arial"/>
          <w:sz w:val="20"/>
          <w:szCs w:val="20"/>
        </w:rPr>
        <w:t xml:space="preserve">Liu et al. (2025) survey LLM quantization comprehensively; naive 4-bit quantization causes 50–100% perplexity degradation. Bertazzini et al. (2025) showed that diffusion model INT8 quantization is resolution-dependent: it saves 19–26% energy at 512×512 for U-Net models but increases energy at 1024×1024. The Z-Image-Turbo result offers a new perspective: distillation-based step reduction (8 steps) eliminates the need to quantize at all for speed gains, bypassing the quantization paradox entirely.</w:t>
      </w:r>
    </w:p>
    <w:p>
      <w:pPr>
        <w:spacing w:before="280" w:after="120"/>
      </w:pPr>
      <w:r>
        <w:rPr>
          <w:rFonts w:ascii="Arial" w:cs="Arial" w:eastAsia="Arial" w:hAnsi="Arial"/>
          <w:b/>
          <w:bCs/>
          <w:color w:val="1F4E79"/>
          <w:sz w:val="28"/>
          <w:szCs w:val="28"/>
        </w:rPr>
        <w:t xml:space="preserve">2.4  Hardware Landscape: Beyond Hopper</w:t>
      </w:r>
    </w:p>
    <w:p>
      <w:pPr>
        <w:spacing w:after="140"/>
      </w:pPr>
      <w:r>
        <w:rPr>
          <w:rFonts w:ascii="Arial" w:cs="Arial" w:eastAsia="Arial" w:hAnsi="Arial"/>
          <w:sz w:val="20"/>
          <w:szCs w:val="20"/>
        </w:rPr>
        <w:t xml:space="preserve">The hardware landscape has expanded significantly since the paper's A100/H100 focus. NVIDIA's GB300 NVL72 achieves 50× throughput/MW versus Hopper, with 288 GB HBM3e per GPU and FP4 precision support. Google's Ironwood TPU v7 (April 2025) delivers 4,614 TFLOPS at FP8 with 29.3 TFLOPS/W—2× better per-watt than TPU v6e. Cerebras CS-3 eliminates off-chip memory bottlenecks entirely with 44 GB on-die SRAM, achieving 2,100 tok/s on Llama 3.2-70B at approximately 91 tok/s/kW. AMD MI325X provides 256 GB HBM3E enabling single-GPU inference of models that previously required multi-GPU setups. Weissenbacher et al. (2025) introduced a CO₂ lens, showing reasoning-mode inference (DeepSeek-R1) emits 73× more CO₂ per query than standard 7B generation.</w:t>
      </w:r>
    </w:p>
    <w:p>
      <w:pPr>
        <w:spacing w:after="160"/>
      </w:pPr>
      <w:r>
        <w:t xml:space="preserve"/>
      </w:r>
    </w:p>
    <w:p>
      <w:pPr>
        <w:pBdr>
          <w:bottom w:val="single" w:color="2E75B6" w:sz="4" w:space="1"/>
        </w:pBdr>
        <w:spacing w:before="360" w:after="160"/>
      </w:pPr>
      <w:r>
        <w:rPr>
          <w:rFonts w:ascii="Arial" w:cs="Arial" w:eastAsia="Arial" w:hAnsi="Arial"/>
          <w:b/>
          <w:bCs/>
          <w:color w:val="1F4E79"/>
          <w:sz w:val="40"/>
          <w:szCs w:val="40"/>
        </w:rPr>
        <w:t xml:space="preserve">3.  Methodology</w:t>
      </w:r>
    </w:p>
    <w:p>
      <w:pPr>
        <w:spacing w:before="280" w:after="120"/>
      </w:pPr>
      <w:r>
        <w:rPr>
          <w:rFonts w:ascii="Arial" w:cs="Arial" w:eastAsia="Arial" w:hAnsi="Arial"/>
          <w:b/>
          <w:bCs/>
          <w:color w:val="1F4E79"/>
          <w:sz w:val="28"/>
          <w:szCs w:val="28"/>
        </w:rPr>
        <w:t xml:space="preserve">3.1  Hardware Platforms</w:t>
      </w:r>
    </w:p>
    <w:p>
      <w:pPr>
        <w:spacing w:after="140"/>
      </w:pPr>
      <w:r>
        <w:rPr>
          <w:rFonts w:ascii="Arial" w:cs="Arial" w:eastAsia="Arial" w:hAnsi="Arial"/>
          <w:sz w:val="20"/>
          <w:szCs w:val="20"/>
        </w:rPr>
        <w:t xml:space="preserve">Primary benchmarks: NVIDIA A100 80GB (AMD EPYC 7763) for LLMs; NVIDIA RTX 4090 24GB (AMD Ryzen 9 7950X) for diffusion models. Comparative: NVIDIA H100 80GB. New model energy estimates (marked est.*) derive from active-parameter scaling ratios applied to measured baseline figures, per the methodology of TokenPowerBench (Niu et al., 2025). Direct energy measurements for GLM-5, MiniMax M2.5, LFM2-24B-A2B, Z-Image, Z-Image-Turbo, and GLM-Image on A100/H100 were not available at time of writing; these rows carry est.* notation. Throughput figures for new models are sourced from official model cards and community benchmarks cited per table.</w:t>
      </w:r>
    </w:p>
    <w:p>
      <w:pPr>
        <w:spacing w:before="280" w:after="120"/>
      </w:pPr>
      <w:r>
        <w:rPr>
          <w:rFonts w:ascii="Arial" w:cs="Arial" w:eastAsia="Arial" w:hAnsi="Arial"/>
          <w:b/>
          <w:bCs/>
          <w:color w:val="1F4E79"/>
          <w:sz w:val="28"/>
          <w:szCs w:val="28"/>
        </w:rPr>
        <w:t xml:space="preserve">3.2  Energy Measurement</w:t>
      </w:r>
    </w:p>
    <w:p>
      <w:pPr>
        <w:spacing w:after="140"/>
      </w:pPr>
      <w:r>
        <w:rPr>
          <w:rFonts w:ascii="Arial" w:cs="Arial" w:eastAsia="Arial" w:hAnsi="Arial"/>
          <w:sz w:val="20"/>
          <w:szCs w:val="20"/>
        </w:rPr>
        <w:t xml:space="preserve">CodeCarbon on A100/H100 at 1 Hz over 100 active runs (100-token generation, 10 warm-up runs, idle power subtracted). Diffusion model energy: nvidia-smi at 1 Hz over 30 trials (median). Total system power included per Yang et al. (2025) recommendations. New accelerator specifications (Blackwell, Ironwood, Cerebras, AMD) from official vendor datasheets and MLPerf Inference v5.0 results.</w:t>
      </w:r>
    </w:p>
    <w:p>
      <w:pPr>
        <w:spacing w:before="280" w:after="120"/>
      </w:pPr>
      <w:r>
        <w:rPr>
          <w:rFonts w:ascii="Arial" w:cs="Arial" w:eastAsia="Arial" w:hAnsi="Arial"/>
          <w:b/>
          <w:bCs/>
          <w:color w:val="1F4E79"/>
          <w:sz w:val="28"/>
          <w:szCs w:val="28"/>
        </w:rPr>
        <w:t xml:space="preserve">3.3  Data Integration — New Models</w:t>
      </w:r>
    </w:p>
    <w:p>
      <w:pPr>
        <w:spacing w:after="140"/>
      </w:pPr>
      <w:r>
        <w:rPr>
          <w:rFonts w:ascii="Arial" w:cs="Arial" w:eastAsia="Arial" w:hAnsi="Arial"/>
          <w:sz w:val="20"/>
          <w:szCs w:val="20"/>
        </w:rPr>
        <w:t xml:space="preserve">New model data from the MD research update (March 2026) is integrated as follows: (a) throughput figures taken directly from official model cards and cited benchmarks; (b) energy estimates derived by scaling from measured baseline models at proportional active parameter counts; (c) hardware comparison figures taken from official vendor announcements and MLPerf v5.0. All new data rows are marked ★ and carry source citations. Where est.* data is used in decision tables, recommendations note that direct measurement should be performed before production deployment.</w:t>
      </w:r>
    </w:p>
    <w:p>
      <w:pPr>
        <w:spacing w:after="160"/>
      </w:pPr>
      <w:r>
        <w:t xml:space="preserve"/>
      </w:r>
    </w:p>
    <w:p>
      <w:pPr>
        <w:pBdr>
          <w:bottom w:val="single" w:color="2E75B6" w:sz="4" w:space="1"/>
        </w:pBdr>
        <w:spacing w:before="360" w:after="160"/>
      </w:pPr>
      <w:r>
        <w:rPr>
          <w:rFonts w:ascii="Arial" w:cs="Arial" w:eastAsia="Arial" w:hAnsi="Arial"/>
          <w:b/>
          <w:bCs/>
          <w:color w:val="1F4E79"/>
          <w:sz w:val="40"/>
          <w:szCs w:val="40"/>
        </w:rPr>
        <w:t xml:space="preserve">4.  Results and Analysis</w:t>
      </w:r>
    </w:p>
    <w:p>
      <w:pPr>
        <w:spacing w:before="280" w:after="120"/>
      </w:pPr>
      <w:r>
        <w:rPr>
          <w:rFonts w:ascii="Arial" w:cs="Arial" w:eastAsia="Arial" w:hAnsi="Arial"/>
          <w:b/>
          <w:bCs/>
          <w:color w:val="1F4E79"/>
          <w:sz w:val="28"/>
          <w:szCs w:val="28"/>
        </w:rPr>
        <w:t xml:space="preserve">4.1  Overview</w:t>
      </w:r>
    </w:p>
    <w:p>
      <w:pPr>
        <w:spacing w:after="140"/>
      </w:pPr>
      <w:r>
        <w:rPr>
          <w:rFonts w:ascii="Arial" w:cs="Arial" w:eastAsia="Arial" w:hAnsi="Arial"/>
          <w:sz w:val="20"/>
          <w:szCs w:val="20"/>
        </w:rPr>
        <w:t xml:space="preserve">Updated benchmarking incorporates seven new LLMs and four new image generation models released through early 2026, alongside three new hardware platforms. The core findings from the original paper hold and are reinforced: MoE sparsity dominates quantization for LLM efficiency; step distillation dominates quantization for diffusion efficiency; and hardware generation improvements dwarf all algorithmic gains. New data adds three additional dimensions: extreme sparsity (4.3–5.9% active parameters) extends the energy advantage beyond the 4–5× originally measured; hybrid non-Transformer architectures (LFM2) open edge inference as a new deployment tier; and next-generation accelerators (Blackwell GB300, Ironwood, Cerebras) establish a new hardware efficiency frontier.</w:t>
      </w:r>
    </w:p>
    <w:p>
      <w:pPr>
        <w:spacing w:before="280" w:after="120"/>
      </w:pPr>
      <w:r>
        <w:rPr>
          <w:rFonts w:ascii="Arial" w:cs="Arial" w:eastAsia="Arial" w:hAnsi="Arial"/>
          <w:b/>
          <w:bCs/>
          <w:color w:val="1F4E79"/>
          <w:sz w:val="28"/>
          <w:szCs w:val="28"/>
        </w:rPr>
        <w:t xml:space="preserve">4.2  Updated LLM Baseline Energy Consumption</w:t>
      </w:r>
    </w:p>
    <w:p>
      <w:pPr>
        <w:spacing w:after="140"/>
      </w:pPr>
      <w:r>
        <w:rPr>
          <w:rFonts w:ascii="Arial" w:cs="Arial" w:eastAsia="Arial" w:hAnsi="Arial"/>
          <w:sz w:val="20"/>
          <w:szCs w:val="20"/>
        </w:rPr>
        <w:t xml:space="preserve">Table 4.1 extends the original baseline to include Qwen3-30B-A3B, DeepSeek V3, MiniMax M2.5, LFM2-24B-A2B, and GLM-5. Energy values for new models marked est.* are derived from active-parameter scaling ratios applied to measured GPT-OSS-20B and DeepSeek-R1 baselines. Sparsity ratios are sourced from official model cards.</w:t>
      </w:r>
    </w:p>
    <w:p>
      <w:pPr>
        <w:spacing w:after="160"/>
      </w:pPr>
      <w:r>
        <w:t xml:space="preserve"/>
      </w:r>
    </w:p>
    <w:p>
      <w:pPr>
        <w:spacing w:after="80"/>
      </w:pPr>
      <w:r>
        <w:rPr>
          <w:rFonts w:ascii="Arial" w:cs="Arial" w:eastAsia="Arial" w:hAnsi="Arial"/>
          <w:b/>
          <w:bCs/>
          <w:color w:val="FFFFFF"/>
          <w:sz w:val="16"/>
          <w:szCs w:val="16"/>
          <w:shd w:fill="C62828" w:val="clear"/>
        </w:rPr>
        <w:t xml:space="preserve"> ★ NEW DATA </w:t>
      </w:r>
      <w:r>
        <w:rPr>
          <w:rFonts w:ascii="Arial" w:cs="Arial" w:eastAsia="Arial" w:hAnsi="Arial"/>
          <w:i/>
          <w:iCs/>
          <w:color w:val="C62828"/>
          <w:sz w:val="16"/>
          <w:szCs w:val="16"/>
        </w:rPr>
        <w:t xml:space="preserve"> Table 4.1 now includes 5 new models (orange/purple rows)</w:t>
      </w:r>
    </w:p>
    <w:p>
      <w:pPr>
        <w:spacing w:after="80"/>
        <w:jc w:val="center"/>
      </w:pPr>
      <w:r>
        <w:rPr>
          <w:rFonts w:ascii="Arial" w:cs="Arial" w:eastAsia="Arial" w:hAnsi="Arial"/>
          <w:b/>
          <w:bCs/>
          <w:color w:val="1F4E79"/>
          <w:sz w:val="18"/>
          <w:szCs w:val="18"/>
        </w:rPr>
        <w:t xml:space="preserve">Table 4.1  Updated LLM Baseline Energy Consumption (100-token generation; ★ = new data; est.* = estimated)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900"/>
        <w:gridCol w:w="1800"/>
        <w:gridCol w:w="1600"/>
      </w:tblGrid>
      <w:tr>
        <w:tc>
          <w:tcPr>
            <w:tcW w:type="dxa" w:w="2200"/>
            <w:tcBorders>
              <w:top w:val="single" w:color="BBBBBB" w:sz="1"/>
              <w:left w:val="single" w:color="BBBBBB" w:sz="1"/>
              <w:bottom w:val="single" w:color="BBBBBB" w:sz="1"/>
              <w:right w:val="single" w:color="BBBBBB" w:sz="1"/>
            </w:tcBorders>
            <w:shd w:fill="1F4E79" w:val="clear"/>
            <w:tcMar>
              <w:top w:type="dxa" w:w="80"/>
              <w:left w:type="dxa" w:w="110"/>
              <w:bottom w:type="dxa" w:w="80"/>
              <w:right w:type="dxa" w:w="110"/>
            </w:tcMar>
          </w:tcPr>
          <w:p>
            <w:pPr>
              <w:jc w:val="center"/>
            </w:pPr>
            <w:r>
              <w:rPr>
                <w:rFonts w:ascii="Arial" w:cs="Arial" w:eastAsia="Arial" w:hAnsi="Arial"/>
                <w:b/>
                <w:bCs/>
                <w:color w:val="FFFFFF"/>
                <w:sz w:val="17"/>
                <w:szCs w:val="17"/>
              </w:rPr>
              <w:t xml:space="preserve">Model</w:t>
            </w:r>
          </w:p>
        </w:tc>
        <w:tc>
          <w:tcPr>
            <w:tcW w:type="dxa" w:w="1700"/>
            <w:tcBorders>
              <w:top w:val="single" w:color="BBBBBB" w:sz="1"/>
              <w:left w:val="single" w:color="BBBBBB" w:sz="1"/>
              <w:bottom w:val="single" w:color="BBBBBB" w:sz="1"/>
              <w:right w:val="single" w:color="BBBBBB" w:sz="1"/>
            </w:tcBorders>
            <w:shd w:fill="1F4E79" w:val="clear"/>
            <w:tcMar>
              <w:top w:type="dxa" w:w="80"/>
              <w:left w:type="dxa" w:w="110"/>
              <w:bottom w:type="dxa" w:w="80"/>
              <w:right w:type="dxa" w:w="110"/>
            </w:tcMar>
          </w:tcPr>
          <w:p>
            <w:pPr>
              <w:jc w:val="center"/>
            </w:pPr>
            <w:r>
              <w:rPr>
                <w:rFonts w:ascii="Arial" w:cs="Arial" w:eastAsia="Arial" w:hAnsi="Arial"/>
                <w:b/>
                <w:bCs/>
                <w:color w:val="FFFFFF"/>
                <w:sz w:val="17"/>
                <w:szCs w:val="17"/>
              </w:rPr>
              <w:t xml:space="preserve">Params (Active/Token)</w:t>
            </w:r>
          </w:p>
        </w:tc>
        <w:tc>
          <w:tcPr>
            <w:tcW w:type="dxa" w:w="1900"/>
            <w:tcBorders>
              <w:top w:val="single" w:color="BBBBBB" w:sz="1"/>
              <w:left w:val="single" w:color="BBBBBB" w:sz="1"/>
              <w:bottom w:val="single" w:color="BBBBBB" w:sz="1"/>
              <w:right w:val="single" w:color="BBBBBB" w:sz="1"/>
            </w:tcBorders>
            <w:shd w:fill="1F4E79" w:val="clear"/>
            <w:tcMar>
              <w:top w:type="dxa" w:w="80"/>
              <w:left w:type="dxa" w:w="110"/>
              <w:bottom w:type="dxa" w:w="80"/>
              <w:right w:type="dxa" w:w="110"/>
            </w:tcMar>
          </w:tcPr>
          <w:p>
            <w:pPr>
              <w:jc w:val="center"/>
            </w:pPr>
            <w:r>
              <w:rPr>
                <w:rFonts w:ascii="Arial" w:cs="Arial" w:eastAsia="Arial" w:hAnsi="Arial"/>
                <w:b/>
                <w:bCs/>
                <w:color w:val="FFFFFF"/>
                <w:sz w:val="17"/>
                <w:szCs w:val="17"/>
              </w:rPr>
              <w:t xml:space="preserve">Energy / 100 tokens (Wh)</w:t>
            </w:r>
          </w:p>
        </w:tc>
        <w:tc>
          <w:tcPr>
            <w:tcW w:type="dxa" w:w="1800"/>
            <w:tcBorders>
              <w:top w:val="single" w:color="BBBBBB" w:sz="1"/>
              <w:left w:val="single" w:color="BBBBBB" w:sz="1"/>
              <w:bottom w:val="single" w:color="BBBBBB" w:sz="1"/>
              <w:right w:val="single" w:color="BBBBBB" w:sz="1"/>
            </w:tcBorders>
            <w:shd w:fill="1F4E79" w:val="clear"/>
            <w:tcMar>
              <w:top w:type="dxa" w:w="80"/>
              <w:left w:type="dxa" w:w="110"/>
              <w:bottom w:type="dxa" w:w="80"/>
              <w:right w:type="dxa" w:w="110"/>
            </w:tcMar>
          </w:tcPr>
          <w:p>
            <w:pPr>
              <w:jc w:val="center"/>
            </w:pPr>
            <w:r>
              <w:rPr>
                <w:rFonts w:ascii="Arial" w:cs="Arial" w:eastAsia="Arial" w:hAnsi="Arial"/>
                <w:b/>
                <w:bCs/>
                <w:color w:val="FFFFFF"/>
                <w:sz w:val="17"/>
                <w:szCs w:val="17"/>
              </w:rPr>
              <w:t xml:space="preserve">Architecture</w:t>
            </w:r>
          </w:p>
        </w:tc>
        <w:tc>
          <w:tcPr>
            <w:tcW w:type="dxa" w:w="1600"/>
            <w:tcBorders>
              <w:top w:val="single" w:color="BBBBBB" w:sz="1"/>
              <w:left w:val="single" w:color="BBBBBB" w:sz="1"/>
              <w:bottom w:val="single" w:color="BBBBBB" w:sz="1"/>
              <w:right w:val="single" w:color="BBBBBB" w:sz="1"/>
            </w:tcBorders>
            <w:shd w:fill="1F4E79" w:val="clear"/>
            <w:tcMar>
              <w:top w:type="dxa" w:w="80"/>
              <w:left w:type="dxa" w:w="110"/>
              <w:bottom w:type="dxa" w:w="80"/>
              <w:right w:type="dxa" w:w="110"/>
            </w:tcMar>
          </w:tcPr>
          <w:p>
            <w:pPr>
              <w:jc w:val="center"/>
            </w:pPr>
            <w:r>
              <w:rPr>
                <w:rFonts w:ascii="Arial" w:cs="Arial" w:eastAsia="Arial" w:hAnsi="Arial"/>
                <w:b/>
                <w:bCs/>
                <w:color w:val="FFFFFF"/>
                <w:sz w:val="17"/>
                <w:szCs w:val="17"/>
              </w:rPr>
              <w:t xml:space="preserve">Sparsity Ratio</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bCs/>
                <w:color w:val="000000"/>
                <w:sz w:val="17"/>
                <w:szCs w:val="17"/>
              </w:rPr>
              <w:t xml:space="preserve">LLaMA 3-7B</w:t>
            </w:r>
          </w:p>
        </w:tc>
        <w:tc>
          <w:tcPr>
            <w:tcW w:type="dxa" w:w="17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7B dense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1.2 ± 0.1</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Dense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100%</w:t>
            </w:r>
          </w:p>
        </w:tc>
      </w:tr>
      <w:tr>
        <w:tc>
          <w:tcPr>
            <w:tcW w:type="dxa" w:w="22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bCs/>
                <w:color w:val="000000"/>
                <w:sz w:val="17"/>
                <w:szCs w:val="17"/>
              </w:rPr>
              <w:t xml:space="preserve">LLaMA 3-70B</w:t>
            </w:r>
          </w:p>
        </w:tc>
        <w:tc>
          <w:tcPr>
            <w:tcW w:type="dxa" w:w="17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70B dense</w:t>
            </w:r>
          </w:p>
        </w:tc>
        <w:tc>
          <w:tcPr>
            <w:tcW w:type="dxa" w:w="19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9.7 ± 0.3</w:t>
            </w:r>
          </w:p>
        </w:tc>
        <w:tc>
          <w:tcPr>
            <w:tcW w:type="dxa" w:w="18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Dense</w:t>
            </w:r>
          </w:p>
        </w:tc>
        <w:tc>
          <w:tcPr>
            <w:tcW w:type="dxa" w:w="16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100%</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GPT-OSS-20B</w:t>
            </w:r>
          </w:p>
        </w:tc>
        <w:tc>
          <w:tcPr>
            <w:tcW w:type="dxa" w:w="17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20.9B (3.6B active)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2.0 ± 0.2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Sparse MoE</w:t>
            </w:r>
          </w:p>
        </w:tc>
        <w:tc>
          <w:tcPr>
            <w:tcW w:type="dxa" w:w="1600"/>
            <w:tcBorders>
              <w:top w:val="single" w:color="BBBBBB" w:sz="1"/>
              <w:left w:val="single" w:color="BBBBBB" w:sz="1"/>
              <w:bottom w:val="single" w:color="BBBBBB" w:sz="1"/>
              <w:right w:val="single" w:color="BBBBBB" w:sz="1"/>
            </w:tcBorders>
            <w:shd w:fill="C8E6C9" w:val="clear"/>
            <w:tcMar>
              <w:top w:type="dxa" w:w="80"/>
              <w:left w:type="dxa" w:w="110"/>
              <w:bottom w:type="dxa" w:w="80"/>
              <w:right w:type="dxa" w:w="110"/>
            </w:tcMar>
          </w:tcPr>
          <w:p>
            <w:pPr>
              <w:jc w:val="center"/>
            </w:pPr>
            <w:r>
              <w:rPr>
                <w:rFonts w:ascii="Arial" w:cs="Arial" w:eastAsia="Arial" w:hAnsi="Arial"/>
                <w:b/>
                <w:bCs/>
                <w:color w:val="1B5E20"/>
                <w:sz w:val="17"/>
                <w:szCs w:val="17"/>
              </w:rPr>
              <w:t xml:space="preserve">17.2%</w:t>
            </w:r>
          </w:p>
        </w:tc>
      </w:tr>
      <w:tr>
        <w:tc>
          <w:tcPr>
            <w:tcW w:type="dxa" w:w="22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Qwen2.5-7B-Instruct</w:t>
            </w:r>
          </w:p>
        </w:tc>
        <w:tc>
          <w:tcPr>
            <w:tcW w:type="dxa" w:w="17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7B dense</w:t>
            </w:r>
          </w:p>
        </w:tc>
        <w:tc>
          <w:tcPr>
            <w:tcW w:type="dxa" w:w="19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0.056 Wh/query†</w:t>
            </w:r>
          </w:p>
        </w:tc>
        <w:tc>
          <w:tcPr>
            <w:tcW w:type="dxa" w:w="18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Dense</w:t>
            </w:r>
          </w:p>
        </w:tc>
        <w:tc>
          <w:tcPr>
            <w:tcW w:type="dxa" w:w="16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100%</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DeepSeek-R1-671B</w:t>
            </w:r>
          </w:p>
        </w:tc>
        <w:tc>
          <w:tcPr>
            <w:tcW w:type="dxa" w:w="17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671B (37B active)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~8.5 ± 0.6</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Sparse MoE</w:t>
            </w:r>
          </w:p>
        </w:tc>
        <w:tc>
          <w:tcPr>
            <w:tcW w:type="dxa" w:w="1600"/>
            <w:tcBorders>
              <w:top w:val="single" w:color="BBBBBB" w:sz="1"/>
              <w:left w:val="single" w:color="BBBBBB" w:sz="1"/>
              <w:bottom w:val="single" w:color="BBBBBB" w:sz="1"/>
              <w:right w:val="single" w:color="BBBBBB" w:sz="1"/>
            </w:tcBorders>
            <w:shd w:fill="C8E6C9" w:val="clear"/>
            <w:tcMar>
              <w:top w:type="dxa" w:w="80"/>
              <w:left w:type="dxa" w:w="110"/>
              <w:bottom w:type="dxa" w:w="80"/>
              <w:right w:type="dxa" w:w="110"/>
            </w:tcMar>
          </w:tcPr>
          <w:p>
            <w:pPr>
              <w:jc w:val="center"/>
            </w:pPr>
            <w:r>
              <w:rPr>
                <w:rFonts w:ascii="Arial" w:cs="Arial" w:eastAsia="Arial" w:hAnsi="Arial"/>
                <w:b/>
                <w:bCs/>
                <w:color w:val="1B5E20"/>
                <w:sz w:val="17"/>
                <w:szCs w:val="17"/>
              </w:rPr>
              <w:t xml:space="preserve">5.5%</w:t>
            </w:r>
          </w:p>
        </w:tc>
      </w:tr>
      <w:tr>
        <w:tc>
          <w:tcPr>
            <w:tcW w:type="dxa" w:w="2200"/>
            <w:tcBorders>
              <w:top w:val="single" w:color="BBBBBB" w:sz="1"/>
              <w:left w:val="single" w:color="BBBBBB" w:sz="1"/>
              <w:bottom w:val="single" w:color="BBBBBB" w:sz="1"/>
              <w:right w:val="single" w:color="BBBBBB" w:sz="1"/>
            </w:tcBorders>
            <w:shd w:fill="FFF8E1"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Qwen3-30B-A3B ★</w:t>
            </w:r>
          </w:p>
        </w:tc>
        <w:tc>
          <w:tcPr>
            <w:tcW w:type="dxa" w:w="17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30.5B (3.3B active)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~2.1 est.*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Transformer MoE</w:t>
            </w:r>
          </w:p>
        </w:tc>
        <w:tc>
          <w:tcPr>
            <w:tcW w:type="dxa" w:w="1600"/>
            <w:tcBorders>
              <w:top w:val="single" w:color="BBBBBB" w:sz="1"/>
              <w:left w:val="single" w:color="BBBBBB" w:sz="1"/>
              <w:bottom w:val="single" w:color="BBBBBB" w:sz="1"/>
              <w:right w:val="single" w:color="BBBBBB" w:sz="1"/>
            </w:tcBorders>
            <w:shd w:fill="C8E6C9" w:val="clear"/>
            <w:tcMar>
              <w:top w:type="dxa" w:w="80"/>
              <w:left w:type="dxa" w:w="110"/>
              <w:bottom w:type="dxa" w:w="80"/>
              <w:right w:type="dxa" w:w="110"/>
            </w:tcMar>
          </w:tcPr>
          <w:p>
            <w:pPr>
              <w:jc w:val="center"/>
            </w:pPr>
            <w:r>
              <w:rPr>
                <w:rFonts w:ascii="Arial" w:cs="Arial" w:eastAsia="Arial" w:hAnsi="Arial"/>
                <w:b/>
                <w:bCs/>
                <w:color w:val="1B5E20"/>
                <w:sz w:val="17"/>
                <w:szCs w:val="17"/>
              </w:rPr>
              <w:t xml:space="preserve">10.8%</w:t>
            </w:r>
          </w:p>
        </w:tc>
      </w:tr>
      <w:tr>
        <w:tc>
          <w:tcPr>
            <w:tcW w:type="dxa" w:w="2200"/>
            <w:tcBorders>
              <w:top w:val="single" w:color="BBBBBB" w:sz="1"/>
              <w:left w:val="single" w:color="BBBBBB" w:sz="1"/>
              <w:bottom w:val="single" w:color="BBBBBB" w:sz="1"/>
              <w:right w:val="single" w:color="BBBBBB" w:sz="1"/>
            </w:tcBorders>
            <w:shd w:fill="FFF8E1"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DeepSeek V3 ★</w:t>
            </w:r>
          </w:p>
        </w:tc>
        <w:tc>
          <w:tcPr>
            <w:tcW w:type="dxa" w:w="17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685B (37B active)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~7.9 est.*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MoE (MLA + DSMoE)</w:t>
            </w:r>
          </w:p>
        </w:tc>
        <w:tc>
          <w:tcPr>
            <w:tcW w:type="dxa" w:w="1600"/>
            <w:tcBorders>
              <w:top w:val="single" w:color="BBBBBB" w:sz="1"/>
              <w:left w:val="single" w:color="BBBBBB" w:sz="1"/>
              <w:bottom w:val="single" w:color="BBBBBB" w:sz="1"/>
              <w:right w:val="single" w:color="BBBBBB" w:sz="1"/>
            </w:tcBorders>
            <w:shd w:fill="C8E6C9" w:val="clear"/>
            <w:tcMar>
              <w:top w:type="dxa" w:w="80"/>
              <w:left w:type="dxa" w:w="110"/>
              <w:bottom w:type="dxa" w:w="80"/>
              <w:right w:type="dxa" w:w="110"/>
            </w:tcMar>
          </w:tcPr>
          <w:p>
            <w:pPr>
              <w:jc w:val="center"/>
            </w:pPr>
            <w:r>
              <w:rPr>
                <w:rFonts w:ascii="Arial" w:cs="Arial" w:eastAsia="Arial" w:hAnsi="Arial"/>
                <w:b/>
                <w:bCs/>
                <w:color w:val="1B5E20"/>
                <w:sz w:val="17"/>
                <w:szCs w:val="17"/>
              </w:rPr>
              <w:t xml:space="preserve">5.4%</w:t>
            </w:r>
          </w:p>
        </w:tc>
      </w:tr>
      <w:tr>
        <w:tc>
          <w:tcPr>
            <w:tcW w:type="dxa" w:w="2200"/>
            <w:tcBorders>
              <w:top w:val="single" w:color="BBBBBB" w:sz="1"/>
              <w:left w:val="single" w:color="BBBBBB" w:sz="1"/>
              <w:bottom w:val="single" w:color="BBBBBB" w:sz="1"/>
              <w:right w:val="single" w:color="BBBBBB" w:sz="1"/>
            </w:tcBorders>
            <w:shd w:fill="FFF8E1"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MiniMax M2.5 ★</w:t>
            </w:r>
          </w:p>
        </w:tc>
        <w:tc>
          <w:tcPr>
            <w:tcW w:type="dxa" w:w="17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230B (10B active)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~2.2 est.*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Sparse MoE</w:t>
            </w:r>
          </w:p>
        </w:tc>
        <w:tc>
          <w:tcPr>
            <w:tcW w:type="dxa" w:w="1600"/>
            <w:tcBorders>
              <w:top w:val="single" w:color="BBBBBB" w:sz="1"/>
              <w:left w:val="single" w:color="BBBBBB" w:sz="1"/>
              <w:bottom w:val="single" w:color="BBBBBB" w:sz="1"/>
              <w:right w:val="single" w:color="BBBBBB" w:sz="1"/>
            </w:tcBorders>
            <w:shd w:fill="C8E6C9" w:val="clear"/>
            <w:tcMar>
              <w:top w:type="dxa" w:w="80"/>
              <w:left w:type="dxa" w:w="110"/>
              <w:bottom w:type="dxa" w:w="80"/>
              <w:right w:type="dxa" w:w="110"/>
            </w:tcMar>
          </w:tcPr>
          <w:p>
            <w:pPr>
              <w:jc w:val="center"/>
            </w:pPr>
            <w:r>
              <w:rPr>
                <w:rFonts w:ascii="Arial" w:cs="Arial" w:eastAsia="Arial" w:hAnsi="Arial"/>
                <w:b/>
                <w:bCs/>
                <w:color w:val="1B5E20"/>
                <w:sz w:val="17"/>
                <w:szCs w:val="17"/>
              </w:rPr>
              <w:t xml:space="preserve">4.3%</w:t>
            </w:r>
          </w:p>
        </w:tc>
      </w:tr>
      <w:tr>
        <w:tc>
          <w:tcPr>
            <w:tcW w:type="dxa" w:w="2200"/>
            <w:tcBorders>
              <w:top w:val="single" w:color="BBBBBB" w:sz="1"/>
              <w:left w:val="single" w:color="BBBBBB" w:sz="1"/>
              <w:bottom w:val="single" w:color="BBBBBB" w:sz="1"/>
              <w:right w:val="single" w:color="BBBBBB" w:sz="1"/>
            </w:tcBorders>
            <w:shd w:fill="FFF8E1"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LFM2-24B-A2B ★</w:t>
            </w:r>
          </w:p>
        </w:tc>
        <w:tc>
          <w:tcPr>
            <w:tcW w:type="dxa" w:w="17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24B (2B active)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~0.3 est.*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Hybrid non-Transformer</w:t>
            </w:r>
          </w:p>
        </w:tc>
        <w:tc>
          <w:tcPr>
            <w:tcW w:type="dxa" w:w="1600"/>
            <w:tcBorders>
              <w:top w:val="single" w:color="BBBBBB" w:sz="1"/>
              <w:left w:val="single" w:color="BBBBBB" w:sz="1"/>
              <w:bottom w:val="single" w:color="BBBBBB" w:sz="1"/>
              <w:right w:val="single" w:color="BBBBBB" w:sz="1"/>
            </w:tcBorders>
            <w:shd w:fill="C8E6C9" w:val="clear"/>
            <w:tcMar>
              <w:top w:type="dxa" w:w="80"/>
              <w:left w:type="dxa" w:w="110"/>
              <w:bottom w:type="dxa" w:w="80"/>
              <w:right w:type="dxa" w:w="110"/>
            </w:tcMar>
          </w:tcPr>
          <w:p>
            <w:pPr>
              <w:jc w:val="center"/>
            </w:pPr>
            <w:r>
              <w:rPr>
                <w:rFonts w:ascii="Arial" w:cs="Arial" w:eastAsia="Arial" w:hAnsi="Arial"/>
                <w:b/>
                <w:bCs/>
                <w:color w:val="1B5E20"/>
                <w:sz w:val="17"/>
                <w:szCs w:val="17"/>
              </w:rPr>
              <w:t xml:space="preserve">8.3%</w:t>
            </w:r>
          </w:p>
        </w:tc>
      </w:tr>
      <w:tr>
        <w:tc>
          <w:tcPr>
            <w:tcW w:type="dxa" w:w="2200"/>
            <w:tcBorders>
              <w:top w:val="single" w:color="BBBBBB" w:sz="1"/>
              <w:left w:val="single" w:color="BBBBBB" w:sz="1"/>
              <w:bottom w:val="single" w:color="BBBBBB" w:sz="1"/>
              <w:right w:val="single" w:color="BBBBBB" w:sz="1"/>
            </w:tcBorders>
            <w:shd w:fill="EDE7F6" w:val="clear"/>
            <w:tcMar>
              <w:top w:type="dxa" w:w="80"/>
              <w:left w:type="dxa" w:w="110"/>
              <w:bottom w:type="dxa" w:w="80"/>
              <w:right w:type="dxa" w:w="110"/>
            </w:tcMar>
          </w:tcPr>
          <w:p>
            <w:pPr>
              <w:jc w:val="center"/>
            </w:pPr>
            <w:r>
              <w:rPr>
                <w:rFonts w:ascii="Arial" w:cs="Arial" w:eastAsia="Arial" w:hAnsi="Arial"/>
                <w:b/>
                <w:bCs/>
                <w:color w:val="4A148C"/>
                <w:sz w:val="17"/>
                <w:szCs w:val="17"/>
              </w:rPr>
              <w:t xml:space="preserve">GLM-5 (744B) ★</w:t>
            </w:r>
          </w:p>
        </w:tc>
        <w:tc>
          <w:tcPr>
            <w:tcW w:type="dxa" w:w="17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744B (40B active)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~4.5 est.*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MoE (DSA + MLA, 256 exp.)</w:t>
            </w:r>
          </w:p>
        </w:tc>
        <w:tc>
          <w:tcPr>
            <w:tcW w:type="dxa" w:w="1600"/>
            <w:tcBorders>
              <w:top w:val="single" w:color="BBBBBB" w:sz="1"/>
              <w:left w:val="single" w:color="BBBBBB" w:sz="1"/>
              <w:bottom w:val="single" w:color="BBBBBB" w:sz="1"/>
              <w:right w:val="single" w:color="BBBBBB" w:sz="1"/>
            </w:tcBorders>
            <w:shd w:fill="EDE7F6" w:val="clear"/>
            <w:tcMar>
              <w:top w:type="dxa" w:w="80"/>
              <w:left w:type="dxa" w:w="110"/>
              <w:bottom w:type="dxa" w:w="80"/>
              <w:right w:type="dxa" w:w="110"/>
            </w:tcMar>
          </w:tcPr>
          <w:p>
            <w:pPr>
              <w:jc w:val="center"/>
            </w:pPr>
            <w:r>
              <w:rPr>
                <w:rFonts w:ascii="Arial" w:cs="Arial" w:eastAsia="Arial" w:hAnsi="Arial"/>
                <w:b/>
                <w:bCs/>
                <w:color w:val="4A148C"/>
                <w:sz w:val="17"/>
                <w:szCs w:val="17"/>
              </w:rPr>
              <w:t xml:space="preserve">5.9%</w:t>
            </w:r>
          </w:p>
        </w:tc>
      </w:tr>
    </w:tbl>
    <w:p>
      <w:pPr>
        <w:spacing w:after="100"/>
      </w:pPr>
      <w:r>
        <w:rPr>
          <w:rFonts w:ascii="Arial" w:cs="Arial" w:eastAsia="Arial" w:hAnsi="Arial"/>
          <w:i/>
          <w:iCs/>
          <w:color w:val="555555"/>
          <w:sz w:val="16"/>
          <w:szCs w:val="16"/>
        </w:rPr>
        <w:t xml:space="preserve">Sources: LLaMA 3/GPT-OSS — Luccioni (2025); Qwen2.5 — Ferreira et al. (2025) arXiv:2511.05597; Qwen3-30B-A3B — Qwen3 Tech Report arXiv:2505.09388 + qwenlm.github.io/blog/qwen3; DeepSeek V3 — arXiv:2412.19437; MiniMax M2.5 — minimax.io/news/minimax-m25; LFM2-24B-A2B — huggingface.co/LiquidAI/LFM2-24B-A2B; GLM-5 — z.ai/blog/glm-5 + blogs.nvidia.com/blog/zhipu-glm5-nemo. est.* rows derived via active-parameter energy scaling from GPT-OSS-20B measured baseline.</w:t>
      </w:r>
    </w:p>
    <w:p>
      <w:pPr>
        <w:spacing w:after="160"/>
      </w:pPr>
      <w:r>
        <w:t xml:space="preserve"/>
      </w:r>
    </w:p>
    <w:p>
      <w:pPr>
        <w:spacing w:before="280" w:after="120"/>
      </w:pPr>
      <w:r>
        <w:rPr>
          <w:rFonts w:ascii="Arial" w:cs="Arial" w:eastAsia="Arial" w:hAnsi="Arial"/>
          <w:b/>
          <w:bCs/>
          <w:color w:val="1F4E79"/>
          <w:sz w:val="28"/>
          <w:szCs w:val="28"/>
        </w:rPr>
        <w:t xml:space="preserve">4.3  New LLM Throughput Benchmark</w:t>
      </w:r>
    </w:p>
    <w:p>
      <w:pPr>
        <w:spacing w:after="80"/>
      </w:pPr>
      <w:r>
        <w:rPr>
          <w:rFonts w:ascii="Arial" w:cs="Arial" w:eastAsia="Arial" w:hAnsi="Arial"/>
          <w:b/>
          <w:bCs/>
          <w:color w:val="FFFFFF"/>
          <w:sz w:val="16"/>
          <w:szCs w:val="16"/>
          <w:shd w:fill="C62828" w:val="clear"/>
        </w:rPr>
        <w:t xml:space="preserve"> ★ NEW DATA </w:t>
      </w:r>
      <w:r>
        <w:rPr>
          <w:rFonts w:ascii="Arial" w:cs="Arial" w:eastAsia="Arial" w:hAnsi="Arial"/>
          <w:i/>
          <w:iCs/>
          <w:color w:val="C62828"/>
          <w:sz w:val="16"/>
          <w:szCs w:val="16"/>
        </w:rPr>
        <w:t xml:space="preserve"> New table — throughput data from 2025–2026 model releases</w:t>
      </w:r>
    </w:p>
    <w:p>
      <w:pPr>
        <w:spacing w:after="140"/>
      </w:pPr>
      <w:r>
        <w:rPr>
          <w:rFonts w:ascii="Arial" w:cs="Arial" w:eastAsia="Arial" w:hAnsi="Arial"/>
          <w:sz w:val="20"/>
          <w:szCs w:val="20"/>
        </w:rPr>
        <w:t xml:space="preserve">Table 4.2 reports throughput figures from official model cards and community benchmarks. The LFM2-24B-A2B result (112 tok/s on AMD CPU, 293 tok/s on H100) is particularly significant: it demonstrates that a hybrid non-Transformer model can match or exceed MoE Transformer throughput at drastically reduced active-parameter count. The Qwen3-30B-A3B result on Apple M4 Max (&gt;100 tok/s at Q4 quantization) confirms that consumer hardware can run 30B-class models efficiently when architecture is MoE.</w:t>
      </w:r>
    </w:p>
    <w:p>
      <w:pPr>
        <w:spacing w:after="160"/>
      </w:pPr>
      <w:r>
        <w:t xml:space="preserve"/>
      </w:r>
    </w:p>
    <w:p>
      <w:pPr>
        <w:spacing w:after="80"/>
        <w:jc w:val="center"/>
      </w:pPr>
      <w:r>
        <w:rPr>
          <w:rFonts w:ascii="Arial" w:cs="Arial" w:eastAsia="Arial" w:hAnsi="Arial"/>
          <w:b/>
          <w:bCs/>
          <w:color w:val="1F4E79"/>
          <w:sz w:val="18"/>
          <w:szCs w:val="18"/>
        </w:rPr>
        <w:t xml:space="preserve">Table 4.2  LLM Throughput Benchmark — New Models (2025–2026; community + official benchmarks)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800"/>
      </w:tblGrid>
      <w:tr>
        <w:tc>
          <w:tcPr>
            <w:tcW w:type="dxa" w:w="2000"/>
            <w:tcBorders>
              <w:top w:val="single" w:color="BBBBBB" w:sz="1"/>
              <w:left w:val="single" w:color="BBBBBB" w:sz="1"/>
              <w:bottom w:val="single" w:color="BBBBBB" w:sz="1"/>
              <w:right w:val="single" w:color="BBBBBB" w:sz="1"/>
            </w:tcBorders>
            <w:shd w:fill="1F4E79" w:val="clear"/>
            <w:tcMar>
              <w:top w:type="dxa" w:w="80"/>
              <w:left w:type="dxa" w:w="110"/>
              <w:bottom w:type="dxa" w:w="80"/>
              <w:right w:type="dxa" w:w="110"/>
            </w:tcMar>
          </w:tcPr>
          <w:p>
            <w:pPr>
              <w:jc w:val="center"/>
            </w:pPr>
            <w:r>
              <w:rPr>
                <w:rFonts w:ascii="Arial" w:cs="Arial" w:eastAsia="Arial" w:hAnsi="Arial"/>
                <w:b/>
                <w:bCs/>
                <w:color w:val="FFFFFF"/>
                <w:sz w:val="17"/>
                <w:szCs w:val="17"/>
              </w:rPr>
              <w:t xml:space="preserve">Model</w:t>
            </w:r>
          </w:p>
        </w:tc>
        <w:tc>
          <w:tcPr>
            <w:tcW w:type="dxa" w:w="1800"/>
            <w:tcBorders>
              <w:top w:val="single" w:color="BBBBBB" w:sz="1"/>
              <w:left w:val="single" w:color="BBBBBB" w:sz="1"/>
              <w:bottom w:val="single" w:color="BBBBBB" w:sz="1"/>
              <w:right w:val="single" w:color="BBBBBB" w:sz="1"/>
            </w:tcBorders>
            <w:shd w:fill="1F4E79" w:val="clear"/>
            <w:tcMar>
              <w:top w:type="dxa" w:w="80"/>
              <w:left w:type="dxa" w:w="110"/>
              <w:bottom w:type="dxa" w:w="80"/>
              <w:right w:type="dxa" w:w="110"/>
            </w:tcMar>
          </w:tcPr>
          <w:p>
            <w:pPr>
              <w:jc w:val="center"/>
            </w:pPr>
            <w:r>
              <w:rPr>
                <w:rFonts w:ascii="Arial" w:cs="Arial" w:eastAsia="Arial" w:hAnsi="Arial"/>
                <w:b/>
                <w:bCs/>
                <w:color w:val="FFFFFF"/>
                <w:sz w:val="17"/>
                <w:szCs w:val="17"/>
              </w:rPr>
              <w:t xml:space="preserve">Hardware</w:t>
            </w:r>
          </w:p>
        </w:tc>
        <w:tc>
          <w:tcPr>
            <w:tcW w:type="dxa" w:w="1800"/>
            <w:tcBorders>
              <w:top w:val="single" w:color="BBBBBB" w:sz="1"/>
              <w:left w:val="single" w:color="BBBBBB" w:sz="1"/>
              <w:bottom w:val="single" w:color="BBBBBB" w:sz="1"/>
              <w:right w:val="single" w:color="BBBBBB" w:sz="1"/>
            </w:tcBorders>
            <w:shd w:fill="1F4E79" w:val="clear"/>
            <w:tcMar>
              <w:top w:type="dxa" w:w="80"/>
              <w:left w:type="dxa" w:w="110"/>
              <w:bottom w:type="dxa" w:w="80"/>
              <w:right w:type="dxa" w:w="110"/>
            </w:tcMar>
          </w:tcPr>
          <w:p>
            <w:pPr>
              <w:jc w:val="center"/>
            </w:pPr>
            <w:r>
              <w:rPr>
                <w:rFonts w:ascii="Arial" w:cs="Arial" w:eastAsia="Arial" w:hAnsi="Arial"/>
                <w:b/>
                <w:bCs/>
                <w:color w:val="FFFFFF"/>
                <w:sz w:val="17"/>
                <w:szCs w:val="17"/>
              </w:rPr>
              <w:t xml:space="preserve">Throughput (tok/s)</w:t>
            </w:r>
          </w:p>
        </w:tc>
        <w:tc>
          <w:tcPr>
            <w:tcW w:type="dxa" w:w="1800"/>
            <w:tcBorders>
              <w:top w:val="single" w:color="BBBBBB" w:sz="1"/>
              <w:left w:val="single" w:color="BBBBBB" w:sz="1"/>
              <w:bottom w:val="single" w:color="BBBBBB" w:sz="1"/>
              <w:right w:val="single" w:color="BBBBBB" w:sz="1"/>
            </w:tcBorders>
            <w:shd w:fill="1F4E79" w:val="clear"/>
            <w:tcMar>
              <w:top w:type="dxa" w:w="80"/>
              <w:left w:type="dxa" w:w="110"/>
              <w:bottom w:type="dxa" w:w="80"/>
              <w:right w:type="dxa" w:w="110"/>
            </w:tcMar>
          </w:tcPr>
          <w:p>
            <w:pPr>
              <w:jc w:val="center"/>
            </w:pPr>
            <w:r>
              <w:rPr>
                <w:rFonts w:ascii="Arial" w:cs="Arial" w:eastAsia="Arial" w:hAnsi="Arial"/>
                <w:b/>
                <w:bCs/>
                <w:color w:val="FFFFFF"/>
                <w:sz w:val="17"/>
                <w:szCs w:val="17"/>
              </w:rPr>
              <w:t xml:space="preserve">Active Params</w:t>
            </w:r>
          </w:p>
        </w:tc>
        <w:tc>
          <w:tcPr>
            <w:tcW w:type="dxa" w:w="1800"/>
            <w:tcBorders>
              <w:top w:val="single" w:color="BBBBBB" w:sz="1"/>
              <w:left w:val="single" w:color="BBBBBB" w:sz="1"/>
              <w:bottom w:val="single" w:color="BBBBBB" w:sz="1"/>
              <w:right w:val="single" w:color="BBBBBB" w:sz="1"/>
            </w:tcBorders>
            <w:shd w:fill="1F4E79" w:val="clear"/>
            <w:tcMar>
              <w:top w:type="dxa" w:w="80"/>
              <w:left w:type="dxa" w:w="110"/>
              <w:bottom w:type="dxa" w:w="80"/>
              <w:right w:type="dxa" w:w="110"/>
            </w:tcMar>
          </w:tcPr>
          <w:p>
            <w:pPr>
              <w:jc w:val="center"/>
            </w:pPr>
            <w:r>
              <w:rPr>
                <w:rFonts w:ascii="Arial" w:cs="Arial" w:eastAsia="Arial" w:hAnsi="Arial"/>
                <w:b/>
                <w:bCs/>
                <w:color w:val="FFFFFF"/>
                <w:sz w:val="17"/>
                <w:szCs w:val="17"/>
              </w:rPr>
              <w:t xml:space="preserve">Efficiency Note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GPT-OSS-20B</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A100 80GB</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~32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3.6B</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Baseline MoE reference</w:t>
            </w:r>
          </w:p>
        </w:tc>
      </w:tr>
      <w:tr>
        <w:tc>
          <w:tcPr>
            <w:tcW w:type="dxa" w:w="20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Qwen3-30B-A3B</w:t>
            </w:r>
          </w:p>
        </w:tc>
        <w:tc>
          <w:tcPr>
            <w:tcW w:type="dxa" w:w="18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RTX 3090 (Q6 quant)</w:t>
            </w:r>
          </w:p>
        </w:tc>
        <w:tc>
          <w:tcPr>
            <w:tcW w:type="dxa" w:w="1800"/>
            <w:tcBorders>
              <w:top w:val="single" w:color="BBBBBB" w:sz="1"/>
              <w:left w:val="single" w:color="BBBBBB" w:sz="1"/>
              <w:bottom w:val="single" w:color="BBBBBB" w:sz="1"/>
              <w:right w:val="single" w:color="BBBBBB" w:sz="1"/>
            </w:tcBorders>
            <w:shd w:fill="C8E6C9" w:val="clear"/>
            <w:tcMar>
              <w:top w:type="dxa" w:w="80"/>
              <w:left w:type="dxa" w:w="110"/>
              <w:bottom w:type="dxa" w:w="80"/>
              <w:right w:type="dxa" w:w="110"/>
            </w:tcMar>
          </w:tcPr>
          <w:p>
            <w:pPr>
              <w:jc w:val="center"/>
            </w:pPr>
            <w:r>
              <w:rPr>
                <w:rFonts w:ascii="Arial" w:cs="Arial" w:eastAsia="Arial" w:hAnsi="Arial"/>
                <w:b/>
                <w:bCs/>
                <w:color w:val="1B5E20"/>
                <w:sz w:val="17"/>
                <w:szCs w:val="17"/>
              </w:rPr>
              <w:t xml:space="preserve">~73</w:t>
            </w:r>
          </w:p>
        </w:tc>
        <w:tc>
          <w:tcPr>
            <w:tcW w:type="dxa" w:w="18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3.3B</w:t>
            </w:r>
          </w:p>
        </w:tc>
        <w:tc>
          <w:tcPr>
            <w:tcW w:type="dxa" w:w="18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Consumer GPU viable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Qwen3-30B-A3B</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Apple M4 Max (Q4, MLX)</w:t>
            </w:r>
          </w:p>
        </w:tc>
        <w:tc>
          <w:tcPr>
            <w:tcW w:type="dxa" w:w="1800"/>
            <w:tcBorders>
              <w:top w:val="single" w:color="BBBBBB" w:sz="1"/>
              <w:left w:val="single" w:color="BBBBBB" w:sz="1"/>
              <w:bottom w:val="single" w:color="BBBBBB" w:sz="1"/>
              <w:right w:val="single" w:color="BBBBBB" w:sz="1"/>
            </w:tcBorders>
            <w:shd w:fill="C8E6C9" w:val="clear"/>
            <w:tcMar>
              <w:top w:type="dxa" w:w="80"/>
              <w:left w:type="dxa" w:w="110"/>
              <w:bottom w:type="dxa" w:w="80"/>
              <w:right w:type="dxa" w:w="110"/>
            </w:tcMar>
          </w:tcPr>
          <w:p>
            <w:pPr>
              <w:jc w:val="center"/>
            </w:pPr>
            <w:r>
              <w:rPr>
                <w:rFonts w:ascii="Arial" w:cs="Arial" w:eastAsia="Arial" w:hAnsi="Arial"/>
                <w:b/>
                <w:bCs/>
                <w:color w:val="1B5E20"/>
                <w:sz w:val="17"/>
                <w:szCs w:val="17"/>
              </w:rPr>
              <w:t xml:space="preserve">&gt;100</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3.3B</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Best Apple Silicon perf</w:t>
            </w:r>
          </w:p>
        </w:tc>
      </w:tr>
      <w:tr>
        <w:tc>
          <w:tcPr>
            <w:tcW w:type="dxa" w:w="20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LFM2-24B-A2B</w:t>
            </w:r>
          </w:p>
        </w:tc>
        <w:tc>
          <w:tcPr>
            <w:tcW w:type="dxa" w:w="18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AMD Ryzen AI Max+ 395</w:t>
            </w:r>
          </w:p>
        </w:tc>
        <w:tc>
          <w:tcPr>
            <w:tcW w:type="dxa" w:w="1800"/>
            <w:tcBorders>
              <w:top w:val="single" w:color="BBBBBB" w:sz="1"/>
              <w:left w:val="single" w:color="BBBBBB" w:sz="1"/>
              <w:bottom w:val="single" w:color="BBBBBB" w:sz="1"/>
              <w:right w:val="single" w:color="BBBBBB" w:sz="1"/>
            </w:tcBorders>
            <w:shd w:fill="C8E6C9" w:val="clear"/>
            <w:tcMar>
              <w:top w:type="dxa" w:w="80"/>
              <w:left w:type="dxa" w:w="110"/>
              <w:bottom w:type="dxa" w:w="80"/>
              <w:right w:type="dxa" w:w="110"/>
            </w:tcMar>
          </w:tcPr>
          <w:p>
            <w:pPr>
              <w:jc w:val="center"/>
            </w:pPr>
            <w:r>
              <w:rPr>
                <w:rFonts w:ascii="Arial" w:cs="Arial" w:eastAsia="Arial" w:hAnsi="Arial"/>
                <w:b/>
                <w:bCs/>
                <w:color w:val="1B5E20"/>
                <w:sz w:val="17"/>
                <w:szCs w:val="17"/>
              </w:rPr>
              <w:t xml:space="preserve">112 (decode)</w:t>
            </w:r>
          </w:p>
        </w:tc>
        <w:tc>
          <w:tcPr>
            <w:tcW w:type="dxa" w:w="18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2B</w:t>
            </w:r>
          </w:p>
        </w:tc>
        <w:tc>
          <w:tcPr>
            <w:tcW w:type="dxa" w:w="18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CPU-only; 32GB RAM</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LFM2-24B-A2B</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NVIDIA H100</w:t>
            </w:r>
          </w:p>
        </w:tc>
        <w:tc>
          <w:tcPr>
            <w:tcW w:type="dxa" w:w="1800"/>
            <w:tcBorders>
              <w:top w:val="single" w:color="BBBBBB" w:sz="1"/>
              <w:left w:val="single" w:color="BBBBBB" w:sz="1"/>
              <w:bottom w:val="single" w:color="BBBBBB" w:sz="1"/>
              <w:right w:val="single" w:color="BBBBBB" w:sz="1"/>
            </w:tcBorders>
            <w:shd w:fill="C8E6C9" w:val="clear"/>
            <w:tcMar>
              <w:top w:type="dxa" w:w="80"/>
              <w:left w:type="dxa" w:w="110"/>
              <w:bottom w:type="dxa" w:w="80"/>
              <w:right w:type="dxa" w:w="110"/>
            </w:tcMar>
          </w:tcPr>
          <w:p>
            <w:pPr>
              <w:jc w:val="center"/>
            </w:pPr>
            <w:r>
              <w:rPr>
                <w:rFonts w:ascii="Arial" w:cs="Arial" w:eastAsia="Arial" w:hAnsi="Arial"/>
                <w:b/>
                <w:bCs/>
                <w:color w:val="1B5E20"/>
                <w:sz w:val="17"/>
                <w:szCs w:val="17"/>
              </w:rPr>
              <w:t xml:space="preserve">293 (decode)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2B</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Best-in-class on H100</w:t>
            </w:r>
          </w:p>
        </w:tc>
      </w:tr>
      <w:tr>
        <w:tc>
          <w:tcPr>
            <w:tcW w:type="dxa" w:w="20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MiniMax M2.5-Lightning</w:t>
            </w:r>
          </w:p>
        </w:tc>
        <w:tc>
          <w:tcPr>
            <w:tcW w:type="dxa" w:w="18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Cloud API</w:t>
            </w:r>
          </w:p>
        </w:tc>
        <w:tc>
          <w:tcPr>
            <w:tcW w:type="dxa" w:w="1800"/>
            <w:tcBorders>
              <w:top w:val="single" w:color="BBBBBB" w:sz="1"/>
              <w:left w:val="single" w:color="BBBBBB" w:sz="1"/>
              <w:bottom w:val="single" w:color="BBBBBB" w:sz="1"/>
              <w:right w:val="single" w:color="BBBBBB" w:sz="1"/>
            </w:tcBorders>
            <w:shd w:fill="C8E6C9" w:val="clear"/>
            <w:tcMar>
              <w:top w:type="dxa" w:w="80"/>
              <w:left w:type="dxa" w:w="110"/>
              <w:bottom w:type="dxa" w:w="80"/>
              <w:right w:type="dxa" w:w="110"/>
            </w:tcMar>
          </w:tcPr>
          <w:p>
            <w:pPr>
              <w:jc w:val="center"/>
            </w:pPr>
            <w:r>
              <w:rPr>
                <w:rFonts w:ascii="Arial" w:cs="Arial" w:eastAsia="Arial" w:hAnsi="Arial"/>
                <w:b/>
                <w:bCs/>
                <w:color w:val="1B5E20"/>
                <w:sz w:val="17"/>
                <w:szCs w:val="17"/>
              </w:rPr>
              <w:t xml:space="preserve">100</w:t>
            </w:r>
          </w:p>
        </w:tc>
        <w:tc>
          <w:tcPr>
            <w:tcW w:type="dxa" w:w="18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10B</w:t>
            </w:r>
          </w:p>
        </w:tc>
        <w:tc>
          <w:tcPr>
            <w:tcW w:type="dxa" w:w="18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Extreme sparsity: 4.3%</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GLM-5 (744B)</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Blackwell / Hopper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~30–70B dense equiv.</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40B</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DSA attention cuts 95% compute</w:t>
            </w:r>
          </w:p>
        </w:tc>
      </w:tr>
    </w:tbl>
    <w:p>
      <w:pPr>
        <w:spacing w:after="100"/>
      </w:pPr>
      <w:r>
        <w:rPr>
          <w:rFonts w:ascii="Arial" w:cs="Arial" w:eastAsia="Arial" w:hAnsi="Arial"/>
          <w:i/>
          <w:iCs/>
          <w:color w:val="555555"/>
          <w:sz w:val="16"/>
          <w:szCs w:val="16"/>
        </w:rPr>
        <w:t xml:space="preserve">Sources: LFM2 — huggingface.co/LiquidAI/LFM2-24B-A2B (official model card); Qwen3 speeds — reddit.com/r/LocalLLaMA community benchmarks + qwenlm.github.io; MiniMax M2.5 — minimax.io/news/minimax-m25; GLM-5 — z.ai/blog/glm-5; GPT-OSS baseline — Lopez et al. (2025).</w:t>
      </w:r>
    </w:p>
    <w:p>
      <w:pPr>
        <w:spacing w:after="160"/>
      </w:pPr>
      <w:r>
        <w:t xml:space="preserve"/>
      </w:r>
    </w:p>
    <w:p>
      <w:pPr>
        <w:spacing w:before="280" w:after="120"/>
      </w:pPr>
      <w:r>
        <w:rPr>
          <w:rFonts w:ascii="Arial" w:cs="Arial" w:eastAsia="Arial" w:hAnsi="Arial"/>
          <w:b/>
          <w:bCs/>
          <w:color w:val="1F4E79"/>
          <w:sz w:val="28"/>
          <w:szCs w:val="28"/>
        </w:rPr>
        <w:t xml:space="preserve">4.4  Updated Diffusion Model Baseline</w:t>
      </w:r>
    </w:p>
    <w:p>
      <w:pPr>
        <w:spacing w:after="140"/>
      </w:pPr>
      <w:r>
        <w:rPr>
          <w:rFonts w:ascii="Arial" w:cs="Arial" w:eastAsia="Arial" w:hAnsi="Arial"/>
          <w:sz w:val="20"/>
          <w:szCs w:val="20"/>
        </w:rPr>
        <w:t xml:space="preserve">Table 4.3 extends the original 17-model survey (Bertazzini et al., 2025) with six new architectures. Qwen-Image-2.0 (Feb 2026) is particularly significant from an efficiency standpoint: it unifies generation and editing into a single 7B model—a 65% parameter reduction from its 20B predecessor—while achieving #1 AI Arena ELO for both tasks and a DPG-Bench score of 88.32, surpassing Flux.1-dev (83.84). Its architecture (8B Qwen3-VL encoder + 7B DiT decoder) and native 2048×2048 output make it the recommended choice when both generation quality and editing capability are required within a 24 GB VRAM budget. Qwen-Image-Edit-2511 (Dec 2025) is a dedicated 20B editing model whose LightX2V Lightning distilled variant reduces inference steps from 40 to 4 (42.55× speedup), with an FP8+distill option at 8 steps—making it the most energy-efficient precision editing option per output quality.</w:t>
      </w:r>
    </w:p>
    <w:p>
      <w:pPr>
        <w:spacing w:after="160"/>
      </w:pPr>
      <w:r>
        <w:t xml:space="preserve"/>
      </w:r>
    </w:p>
    <w:p>
      <w:pPr>
        <w:spacing w:after="80"/>
      </w:pPr>
      <w:r>
        <w:rPr>
          <w:rFonts w:ascii="Arial" w:cs="Arial" w:eastAsia="Arial" w:hAnsi="Arial"/>
          <w:b/>
          <w:bCs/>
          <w:color w:val="FFFFFF"/>
          <w:sz w:val="16"/>
          <w:szCs w:val="16"/>
          <w:shd w:fill="C62828" w:val="clear"/>
        </w:rPr>
        <w:t xml:space="preserve"> ★ NEW DATA </w:t>
      </w:r>
      <w:r>
        <w:rPr>
          <w:rFonts w:ascii="Arial" w:cs="Arial" w:eastAsia="Arial" w:hAnsi="Arial"/>
          <w:i/>
          <w:iCs/>
          <w:color w:val="C62828"/>
          <w:sz w:val="16"/>
          <w:szCs w:val="16"/>
        </w:rPr>
        <w:t xml:space="preserve"> Table 4.3 adds Flux 1.1 Pro Ultra, Z-Image, Z-Image-Turbo, Qwen-Image-2.0, Qwen-Image-Edit-2511, GLM-Image</w:t>
      </w:r>
    </w:p>
    <w:p>
      <w:pPr>
        <w:spacing w:after="80"/>
        <w:jc w:val="center"/>
      </w:pPr>
      <w:r>
        <w:rPr>
          <w:rFonts w:ascii="Arial" w:cs="Arial" w:eastAsia="Arial" w:hAnsi="Arial"/>
          <w:b/>
          <w:bCs/>
          <w:color w:val="1F4E79"/>
          <w:sz w:val="18"/>
          <w:szCs w:val="18"/>
        </w:rPr>
        <w:t xml:space="preserve">Table 4.3  Updated Diffusion Model Baseline Energy at 512×512 (mWh; ★ = new model; est.* = estimated)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600"/>
        <w:gridCol w:w="1700"/>
        <w:gridCol w:w="2000"/>
      </w:tblGrid>
      <w:tr>
        <w:tc>
          <w:tcPr>
            <w:tcW w:type="dxa" w:w="2200"/>
            <w:tcBorders>
              <w:top w:val="single" w:color="BBBBBB" w:sz="1"/>
              <w:left w:val="single" w:color="BBBBBB" w:sz="1"/>
              <w:bottom w:val="single" w:color="BBBBBB" w:sz="1"/>
              <w:right w:val="single" w:color="BBBBBB" w:sz="1"/>
            </w:tcBorders>
            <w:shd w:fill="1F4E79" w:val="clear"/>
            <w:tcMar>
              <w:top w:type="dxa" w:w="80"/>
              <w:left w:type="dxa" w:w="110"/>
              <w:bottom w:type="dxa" w:w="80"/>
              <w:right w:type="dxa" w:w="110"/>
            </w:tcMar>
          </w:tcPr>
          <w:p>
            <w:pPr>
              <w:jc w:val="center"/>
            </w:pPr>
            <w:r>
              <w:rPr>
                <w:rFonts w:ascii="Arial" w:cs="Arial" w:eastAsia="Arial" w:hAnsi="Arial"/>
                <w:b/>
                <w:bCs/>
                <w:color w:val="FFFFFF"/>
                <w:sz w:val="17"/>
                <w:szCs w:val="17"/>
              </w:rPr>
              <w:t xml:space="preserve">Model</w:t>
            </w:r>
          </w:p>
        </w:tc>
        <w:tc>
          <w:tcPr>
            <w:tcW w:type="dxa" w:w="1700"/>
            <w:tcBorders>
              <w:top w:val="single" w:color="BBBBBB" w:sz="1"/>
              <w:left w:val="single" w:color="BBBBBB" w:sz="1"/>
              <w:bottom w:val="single" w:color="BBBBBB" w:sz="1"/>
              <w:right w:val="single" w:color="BBBBBB" w:sz="1"/>
            </w:tcBorders>
            <w:shd w:fill="1F4E79" w:val="clear"/>
            <w:tcMar>
              <w:top w:type="dxa" w:w="80"/>
              <w:left w:type="dxa" w:w="110"/>
              <w:bottom w:type="dxa" w:w="80"/>
              <w:right w:type="dxa" w:w="110"/>
            </w:tcMar>
          </w:tcPr>
          <w:p>
            <w:pPr>
              <w:jc w:val="center"/>
            </w:pPr>
            <w:r>
              <w:rPr>
                <w:rFonts w:ascii="Arial" w:cs="Arial" w:eastAsia="Arial" w:hAnsi="Arial"/>
                <w:b/>
                <w:bCs/>
                <w:color w:val="FFFFFF"/>
                <w:sz w:val="17"/>
                <w:szCs w:val="17"/>
              </w:rPr>
              <w:t xml:space="preserve">Architecture</w:t>
            </w:r>
          </w:p>
        </w:tc>
        <w:tc>
          <w:tcPr>
            <w:tcW w:type="dxa" w:w="1600"/>
            <w:tcBorders>
              <w:top w:val="single" w:color="BBBBBB" w:sz="1"/>
              <w:left w:val="single" w:color="BBBBBB" w:sz="1"/>
              <w:bottom w:val="single" w:color="BBBBBB" w:sz="1"/>
              <w:right w:val="single" w:color="BBBBBB" w:sz="1"/>
            </w:tcBorders>
            <w:shd w:fill="1F4E79" w:val="clear"/>
            <w:tcMar>
              <w:top w:type="dxa" w:w="80"/>
              <w:left w:type="dxa" w:w="110"/>
              <w:bottom w:type="dxa" w:w="80"/>
              <w:right w:type="dxa" w:w="110"/>
            </w:tcMar>
          </w:tcPr>
          <w:p>
            <w:pPr>
              <w:jc w:val="center"/>
            </w:pPr>
            <w:r>
              <w:rPr>
                <w:rFonts w:ascii="Arial" w:cs="Arial" w:eastAsia="Arial" w:hAnsi="Arial"/>
                <w:b/>
                <w:bCs/>
                <w:color w:val="FFFFFF"/>
                <w:sz w:val="17"/>
                <w:szCs w:val="17"/>
              </w:rPr>
              <w:t xml:space="preserve">Energy (mWh @ 512²)</w:t>
            </w:r>
          </w:p>
        </w:tc>
        <w:tc>
          <w:tcPr>
            <w:tcW w:type="dxa" w:w="1700"/>
            <w:tcBorders>
              <w:top w:val="single" w:color="BBBBBB" w:sz="1"/>
              <w:left w:val="single" w:color="BBBBBB" w:sz="1"/>
              <w:bottom w:val="single" w:color="BBBBBB" w:sz="1"/>
              <w:right w:val="single" w:color="BBBBBB" w:sz="1"/>
            </w:tcBorders>
            <w:shd w:fill="1F4E79" w:val="clear"/>
            <w:tcMar>
              <w:top w:type="dxa" w:w="80"/>
              <w:left w:type="dxa" w:w="110"/>
              <w:bottom w:type="dxa" w:w="80"/>
              <w:right w:type="dxa" w:w="110"/>
            </w:tcMar>
          </w:tcPr>
          <w:p>
            <w:pPr>
              <w:jc w:val="center"/>
            </w:pPr>
            <w:r>
              <w:rPr>
                <w:rFonts w:ascii="Arial" w:cs="Arial" w:eastAsia="Arial" w:hAnsi="Arial"/>
                <w:b/>
                <w:bCs/>
                <w:color w:val="FFFFFF"/>
                <w:sz w:val="17"/>
                <w:szCs w:val="17"/>
              </w:rPr>
              <w:t xml:space="preserve">Inference Steps</w:t>
            </w:r>
          </w:p>
        </w:tc>
        <w:tc>
          <w:tcPr>
            <w:tcW w:type="dxa" w:w="2000"/>
            <w:tcBorders>
              <w:top w:val="single" w:color="BBBBBB" w:sz="1"/>
              <w:left w:val="single" w:color="BBBBBB" w:sz="1"/>
              <w:bottom w:val="single" w:color="BBBBBB" w:sz="1"/>
              <w:right w:val="single" w:color="BBBBBB" w:sz="1"/>
            </w:tcBorders>
            <w:shd w:fill="1F4E79" w:val="clear"/>
            <w:tcMar>
              <w:top w:type="dxa" w:w="80"/>
              <w:left w:type="dxa" w:w="110"/>
              <w:bottom w:type="dxa" w:w="80"/>
              <w:right w:type="dxa" w:w="110"/>
            </w:tcMar>
          </w:tcPr>
          <w:p>
            <w:pPr>
              <w:jc w:val="center"/>
            </w:pPr>
            <w:r>
              <w:rPr>
                <w:rFonts w:ascii="Arial" w:cs="Arial" w:eastAsia="Arial" w:hAnsi="Arial"/>
                <w:b/>
                <w:bCs/>
                <w:color w:val="FFFFFF"/>
                <w:sz w:val="17"/>
                <w:szCs w:val="17"/>
              </w:rPr>
              <w:t xml:space="preserve">Notes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SD v1.5</w:t>
            </w:r>
          </w:p>
        </w:tc>
        <w:tc>
          <w:tcPr>
            <w:tcW w:type="dxa" w:w="17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U-Net</w:t>
            </w:r>
          </w:p>
        </w:tc>
        <w:tc>
          <w:tcPr>
            <w:tcW w:type="dxa" w:w="1600"/>
            <w:tcBorders>
              <w:top w:val="single" w:color="BBBBBB" w:sz="1"/>
              <w:left w:val="single" w:color="BBBBBB" w:sz="1"/>
              <w:bottom w:val="single" w:color="BBBBBB" w:sz="1"/>
              <w:right w:val="single" w:color="BBBBBB" w:sz="1"/>
            </w:tcBorders>
            <w:shd w:fill="FFECB3"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3.85</w:t>
            </w:r>
          </w:p>
        </w:tc>
        <w:tc>
          <w:tcPr>
            <w:tcW w:type="dxa" w:w="17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50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Legacy baseline</w:t>
            </w:r>
          </w:p>
        </w:tc>
      </w:tr>
      <w:tr>
        <w:tc>
          <w:tcPr>
            <w:tcW w:type="dxa" w:w="22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SDXL</w:t>
            </w:r>
          </w:p>
        </w:tc>
        <w:tc>
          <w:tcPr>
            <w:tcW w:type="dxa" w:w="17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U-Net (large)</w:t>
            </w:r>
          </w:p>
        </w:tc>
        <w:tc>
          <w:tcPr>
            <w:tcW w:type="dxa" w:w="1600"/>
            <w:tcBorders>
              <w:top w:val="single" w:color="BBBBBB" w:sz="1"/>
              <w:left w:val="single" w:color="BBBBBB" w:sz="1"/>
              <w:bottom w:val="single" w:color="BBBBBB" w:sz="1"/>
              <w:right w:val="single" w:color="BBBBBB" w:sz="1"/>
            </w:tcBorders>
            <w:shd w:fill="FFECB3"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2.88</w:t>
            </w:r>
          </w:p>
        </w:tc>
        <w:tc>
          <w:tcPr>
            <w:tcW w:type="dxa" w:w="17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50</w:t>
            </w:r>
          </w:p>
        </w:tc>
        <w:tc>
          <w:tcPr>
            <w:tcW w:type="dxa" w:w="20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INT8 saves 25.7% at 512²</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SDXL Turbo</w:t>
            </w:r>
          </w:p>
        </w:tc>
        <w:tc>
          <w:tcPr>
            <w:tcW w:type="dxa" w:w="17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U-Net distilled</w:t>
            </w:r>
          </w:p>
        </w:tc>
        <w:tc>
          <w:tcPr>
            <w:tcW w:type="dxa" w:w="1600"/>
            <w:tcBorders>
              <w:top w:val="single" w:color="BBBBBB" w:sz="1"/>
              <w:left w:val="single" w:color="BBBBBB" w:sz="1"/>
              <w:bottom w:val="single" w:color="BBBBBB" w:sz="1"/>
              <w:right w:val="single" w:color="BBBBBB" w:sz="1"/>
            </w:tcBorders>
            <w:shd w:fill="C8E6C9" w:val="clear"/>
            <w:tcMar>
              <w:top w:type="dxa" w:w="80"/>
              <w:left w:type="dxa" w:w="110"/>
              <w:bottom w:type="dxa" w:w="80"/>
              <w:right w:type="dxa" w:w="110"/>
            </w:tcMar>
          </w:tcPr>
          <w:p>
            <w:pPr>
              <w:jc w:val="center"/>
            </w:pPr>
            <w:r>
              <w:rPr>
                <w:rFonts w:ascii="Arial" w:cs="Arial" w:eastAsia="Arial" w:hAnsi="Arial"/>
                <w:b/>
                <w:bCs/>
                <w:color w:val="1B5E20"/>
                <w:sz w:val="17"/>
                <w:szCs w:val="17"/>
              </w:rPr>
              <w:t xml:space="preserve">1.33</w:t>
            </w:r>
          </w:p>
        </w:tc>
        <w:tc>
          <w:tcPr>
            <w:tcW w:type="dxa" w:w="17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4</w:t>
            </w:r>
          </w:p>
        </w:tc>
        <w:tc>
          <w:tcPr>
            <w:tcW w:type="dxa" w:w="2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Step distillation best practice</w:t>
            </w:r>
          </w:p>
        </w:tc>
      </w:tr>
      <w:tr>
        <w:tc>
          <w:tcPr>
            <w:tcW w:type="dxa" w:w="22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Flash SD3</w:t>
            </w:r>
          </w:p>
        </w:tc>
        <w:tc>
          <w:tcPr>
            <w:tcW w:type="dxa" w:w="17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Transformer</w:t>
            </w:r>
          </w:p>
        </w:tc>
        <w:tc>
          <w:tcPr>
            <w:tcW w:type="dxa" w:w="1600"/>
            <w:tcBorders>
              <w:top w:val="single" w:color="BBBBBB" w:sz="1"/>
              <w:left w:val="single" w:color="BBBBBB" w:sz="1"/>
              <w:bottom w:val="single" w:color="BBBBBB" w:sz="1"/>
              <w:right w:val="single" w:color="BBBBBB" w:sz="1"/>
            </w:tcBorders>
            <w:shd w:fill="C8E6C9" w:val="clear"/>
            <w:tcMar>
              <w:top w:type="dxa" w:w="80"/>
              <w:left w:type="dxa" w:w="110"/>
              <w:bottom w:type="dxa" w:w="80"/>
              <w:right w:type="dxa" w:w="110"/>
            </w:tcMar>
          </w:tcPr>
          <w:p>
            <w:pPr>
              <w:jc w:val="center"/>
            </w:pPr>
            <w:r>
              <w:rPr>
                <w:rFonts w:ascii="Arial" w:cs="Arial" w:eastAsia="Arial" w:hAnsi="Arial"/>
                <w:b/>
                <w:bCs/>
                <w:color w:val="1B5E20"/>
                <w:sz w:val="17"/>
                <w:szCs w:val="17"/>
              </w:rPr>
              <w:t xml:space="preserve">1.85</w:t>
            </w:r>
          </w:p>
        </w:tc>
        <w:tc>
          <w:tcPr>
            <w:tcW w:type="dxa" w:w="17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8</w:t>
            </w:r>
          </w:p>
        </w:tc>
        <w:tc>
          <w:tcPr>
            <w:tcW w:type="dxa" w:w="20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Best FID of all 17 models tested</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Flux Dev (11.9B)</w:t>
            </w:r>
          </w:p>
        </w:tc>
        <w:tc>
          <w:tcPr>
            <w:tcW w:type="dxa" w:w="17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DiT Transformer</w:t>
            </w:r>
          </w:p>
        </w:tc>
        <w:tc>
          <w:tcPr>
            <w:tcW w:type="dxa" w:w="1600"/>
            <w:tcBorders>
              <w:top w:val="single" w:color="BBBBBB" w:sz="1"/>
              <w:left w:val="single" w:color="BBBBBB" w:sz="1"/>
              <w:bottom w:val="single" w:color="BBBBBB" w:sz="1"/>
              <w:right w:val="single" w:color="BBBBBB" w:sz="1"/>
            </w:tcBorders>
            <w:shd w:fill="FFECB3"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1.50 FP16</w:t>
            </w:r>
          </w:p>
        </w:tc>
        <w:tc>
          <w:tcPr>
            <w:tcW w:type="dxa" w:w="17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28</w:t>
            </w:r>
          </w:p>
        </w:tc>
        <w:tc>
          <w:tcPr>
            <w:tcW w:type="dxa" w:w="2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INT8 ↑8.7%; use FP8 on H100</w:t>
            </w:r>
          </w:p>
        </w:tc>
      </w:tr>
      <w:tr>
        <w:tc>
          <w:tcPr>
            <w:tcW w:type="dxa" w:w="22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Flux Schnell</w:t>
            </w:r>
          </w:p>
        </w:tc>
        <w:tc>
          <w:tcPr>
            <w:tcW w:type="dxa" w:w="17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DiT Transformer</w:t>
            </w:r>
          </w:p>
        </w:tc>
        <w:tc>
          <w:tcPr>
            <w:tcW w:type="dxa" w:w="1600"/>
            <w:tcBorders>
              <w:top w:val="single" w:color="BBBBBB" w:sz="1"/>
              <w:left w:val="single" w:color="BBBBBB" w:sz="1"/>
              <w:bottom w:val="single" w:color="BBBBBB" w:sz="1"/>
              <w:right w:val="single" w:color="BBBBBB" w:sz="1"/>
            </w:tcBorders>
            <w:shd w:fill="C8E6C9" w:val="clear"/>
            <w:tcMar>
              <w:top w:type="dxa" w:w="80"/>
              <w:left w:type="dxa" w:w="110"/>
              <w:bottom w:type="dxa" w:w="80"/>
              <w:right w:type="dxa" w:w="110"/>
            </w:tcMar>
          </w:tcPr>
          <w:p>
            <w:pPr>
              <w:jc w:val="center"/>
            </w:pPr>
            <w:r>
              <w:rPr>
                <w:rFonts w:ascii="Arial" w:cs="Arial" w:eastAsia="Arial" w:hAnsi="Arial"/>
                <w:b/>
                <w:bCs/>
                <w:color w:val="1B5E20"/>
                <w:sz w:val="17"/>
                <w:szCs w:val="17"/>
              </w:rPr>
              <w:t xml:space="preserve">~0.85</w:t>
            </w:r>
          </w:p>
        </w:tc>
        <w:tc>
          <w:tcPr>
            <w:tcW w:type="dxa" w:w="17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4</w:t>
            </w:r>
          </w:p>
        </w:tc>
        <w:tc>
          <w:tcPr>
            <w:tcW w:type="dxa" w:w="20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Lowest energy; 5.45s/image RTX 4090</w:t>
            </w:r>
          </w:p>
        </w:tc>
      </w:tr>
      <w:tr>
        <w:tc>
          <w:tcPr>
            <w:tcW w:type="dxa" w:w="2200"/>
            <w:tcBorders>
              <w:top w:val="single" w:color="BBBBBB" w:sz="1"/>
              <w:left w:val="single" w:color="BBBBBB" w:sz="1"/>
              <w:bottom w:val="single" w:color="BBBBBB" w:sz="1"/>
              <w:right w:val="single" w:color="BBBBBB" w:sz="1"/>
            </w:tcBorders>
            <w:shd w:fill="FFF8E1"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Flux 1.1 Pro Ultra ★</w:t>
            </w:r>
          </w:p>
        </w:tc>
        <w:tc>
          <w:tcPr>
            <w:tcW w:type="dxa" w:w="17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DiT Transformer (~12B)</w:t>
            </w:r>
          </w:p>
        </w:tc>
        <w:tc>
          <w:tcPr>
            <w:tcW w:type="dxa" w:w="16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~1.0 est.*</w:t>
            </w:r>
          </w:p>
        </w:tc>
        <w:tc>
          <w:tcPr>
            <w:tcW w:type="dxa" w:w="17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28 (Dev) / 4 (Schnell)</w:t>
            </w:r>
          </w:p>
        </w:tc>
        <w:tc>
          <w:tcPr>
            <w:tcW w:type="dxa" w:w="2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Up to 4MP (2048×2048); #1 Elo Artificial Analysis</w:t>
            </w:r>
          </w:p>
        </w:tc>
      </w:tr>
      <w:tr>
        <w:tc>
          <w:tcPr>
            <w:tcW w:type="dxa" w:w="2200"/>
            <w:tcBorders>
              <w:top w:val="single" w:color="BBBBBB" w:sz="1"/>
              <w:left w:val="single" w:color="BBBBBB" w:sz="1"/>
              <w:bottom w:val="single" w:color="BBBBBB" w:sz="1"/>
              <w:right w:val="single" w:color="BBBBBB" w:sz="1"/>
            </w:tcBorders>
            <w:shd w:fill="FFF8E1"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Z-Image (6B) ★</w:t>
            </w:r>
          </w:p>
        </w:tc>
        <w:tc>
          <w:tcPr>
            <w:tcW w:type="dxa" w:w="17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S3-DiT (single-stream)</w:t>
            </w:r>
          </w:p>
        </w:tc>
        <w:tc>
          <w:tcPr>
            <w:tcW w:type="dxa" w:w="16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~1.2 est.*</w:t>
            </w:r>
          </w:p>
        </w:tc>
        <w:tc>
          <w:tcPr>
            <w:tcW w:type="dxa" w:w="17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28–50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Unified text+image stream; bilingual text; 4MP</w:t>
            </w:r>
          </w:p>
        </w:tc>
      </w:tr>
      <w:tr>
        <w:tc>
          <w:tcPr>
            <w:tcW w:type="dxa" w:w="2200"/>
            <w:tcBorders>
              <w:top w:val="single" w:color="BBBBBB" w:sz="1"/>
              <w:left w:val="single" w:color="BBBBBB" w:sz="1"/>
              <w:bottom w:val="single" w:color="BBBBBB" w:sz="1"/>
              <w:right w:val="single" w:color="BBBBBB" w:sz="1"/>
            </w:tcBorders>
            <w:shd w:fill="FFF8E1"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Z-Image-Turbo (6B) ★</w:t>
            </w:r>
          </w:p>
        </w:tc>
        <w:tc>
          <w:tcPr>
            <w:tcW w:type="dxa" w:w="17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S3-DiT distilled</w:t>
            </w:r>
          </w:p>
        </w:tc>
        <w:tc>
          <w:tcPr>
            <w:tcW w:type="dxa" w:w="16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~0.55 est.*</w:t>
            </w:r>
          </w:p>
        </w:tc>
        <w:tc>
          <w:tcPr>
            <w:tcW w:type="dxa" w:w="17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8 (min 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Sub-second on H800; 16GB VRAM; #1 open-source Artificial Analysis</w:t>
            </w:r>
          </w:p>
        </w:tc>
      </w:tr>
      <w:tr>
        <w:tc>
          <w:tcPr>
            <w:tcW w:type="dxa" w:w="2200"/>
            <w:tcBorders>
              <w:top w:val="single" w:color="BBBBBB" w:sz="1"/>
              <w:left w:val="single" w:color="BBBBBB" w:sz="1"/>
              <w:bottom w:val="single" w:color="BBBBBB" w:sz="1"/>
              <w:right w:val="single" w:color="BBBBBB" w:sz="1"/>
            </w:tcBorders>
            <w:shd w:fill="EDE7F6" w:val="clear"/>
            <w:tcMar>
              <w:top w:type="dxa" w:w="80"/>
              <w:left w:type="dxa" w:w="110"/>
              <w:bottom w:type="dxa" w:w="80"/>
              <w:right w:type="dxa" w:w="110"/>
            </w:tcMar>
          </w:tcPr>
          <w:p>
            <w:pPr>
              <w:jc w:val="center"/>
            </w:pPr>
            <w:r>
              <w:rPr>
                <w:rFonts w:ascii="Arial" w:cs="Arial" w:eastAsia="Arial" w:hAnsi="Arial"/>
                <w:b/>
                <w:bCs/>
                <w:color w:val="4A148C"/>
                <w:sz w:val="17"/>
                <w:szCs w:val="17"/>
              </w:rPr>
              <w:t xml:space="preserve">GLM-Image (7B+9B) ★</w:t>
            </w:r>
          </w:p>
        </w:tc>
        <w:tc>
          <w:tcPr>
            <w:tcW w:type="dxa" w:w="17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S3-DiT + AR (hybrid)</w:t>
            </w:r>
          </w:p>
        </w:tc>
        <w:tc>
          <w:tcPr>
            <w:tcW w:type="dxa" w:w="16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~1.8 est.*</w:t>
            </w:r>
          </w:p>
        </w:tc>
        <w:tc>
          <w:tcPr>
            <w:tcW w:type="dxa" w:w="17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Hybrid (AR+diffusion)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Autoregressive + diffusion decoder; new paradigm</w:t>
            </w:r>
          </w:p>
        </w:tc>
      </w:tr>
      <w:tr>
        <w:tc>
          <w:tcPr>
            <w:tcW w:type="dxa" w:w="2200"/>
            <w:tcBorders>
              <w:top w:val="single" w:color="BBBBBB" w:sz="1"/>
              <w:left w:val="single" w:color="BBBBBB" w:sz="1"/>
              <w:bottom w:val="single" w:color="BBBBBB" w:sz="1"/>
              <w:right w:val="single" w:color="BBBBBB" w:sz="1"/>
            </w:tcBorders>
            <w:shd w:fill="FFF8E1"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Qwen-Image-2.0 (7B) ★</w:t>
            </w:r>
          </w:p>
        </w:tc>
        <w:tc>
          <w:tcPr>
            <w:tcW w:type="dxa" w:w="17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MMDiT (Qwen3-VL enc. + DiT dec.)</w:t>
            </w:r>
          </w:p>
        </w:tc>
        <w:tc>
          <w:tcPr>
            <w:tcW w:type="dxa" w:w="16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~0.9 est.*</w:t>
            </w:r>
          </w:p>
        </w:tc>
        <w:tc>
          <w:tcPr>
            <w:tcW w:type="dxa" w:w="17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~28–50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#1 AI Arena ELO gen+edit; native 2K (2048²); unified gen+edit; 7B vs 20B pred.; DPG-Bench 88.32 &gt; Flux.1-dev 83.84</w:t>
            </w:r>
          </w:p>
        </w:tc>
      </w:tr>
      <w:tr>
        <w:tc>
          <w:tcPr>
            <w:tcW w:type="dxa" w:w="2200"/>
            <w:tcBorders>
              <w:top w:val="single" w:color="BBBBBB" w:sz="1"/>
              <w:left w:val="single" w:color="BBBBBB" w:sz="1"/>
              <w:bottom w:val="single" w:color="BBBBBB" w:sz="1"/>
              <w:right w:val="single" w:color="BBBBBB" w:sz="1"/>
            </w:tcBorders>
            <w:shd w:fill="FFF8E1"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Qwen-Image-Edit-2511 (20B) ★</w:t>
            </w:r>
          </w:p>
        </w:tc>
        <w:tc>
          <w:tcPr>
            <w:tcW w:type="dxa" w:w="17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MMDiT + Qwen2.5-VL enc.</w:t>
            </w:r>
          </w:p>
        </w:tc>
        <w:tc>
          <w:tcPr>
            <w:tcW w:type="dxa" w:w="16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~2.8 / ~0.56 Lightning est.*</w:t>
            </w:r>
          </w:p>
        </w:tc>
        <w:tc>
          <w:tcPr>
            <w:tcW w:type="dxa" w:w="17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40 (base) / 4 (Lightning)</w:t>
            </w:r>
          </w:p>
        </w:tc>
        <w:tc>
          <w:tcPr>
            <w:tcW w:type="dxa" w:w="2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Editing model; LightX2V Lightning: 4-step distill = 42.55× speedup; FP8+distill variant at 8 steps; GGUF CPU offload supported</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Lumina (worst)</w:t>
            </w:r>
          </w:p>
        </w:tc>
        <w:tc>
          <w:tcPr>
            <w:tcW w:type="dxa" w:w="17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Transformer</w:t>
            </w:r>
          </w:p>
        </w:tc>
        <w:tc>
          <w:tcPr>
            <w:tcW w:type="dxa" w:w="1600"/>
            <w:tcBorders>
              <w:top w:val="single" w:color="BBBBBB" w:sz="1"/>
              <w:left w:val="single" w:color="BBBBBB" w:sz="1"/>
              <w:bottom w:val="single" w:color="BBBBBB" w:sz="1"/>
              <w:right w:val="single" w:color="BBBBBB" w:sz="1"/>
            </w:tcBorders>
            <w:shd w:fill="FFCDD2" w:val="clear"/>
            <w:tcMar>
              <w:top w:type="dxa" w:w="80"/>
              <w:left w:type="dxa" w:w="110"/>
              <w:bottom w:type="dxa" w:w="80"/>
              <w:right w:type="dxa" w:w="110"/>
            </w:tcMar>
          </w:tcPr>
          <w:p>
            <w:pPr>
              <w:jc w:val="center"/>
            </w:pPr>
            <w:r>
              <w:rPr>
                <w:rFonts w:ascii="Arial" w:cs="Arial" w:eastAsia="Arial" w:hAnsi="Arial"/>
                <w:b/>
                <w:bCs/>
                <w:color w:val="B71C1C"/>
                <w:sz w:val="17"/>
                <w:szCs w:val="17"/>
              </w:rPr>
              <w:t xml:space="preserve">4.75 ❌</w:t>
            </w:r>
          </w:p>
        </w:tc>
        <w:tc>
          <w:tcPr>
            <w:tcW w:type="dxa" w:w="17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50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Highest energy AND worst FID</w:t>
            </w:r>
          </w:p>
        </w:tc>
      </w:tr>
    </w:tbl>
    <w:p>
      <w:pPr>
        <w:spacing w:after="100"/>
      </w:pPr>
      <w:r>
        <w:rPr>
          <w:rFonts w:ascii="Arial" w:cs="Arial" w:eastAsia="Arial" w:hAnsi="Arial"/>
          <w:i/>
          <w:iCs/>
          <w:color w:val="555555"/>
          <w:sz w:val="16"/>
          <w:szCs w:val="16"/>
        </w:rPr>
        <w:t xml:space="preserve">Sources (existing models): Bertazzini et al. (2025) arXiv:2506.17016v1. Sources (new): Flux 1.1 Pro Ultra — bfl.ai + fal.ai/models/flux-pro/v1.1-ultra; Z-Image/Turbo — github.com/TongYiMAI/Z-Image + fal.ai/models/z-image/turbo; Qwen-Image-2.0 — qwen.ai/blog?id=qwen-image-2.0 + huggingface.co/Qwen/Qwen-Image + arXiv:2508.02324; Qwen-Image-Edit-2511 — qwen.ai/blog?id=qwen-image-edit-2511 + huggingface.co/Qwen/Qwen-Image-Edit-2511; GLM-Image — z.ai/blog/glm-image. Energy for ★ rows derived from step-count / active-parameter scaling relative to measured Flux Dev baseline.</w:t>
      </w:r>
    </w:p>
    <w:p>
      <w:pPr>
        <w:spacing w:after="160"/>
      </w:pPr>
      <w:r>
        <w:t xml:space="preserve"/>
      </w:r>
    </w:p>
    <w:p>
      <w:pPr>
        <w:spacing w:before="280" w:after="120"/>
      </w:pPr>
      <w:r>
        <w:rPr>
          <w:rFonts w:ascii="Arial" w:cs="Arial" w:eastAsia="Arial" w:hAnsi="Arial"/>
          <w:b/>
          <w:bCs/>
          <w:color w:val="1F4E79"/>
          <w:sz w:val="28"/>
          <w:szCs w:val="28"/>
        </w:rPr>
        <w:t xml:space="preserve">4.5  The Quantization Paradox — Updated with Distillation Alternative</w:t>
      </w:r>
    </w:p>
    <w:p>
      <w:pPr>
        <w:spacing w:after="140"/>
      </w:pPr>
      <w:r>
        <w:rPr>
          <w:rFonts w:ascii="Arial" w:cs="Arial" w:eastAsia="Arial" w:hAnsi="Arial"/>
          <w:sz w:val="20"/>
          <w:szCs w:val="20"/>
        </w:rPr>
        <w:t xml:space="preserve">Table 4.4 adds Qwen-Image-Edit-2511 and Z-Image-Turbo as distillation reference rows that sidestep the quantization paradox entirely. Qwen-Image-Edit-2511's LightX2V Lightning variant reduces 40-step inference to 4 steps (42.55× speedup over the base model), cutting estimated energy from ~2.8 mWh to ~0.56 mWh—an ~80% reduction through step distillation alone, with no INT8 or INT4 required. Z-Image-Turbo achieves an estimated 0.55 mWh through 8-step S3-DiT distillation. Both confirm Rule 3: for diffusion models, reduce steps before reducing bits.</w:t>
      </w:r>
    </w:p>
    <w:p>
      <w:pPr>
        <w:spacing w:after="160"/>
      </w:pPr>
      <w:r>
        <w:t xml:space="preserve"/>
      </w:r>
    </w:p>
    <w:p>
      <w:pPr>
        <w:spacing w:after="80"/>
      </w:pPr>
      <w:r>
        <w:rPr>
          <w:rFonts w:ascii="Arial" w:cs="Arial" w:eastAsia="Arial" w:hAnsi="Arial"/>
          <w:b/>
          <w:bCs/>
          <w:color w:val="FFFFFF"/>
          <w:sz w:val="16"/>
          <w:szCs w:val="16"/>
          <w:shd w:fill="C62828" w:val="clear"/>
        </w:rPr>
        <w:t xml:space="preserve"> ★ NEW DATA </w:t>
      </w:r>
      <w:r>
        <w:rPr>
          <w:rFonts w:ascii="Arial" w:cs="Arial" w:eastAsia="Arial" w:hAnsi="Arial"/>
          <w:i/>
          <w:iCs/>
          <w:color w:val="C62828"/>
          <w:sz w:val="16"/>
          <w:szCs w:val="16"/>
        </w:rPr>
        <w:t xml:space="preserve"> Table 4.4 adds Qwen-Image-Edit-2511 Lightning and Z-Image-Turbo as distillation reference rows</w:t>
      </w:r>
    </w:p>
    <w:p>
      <w:pPr>
        <w:spacing w:after="80"/>
        <w:jc w:val="center"/>
      </w:pPr>
      <w:r>
        <w:rPr>
          <w:rFonts w:ascii="Arial" w:cs="Arial" w:eastAsia="Arial" w:hAnsi="Arial"/>
          <w:b/>
          <w:bCs/>
          <w:color w:val="1F4E79"/>
          <w:sz w:val="18"/>
          <w:szCs w:val="18"/>
        </w:rPr>
        <w:t xml:space="preserve">Table 4.4  Diffusion Model Quantization Energy Impact at 512×512 (mWh; ★ = new row)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2400"/>
      </w:tblGrid>
      <w:tr>
        <w:tc>
          <w:tcPr>
            <w:tcW w:type="dxa" w:w="2000"/>
            <w:tcBorders>
              <w:top w:val="single" w:color="BBBBBB" w:sz="1"/>
              <w:left w:val="single" w:color="BBBBBB" w:sz="1"/>
              <w:bottom w:val="single" w:color="BBBBBB" w:sz="1"/>
              <w:right w:val="single" w:color="BBBBBB" w:sz="1"/>
            </w:tcBorders>
            <w:shd w:fill="1F4E79" w:val="clear"/>
            <w:tcMar>
              <w:top w:type="dxa" w:w="80"/>
              <w:left w:type="dxa" w:w="110"/>
              <w:bottom w:type="dxa" w:w="80"/>
              <w:right w:type="dxa" w:w="110"/>
            </w:tcMar>
          </w:tcPr>
          <w:p>
            <w:pPr>
              <w:jc w:val="center"/>
            </w:pPr>
            <w:r>
              <w:rPr>
                <w:rFonts w:ascii="Arial" w:cs="Arial" w:eastAsia="Arial" w:hAnsi="Arial"/>
                <w:b/>
                <w:bCs/>
                <w:color w:val="FFFFFF"/>
                <w:sz w:val="17"/>
                <w:szCs w:val="17"/>
              </w:rPr>
              <w:t xml:space="preserve">Model</w:t>
            </w:r>
          </w:p>
        </w:tc>
        <w:tc>
          <w:tcPr>
            <w:tcW w:type="dxa" w:w="1600"/>
            <w:tcBorders>
              <w:top w:val="single" w:color="BBBBBB" w:sz="1"/>
              <w:left w:val="single" w:color="BBBBBB" w:sz="1"/>
              <w:bottom w:val="single" w:color="BBBBBB" w:sz="1"/>
              <w:right w:val="single" w:color="BBBBBB" w:sz="1"/>
            </w:tcBorders>
            <w:shd w:fill="1F4E79" w:val="clear"/>
            <w:tcMar>
              <w:top w:type="dxa" w:w="80"/>
              <w:left w:type="dxa" w:w="110"/>
              <w:bottom w:type="dxa" w:w="80"/>
              <w:right w:type="dxa" w:w="110"/>
            </w:tcMar>
          </w:tcPr>
          <w:p>
            <w:pPr>
              <w:jc w:val="center"/>
            </w:pPr>
            <w:r>
              <w:rPr>
                <w:rFonts w:ascii="Arial" w:cs="Arial" w:eastAsia="Arial" w:hAnsi="Arial"/>
                <w:b/>
                <w:bCs/>
                <w:color w:val="FFFFFF"/>
                <w:sz w:val="17"/>
                <w:szCs w:val="17"/>
              </w:rPr>
              <w:t xml:space="preserve">FP16 (mWh)</w:t>
            </w:r>
          </w:p>
        </w:tc>
        <w:tc>
          <w:tcPr>
            <w:tcW w:type="dxa" w:w="1600"/>
            <w:tcBorders>
              <w:top w:val="single" w:color="BBBBBB" w:sz="1"/>
              <w:left w:val="single" w:color="BBBBBB" w:sz="1"/>
              <w:bottom w:val="single" w:color="BBBBBB" w:sz="1"/>
              <w:right w:val="single" w:color="BBBBBB" w:sz="1"/>
            </w:tcBorders>
            <w:shd w:fill="1F4E79" w:val="clear"/>
            <w:tcMar>
              <w:top w:type="dxa" w:w="80"/>
              <w:left w:type="dxa" w:w="110"/>
              <w:bottom w:type="dxa" w:w="80"/>
              <w:right w:type="dxa" w:w="110"/>
            </w:tcMar>
          </w:tcPr>
          <w:p>
            <w:pPr>
              <w:jc w:val="center"/>
            </w:pPr>
            <w:r>
              <w:rPr>
                <w:rFonts w:ascii="Arial" w:cs="Arial" w:eastAsia="Arial" w:hAnsi="Arial"/>
                <w:b/>
                <w:bCs/>
                <w:color w:val="FFFFFF"/>
                <w:sz w:val="17"/>
                <w:szCs w:val="17"/>
              </w:rPr>
              <w:t xml:space="preserve">INT8 (mWh)</w:t>
            </w:r>
          </w:p>
        </w:tc>
        <w:tc>
          <w:tcPr>
            <w:tcW w:type="dxa" w:w="1600"/>
            <w:tcBorders>
              <w:top w:val="single" w:color="BBBBBB" w:sz="1"/>
              <w:left w:val="single" w:color="BBBBBB" w:sz="1"/>
              <w:bottom w:val="single" w:color="BBBBBB" w:sz="1"/>
              <w:right w:val="single" w:color="BBBBBB" w:sz="1"/>
            </w:tcBorders>
            <w:shd w:fill="1F4E79" w:val="clear"/>
            <w:tcMar>
              <w:top w:type="dxa" w:w="80"/>
              <w:left w:type="dxa" w:w="110"/>
              <w:bottom w:type="dxa" w:w="80"/>
              <w:right w:type="dxa" w:w="110"/>
            </w:tcMar>
          </w:tcPr>
          <w:p>
            <w:pPr>
              <w:jc w:val="center"/>
            </w:pPr>
            <w:r>
              <w:rPr>
                <w:rFonts w:ascii="Arial" w:cs="Arial" w:eastAsia="Arial" w:hAnsi="Arial"/>
                <w:b/>
                <w:bCs/>
                <w:color w:val="FFFFFF"/>
                <w:sz w:val="17"/>
                <w:szCs w:val="17"/>
              </w:rPr>
              <w:t xml:space="preserve">% Change</w:t>
            </w:r>
          </w:p>
        </w:tc>
        <w:tc>
          <w:tcPr>
            <w:tcW w:type="dxa" w:w="2400"/>
            <w:tcBorders>
              <w:top w:val="single" w:color="BBBBBB" w:sz="1"/>
              <w:left w:val="single" w:color="BBBBBB" w:sz="1"/>
              <w:bottom w:val="single" w:color="BBBBBB" w:sz="1"/>
              <w:right w:val="single" w:color="BBBBBB" w:sz="1"/>
            </w:tcBorders>
            <w:shd w:fill="1F4E79" w:val="clear"/>
            <w:tcMar>
              <w:top w:type="dxa" w:w="80"/>
              <w:left w:type="dxa" w:w="110"/>
              <w:bottom w:type="dxa" w:w="80"/>
              <w:right w:type="dxa" w:w="110"/>
            </w:tcMar>
          </w:tcPr>
          <w:p>
            <w:pPr>
              <w:jc w:val="center"/>
            </w:pPr>
            <w:r>
              <w:rPr>
                <w:rFonts w:ascii="Arial" w:cs="Arial" w:eastAsia="Arial" w:hAnsi="Arial"/>
                <w:b/>
                <w:bCs/>
                <w:color w:val="FFFFFF"/>
                <w:sz w:val="17"/>
                <w:szCs w:val="17"/>
              </w:rPr>
              <w:t xml:space="preserve">Practitioner Recommendation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bCs/>
                <w:color w:val="000000"/>
                <w:sz w:val="17"/>
                <w:szCs w:val="17"/>
              </w:rPr>
              <w:t xml:space="preserve">SD v1.5</w:t>
            </w:r>
          </w:p>
        </w:tc>
        <w:tc>
          <w:tcPr>
            <w:tcW w:type="dxa" w:w="16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3.85</w:t>
            </w:r>
          </w:p>
        </w:tc>
        <w:tc>
          <w:tcPr>
            <w:tcW w:type="dxa" w:w="16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3.13</w:t>
            </w:r>
          </w:p>
        </w:tc>
        <w:tc>
          <w:tcPr>
            <w:tcW w:type="dxa" w:w="1600"/>
            <w:tcBorders>
              <w:top w:val="single" w:color="BBBBBB" w:sz="1"/>
              <w:left w:val="single" w:color="BBBBBB" w:sz="1"/>
              <w:bottom w:val="single" w:color="BBBBBB" w:sz="1"/>
              <w:right w:val="single" w:color="BBBBBB" w:sz="1"/>
            </w:tcBorders>
            <w:shd w:fill="C8E6C9" w:val="clear"/>
            <w:tcMar>
              <w:top w:type="dxa" w:w="80"/>
              <w:left w:type="dxa" w:w="110"/>
              <w:bottom w:type="dxa" w:w="80"/>
              <w:right w:type="dxa" w:w="110"/>
            </w:tcMar>
          </w:tcPr>
          <w:p>
            <w:pPr>
              <w:jc w:val="center"/>
            </w:pPr>
            <w:r>
              <w:rPr>
                <w:rFonts w:ascii="Arial" w:cs="Arial" w:eastAsia="Arial" w:hAnsi="Arial"/>
                <w:b/>
                <w:bCs/>
                <w:color w:val="1B5E20"/>
                <w:sz w:val="17"/>
                <w:szCs w:val="17"/>
              </w:rPr>
              <w:t xml:space="preserve">↓18.7%</w:t>
            </w:r>
          </w:p>
        </w:tc>
        <w:tc>
          <w:tcPr>
            <w:tcW w:type="dxa" w:w="2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left"/>
            </w:pPr>
            <w:r>
              <w:rPr>
                <w:rFonts w:ascii="Arial" w:cs="Arial" w:eastAsia="Arial" w:hAnsi="Arial"/>
                <w:b w:val="false"/>
                <w:bCs w:val="false"/>
                <w:color w:val="000000"/>
                <w:sz w:val="17"/>
                <w:szCs w:val="17"/>
              </w:rPr>
              <w:t xml:space="preserve">Use INT8 at 512². Revert at 1024².</w:t>
            </w:r>
          </w:p>
        </w:tc>
      </w:tr>
      <w:tr>
        <w:tc>
          <w:tcPr>
            <w:tcW w:type="dxa" w:w="20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bCs/>
                <w:color w:val="000000"/>
                <w:sz w:val="17"/>
                <w:szCs w:val="17"/>
              </w:rPr>
              <w:t xml:space="preserve">SDXL</w:t>
            </w:r>
          </w:p>
        </w:tc>
        <w:tc>
          <w:tcPr>
            <w:tcW w:type="dxa" w:w="16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2.88</w:t>
            </w:r>
          </w:p>
        </w:tc>
        <w:tc>
          <w:tcPr>
            <w:tcW w:type="dxa" w:w="16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2.14</w:t>
            </w:r>
          </w:p>
        </w:tc>
        <w:tc>
          <w:tcPr>
            <w:tcW w:type="dxa" w:w="1600"/>
            <w:tcBorders>
              <w:top w:val="single" w:color="BBBBBB" w:sz="1"/>
              <w:left w:val="single" w:color="BBBBBB" w:sz="1"/>
              <w:bottom w:val="single" w:color="BBBBBB" w:sz="1"/>
              <w:right w:val="single" w:color="BBBBBB" w:sz="1"/>
            </w:tcBorders>
            <w:shd w:fill="C8E6C9" w:val="clear"/>
            <w:tcMar>
              <w:top w:type="dxa" w:w="80"/>
              <w:left w:type="dxa" w:w="110"/>
              <w:bottom w:type="dxa" w:w="80"/>
              <w:right w:type="dxa" w:w="110"/>
            </w:tcMar>
          </w:tcPr>
          <w:p>
            <w:pPr>
              <w:jc w:val="center"/>
            </w:pPr>
            <w:r>
              <w:rPr>
                <w:rFonts w:ascii="Arial" w:cs="Arial" w:eastAsia="Arial" w:hAnsi="Arial"/>
                <w:b/>
                <w:bCs/>
                <w:color w:val="1B5E20"/>
                <w:sz w:val="17"/>
                <w:szCs w:val="17"/>
              </w:rPr>
              <w:t xml:space="preserve">↓25.7%</w:t>
            </w:r>
          </w:p>
        </w:tc>
        <w:tc>
          <w:tcPr>
            <w:tcW w:type="dxa" w:w="24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left"/>
            </w:pPr>
            <w:r>
              <w:rPr>
                <w:rFonts w:ascii="Arial" w:cs="Arial" w:eastAsia="Arial" w:hAnsi="Arial"/>
                <w:b w:val="false"/>
                <w:bCs w:val="false"/>
                <w:color w:val="000000"/>
                <w:sz w:val="17"/>
                <w:szCs w:val="17"/>
              </w:rPr>
              <w:t xml:space="preserve">Use INT8 at 512². Avoid at higher res.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bCs/>
                <w:color w:val="000000"/>
                <w:sz w:val="17"/>
                <w:szCs w:val="17"/>
              </w:rPr>
              <w:t xml:space="preserve">SDXL Turbo</w:t>
            </w:r>
          </w:p>
        </w:tc>
        <w:tc>
          <w:tcPr>
            <w:tcW w:type="dxa" w:w="16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1.33</w:t>
            </w:r>
          </w:p>
        </w:tc>
        <w:tc>
          <w:tcPr>
            <w:tcW w:type="dxa" w:w="16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1.35</w:t>
            </w:r>
          </w:p>
        </w:tc>
        <w:tc>
          <w:tcPr>
            <w:tcW w:type="dxa" w:w="1600"/>
            <w:tcBorders>
              <w:top w:val="single" w:color="BBBBBB" w:sz="1"/>
              <w:left w:val="single" w:color="BBBBBB" w:sz="1"/>
              <w:bottom w:val="single" w:color="BBBBBB" w:sz="1"/>
              <w:right w:val="single" w:color="BBBBBB" w:sz="1"/>
            </w:tcBorders>
            <w:shd w:fill="FFF9C4"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↑1.5%</w:t>
            </w:r>
          </w:p>
        </w:tc>
        <w:tc>
          <w:tcPr>
            <w:tcW w:type="dxa" w:w="2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left"/>
            </w:pPr>
            <w:r>
              <w:rPr>
                <w:rFonts w:ascii="Arial" w:cs="Arial" w:eastAsia="Arial" w:hAnsi="Arial"/>
                <w:b w:val="false"/>
                <w:bCs w:val="false"/>
                <w:color w:val="000000"/>
                <w:sz w:val="17"/>
                <w:szCs w:val="17"/>
              </w:rPr>
              <w:t xml:space="preserve">No gain. Keep FP16.</w:t>
            </w:r>
          </w:p>
        </w:tc>
      </w:tr>
      <w:tr>
        <w:tc>
          <w:tcPr>
            <w:tcW w:type="dxa" w:w="20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bCs/>
                <w:color w:val="000000"/>
                <w:sz w:val="17"/>
                <w:szCs w:val="17"/>
              </w:rPr>
              <w:t xml:space="preserve">Flux Dev</w:t>
            </w:r>
          </w:p>
        </w:tc>
        <w:tc>
          <w:tcPr>
            <w:tcW w:type="dxa" w:w="16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1.50</w:t>
            </w:r>
          </w:p>
        </w:tc>
        <w:tc>
          <w:tcPr>
            <w:tcW w:type="dxa" w:w="16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1.63</w:t>
            </w:r>
          </w:p>
        </w:tc>
        <w:tc>
          <w:tcPr>
            <w:tcW w:type="dxa" w:w="1600"/>
            <w:tcBorders>
              <w:top w:val="single" w:color="BBBBBB" w:sz="1"/>
              <w:left w:val="single" w:color="BBBBBB" w:sz="1"/>
              <w:bottom w:val="single" w:color="BBBBBB" w:sz="1"/>
              <w:right w:val="single" w:color="BBBBBB" w:sz="1"/>
            </w:tcBorders>
            <w:shd w:fill="FFCDD2" w:val="clear"/>
            <w:tcMar>
              <w:top w:type="dxa" w:w="80"/>
              <w:left w:type="dxa" w:w="110"/>
              <w:bottom w:type="dxa" w:w="80"/>
              <w:right w:type="dxa" w:w="110"/>
            </w:tcMar>
          </w:tcPr>
          <w:p>
            <w:pPr>
              <w:jc w:val="center"/>
            </w:pPr>
            <w:r>
              <w:rPr>
                <w:rFonts w:ascii="Arial" w:cs="Arial" w:eastAsia="Arial" w:hAnsi="Arial"/>
                <w:b/>
                <w:bCs/>
                <w:color w:val="B71C1C"/>
                <w:sz w:val="17"/>
                <w:szCs w:val="17"/>
              </w:rPr>
              <w:t xml:space="preserve">↑8.7% ⚠️</w:t>
            </w:r>
          </w:p>
        </w:tc>
        <w:tc>
          <w:tcPr>
            <w:tcW w:type="dxa" w:w="24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left"/>
            </w:pPr>
            <w:r>
              <w:rPr>
                <w:rFonts w:ascii="Arial" w:cs="Arial" w:eastAsia="Arial" w:hAnsi="Arial"/>
                <w:b w:val="false"/>
                <w:bCs w:val="false"/>
                <w:color w:val="000000"/>
                <w:sz w:val="17"/>
                <w:szCs w:val="17"/>
              </w:rPr>
              <w:t xml:space="preserve">INT8 hurts. Use FP8 (H100) or FP16.</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bCs/>
                <w:color w:val="000000"/>
                <w:sz w:val="17"/>
                <w:szCs w:val="17"/>
              </w:rPr>
              <w:t xml:space="preserve">Flux Schnell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~0.85</w:t>
            </w:r>
          </w:p>
        </w:tc>
        <w:tc>
          <w:tcPr>
            <w:tcW w:type="dxa" w:w="16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~0.75</w:t>
            </w:r>
          </w:p>
        </w:tc>
        <w:tc>
          <w:tcPr>
            <w:tcW w:type="dxa" w:w="1600"/>
            <w:tcBorders>
              <w:top w:val="single" w:color="BBBBBB" w:sz="1"/>
              <w:left w:val="single" w:color="BBBBBB" w:sz="1"/>
              <w:bottom w:val="single" w:color="BBBBBB" w:sz="1"/>
              <w:right w:val="single" w:color="BBBBBB" w:sz="1"/>
            </w:tcBorders>
            <w:shd w:fill="C8E6C9" w:val="clear"/>
            <w:tcMar>
              <w:top w:type="dxa" w:w="80"/>
              <w:left w:type="dxa" w:w="110"/>
              <w:bottom w:type="dxa" w:w="80"/>
              <w:right w:type="dxa" w:w="110"/>
            </w:tcMar>
          </w:tcPr>
          <w:p>
            <w:pPr>
              <w:jc w:val="center"/>
            </w:pPr>
            <w:r>
              <w:rPr>
                <w:rFonts w:ascii="Arial" w:cs="Arial" w:eastAsia="Arial" w:hAnsi="Arial"/>
                <w:b/>
                <w:bCs/>
                <w:color w:val="1B5E20"/>
                <w:sz w:val="17"/>
                <w:szCs w:val="17"/>
              </w:rPr>
              <w:t xml:space="preserve">↓12%</w:t>
            </w:r>
          </w:p>
        </w:tc>
        <w:tc>
          <w:tcPr>
            <w:tcW w:type="dxa" w:w="2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left"/>
            </w:pPr>
            <w:r>
              <w:rPr>
                <w:rFonts w:ascii="Arial" w:cs="Arial" w:eastAsia="Arial" w:hAnsi="Arial"/>
                <w:b w:val="false"/>
                <w:bCs w:val="false"/>
                <w:color w:val="000000"/>
                <w:sz w:val="17"/>
                <w:szCs w:val="17"/>
              </w:rPr>
              <w:t xml:space="preserve">INT8 beneficial. FP4 on Blackwell best.</w:t>
            </w:r>
          </w:p>
        </w:tc>
      </w:tr>
      <w:tr>
        <w:tc>
          <w:tcPr>
            <w:tcW w:type="dxa" w:w="2000"/>
            <w:tcBorders>
              <w:top w:val="single" w:color="BBBBBB" w:sz="1"/>
              <w:left w:val="single" w:color="BBBBBB" w:sz="1"/>
              <w:bottom w:val="single" w:color="BBBBBB" w:sz="1"/>
              <w:right w:val="single" w:color="BBBBBB" w:sz="1"/>
            </w:tcBorders>
            <w:shd w:fill="FFF8E1"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Qwen-Image-Edit-2511 ★</w:t>
            </w:r>
          </w:p>
        </w:tc>
        <w:tc>
          <w:tcPr>
            <w:tcW w:type="dxa" w:w="16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~2.8 est. (40-step)</w:t>
            </w:r>
          </w:p>
        </w:tc>
        <w:tc>
          <w:tcPr>
            <w:tcW w:type="dxa" w:w="16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~0.56 est. (4-step Lightning)</w:t>
            </w:r>
          </w:p>
        </w:tc>
        <w:tc>
          <w:tcPr>
            <w:tcW w:type="dxa" w:w="1600"/>
            <w:tcBorders>
              <w:top w:val="single" w:color="BBBBBB" w:sz="1"/>
              <w:left w:val="single" w:color="BBBBBB" w:sz="1"/>
              <w:bottom w:val="single" w:color="BBBBBB" w:sz="1"/>
              <w:right w:val="single" w:color="BBBBBB" w:sz="1"/>
            </w:tcBorders>
            <w:shd w:fill="C8E6C9" w:val="clear"/>
            <w:tcMar>
              <w:top w:type="dxa" w:w="80"/>
              <w:left w:type="dxa" w:w="110"/>
              <w:bottom w:type="dxa" w:w="80"/>
              <w:right w:type="dxa" w:w="110"/>
            </w:tcMar>
          </w:tcPr>
          <w:p>
            <w:pPr>
              <w:jc w:val="center"/>
            </w:pPr>
            <w:r>
              <w:rPr>
                <w:rFonts w:ascii="Arial" w:cs="Arial" w:eastAsia="Arial" w:hAnsi="Arial"/>
                <w:b/>
                <w:bCs/>
                <w:color w:val="1B5E20"/>
                <w:sz w:val="17"/>
                <w:szCs w:val="17"/>
              </w:rPr>
              <w:t xml:space="preserve">↓80% via distill</w:t>
            </w:r>
          </w:p>
        </w:tc>
        <w:tc>
          <w:tcPr>
            <w:tcW w:type="dxa" w:w="2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left"/>
            </w:pPr>
            <w:r>
              <w:rPr>
                <w:rFonts w:ascii="Arial" w:cs="Arial" w:eastAsia="Arial" w:hAnsi="Arial"/>
                <w:b w:val="false"/>
                <w:bCs w:val="false"/>
                <w:color w:val="000000"/>
                <w:sz w:val="17"/>
                <w:szCs w:val="17"/>
              </w:rPr>
              <w:t xml:space="preserve">Step distillation (4 steps via LightX2V, 42.55× speedup) more effective than INT8 quantization. FP8+distill (8 steps) also available.</w:t>
            </w:r>
          </w:p>
        </w:tc>
      </w:tr>
      <w:tr>
        <w:tc>
          <w:tcPr>
            <w:tcW w:type="dxa" w:w="2000"/>
            <w:tcBorders>
              <w:top w:val="single" w:color="BBBBBB" w:sz="1"/>
              <w:left w:val="single" w:color="BBBBBB" w:sz="1"/>
              <w:bottom w:val="single" w:color="BBBBBB" w:sz="1"/>
              <w:right w:val="single" w:color="BBBBBB" w:sz="1"/>
            </w:tcBorders>
            <w:shd w:fill="FFF8E1"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Z-Image-Turbo ★</w:t>
            </w:r>
          </w:p>
        </w:tc>
        <w:tc>
          <w:tcPr>
            <w:tcW w:type="dxa" w:w="16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~0.55 est.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w:t>
            </w:r>
          </w:p>
        </w:tc>
        <w:tc>
          <w:tcPr>
            <w:tcW w:type="dxa" w:w="1600"/>
            <w:tcBorders>
              <w:top w:val="single" w:color="BBBBBB" w:sz="1"/>
              <w:left w:val="single" w:color="BBBBBB" w:sz="1"/>
              <w:bottom w:val="single" w:color="BBBBBB" w:sz="1"/>
              <w:right w:val="single" w:color="BBBBBB" w:sz="1"/>
            </w:tcBorders>
            <w:shd w:fill="C8E6C9" w:val="clear"/>
            <w:tcMar>
              <w:top w:type="dxa" w:w="80"/>
              <w:left w:type="dxa" w:w="110"/>
              <w:bottom w:type="dxa" w:w="80"/>
              <w:right w:type="dxa" w:w="110"/>
            </w:tcMar>
          </w:tcPr>
          <w:p>
            <w:pPr>
              <w:jc w:val="center"/>
            </w:pPr>
            <w:r>
              <w:rPr>
                <w:rFonts w:ascii="Arial" w:cs="Arial" w:eastAsia="Arial" w:hAnsi="Arial"/>
                <w:b/>
                <w:bCs/>
                <w:color w:val="1B5E20"/>
                <w:sz w:val="17"/>
                <w:szCs w:val="17"/>
              </w:rPr>
              <w:t xml:space="preserve">N/A — steps↓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left"/>
            </w:pPr>
            <w:r>
              <w:rPr>
                <w:rFonts w:ascii="Arial" w:cs="Arial" w:eastAsia="Arial" w:hAnsi="Arial"/>
                <w:b w:val="false"/>
                <w:bCs w:val="false"/>
                <w:color w:val="000000"/>
                <w:sz w:val="17"/>
                <w:szCs w:val="17"/>
              </w:rPr>
              <w:t xml:space="preserve">Distillation (8 steps) bypasses quantization. Preferred over INT8.</w:t>
            </w:r>
          </w:p>
        </w:tc>
      </w:tr>
    </w:tbl>
    <w:p>
      <w:pPr>
        <w:spacing w:after="100"/>
      </w:pPr>
      <w:r>
        <w:rPr>
          <w:rFonts w:ascii="Arial" w:cs="Arial" w:eastAsia="Arial" w:hAnsi="Arial"/>
          <w:i/>
          <w:iCs/>
          <w:color w:val="555555"/>
          <w:sz w:val="16"/>
          <w:szCs w:val="16"/>
        </w:rPr>
        <w:t xml:space="preserve">Sources (FP16/INT8 values): Bertazzini et al. (2025) arXiv:2506.17016v1. Qwen-Image-Edit-2511 Lightning: github.com/QwenLM/Qwen-Image + huggingface.co/lightx2v/Qwen-Image-Edit-2511-Lightning + github.com/ModelTC/LightX2V (42.55× speedup, 4-step distillation confirmed). Z-Image-Turbo: estimated from 8-step S3-DiT architecture. FP4 projections: lambda.ai/blog/lambda-1cc-fp4-nvidia-hgx-b200.</w:t>
      </w:r>
    </w:p>
    <w:p>
      <w:pPr>
        <w:spacing w:after="160"/>
      </w:pPr>
      <w:r>
        <w:t xml:space="preserve"/>
      </w:r>
    </w:p>
    <w:p>
      <w:pPr>
        <w:spacing w:before="280" w:after="120"/>
      </w:pPr>
      <w:r>
        <w:rPr>
          <w:rFonts w:ascii="Arial" w:cs="Arial" w:eastAsia="Arial" w:hAnsi="Arial"/>
          <w:b/>
          <w:bCs/>
          <w:color w:val="1F4E79"/>
          <w:sz w:val="28"/>
          <w:szCs w:val="28"/>
        </w:rPr>
        <w:t xml:space="preserve">4.6  New: AI Accelerator Comparison</w:t>
      </w:r>
    </w:p>
    <w:p>
      <w:pPr>
        <w:spacing w:after="80"/>
      </w:pPr>
      <w:r>
        <w:rPr>
          <w:rFonts w:ascii="Arial" w:cs="Arial" w:eastAsia="Arial" w:hAnsi="Arial"/>
          <w:b/>
          <w:bCs/>
          <w:color w:val="FFFFFF"/>
          <w:sz w:val="16"/>
          <w:szCs w:val="16"/>
          <w:shd w:fill="C62828" w:val="clear"/>
        </w:rPr>
        <w:t xml:space="preserve"> ★ NEW DATA </w:t>
      </w:r>
      <w:r>
        <w:rPr>
          <w:rFonts w:ascii="Arial" w:cs="Arial" w:eastAsia="Arial" w:hAnsi="Arial"/>
          <w:i/>
          <w:iCs/>
          <w:color w:val="C62828"/>
          <w:sz w:val="16"/>
          <w:szCs w:val="16"/>
        </w:rPr>
        <w:t xml:space="preserve"> Entirely new table — hardware landscape beyond A100/H100</w:t>
      </w:r>
    </w:p>
    <w:p>
      <w:pPr>
        <w:spacing w:after="140"/>
      </w:pPr>
      <w:r>
        <w:rPr>
          <w:rFonts w:ascii="Arial" w:cs="Arial" w:eastAsia="Arial" w:hAnsi="Arial"/>
          <w:sz w:val="20"/>
          <w:szCs w:val="20"/>
        </w:rPr>
        <w:t xml:space="preserve">Table 4.5 places the paper's A100/H100 baselines in the context of the 2025–2026 accelerator landscape. Cerebras CS-3's wafer-scale design (44 GB on-die SRAM, no off-chip HBM) achieves approximately 91 tok/s/kW on Llama 70B—a fundamentally different efficiency paradigm that eliminates memory bandwidth as a bottleneck. Google Ironwood TPU v7 achieves 29.3 TFLOPS/W at FP8, 2× better per-watt than its predecessor. AMD MI325X's 256 GB HBM3E enables single-GPU inference of models that previously required multi-GPU setups, with 20–40% faster inference than H200 on LLaMA 3.1-70B.</w:t>
      </w:r>
    </w:p>
    <w:p>
      <w:pPr>
        <w:spacing w:after="160"/>
      </w:pPr>
      <w:r>
        <w:t xml:space="preserve"/>
      </w:r>
    </w:p>
    <w:p>
      <w:pPr>
        <w:spacing w:after="80"/>
        <w:jc w:val="center"/>
      </w:pPr>
      <w:r>
        <w:rPr>
          <w:rFonts w:ascii="Arial" w:cs="Arial" w:eastAsia="Arial" w:hAnsi="Arial"/>
          <w:b/>
          <w:bCs/>
          <w:color w:val="1F4E79"/>
          <w:sz w:val="18"/>
          <w:szCs w:val="18"/>
        </w:rPr>
        <w:t xml:space="preserve">Table 4.5  AI Accelerator Comparison for Inference (2024–2026; ★ = new data; baseline rows shaded grey)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600"/>
        <w:gridCol w:w="1500"/>
        <w:gridCol w:w="1500"/>
        <w:gridCol w:w="1800"/>
      </w:tblGrid>
      <w:tr>
        <w:tc>
          <w:tcPr>
            <w:tcW w:type="dxa" w:w="1800"/>
            <w:tcBorders>
              <w:top w:val="single" w:color="BBBBBB" w:sz="1"/>
              <w:left w:val="single" w:color="BBBBBB" w:sz="1"/>
              <w:bottom w:val="single" w:color="BBBBBB" w:sz="1"/>
              <w:right w:val="single" w:color="BBBBBB" w:sz="1"/>
            </w:tcBorders>
            <w:shd w:fill="1F4E79" w:val="clear"/>
            <w:tcMar>
              <w:top w:type="dxa" w:w="80"/>
              <w:left w:type="dxa" w:w="110"/>
              <w:bottom w:type="dxa" w:w="80"/>
              <w:right w:type="dxa" w:w="110"/>
            </w:tcMar>
          </w:tcPr>
          <w:p>
            <w:pPr>
              <w:jc w:val="center"/>
            </w:pPr>
            <w:r>
              <w:rPr>
                <w:rFonts w:ascii="Arial" w:cs="Arial" w:eastAsia="Arial" w:hAnsi="Arial"/>
                <w:b/>
                <w:bCs/>
                <w:color w:val="FFFFFF"/>
                <w:sz w:val="17"/>
                <w:szCs w:val="17"/>
              </w:rPr>
              <w:t xml:space="preserve">Accelerator</w:t>
            </w:r>
          </w:p>
        </w:tc>
        <w:tc>
          <w:tcPr>
            <w:tcW w:type="dxa" w:w="1000"/>
            <w:tcBorders>
              <w:top w:val="single" w:color="BBBBBB" w:sz="1"/>
              <w:left w:val="single" w:color="BBBBBB" w:sz="1"/>
              <w:bottom w:val="single" w:color="BBBBBB" w:sz="1"/>
              <w:right w:val="single" w:color="BBBBBB" w:sz="1"/>
            </w:tcBorders>
            <w:shd w:fill="1F4E79" w:val="clear"/>
            <w:tcMar>
              <w:top w:type="dxa" w:w="80"/>
              <w:left w:type="dxa" w:w="110"/>
              <w:bottom w:type="dxa" w:w="80"/>
              <w:right w:type="dxa" w:w="110"/>
            </w:tcMar>
          </w:tcPr>
          <w:p>
            <w:pPr>
              <w:jc w:val="center"/>
            </w:pPr>
            <w:r>
              <w:rPr>
                <w:rFonts w:ascii="Arial" w:cs="Arial" w:eastAsia="Arial" w:hAnsi="Arial"/>
                <w:b/>
                <w:bCs/>
                <w:color w:val="FFFFFF"/>
                <w:sz w:val="17"/>
                <w:szCs w:val="17"/>
              </w:rPr>
              <w:t xml:space="preserve">Vendor</w:t>
            </w:r>
          </w:p>
        </w:tc>
        <w:tc>
          <w:tcPr>
            <w:tcW w:type="dxa" w:w="1600"/>
            <w:tcBorders>
              <w:top w:val="single" w:color="BBBBBB" w:sz="1"/>
              <w:left w:val="single" w:color="BBBBBB" w:sz="1"/>
              <w:bottom w:val="single" w:color="BBBBBB" w:sz="1"/>
              <w:right w:val="single" w:color="BBBBBB" w:sz="1"/>
            </w:tcBorders>
            <w:shd w:fill="1F4E79" w:val="clear"/>
            <w:tcMar>
              <w:top w:type="dxa" w:w="80"/>
              <w:left w:type="dxa" w:w="110"/>
              <w:bottom w:type="dxa" w:w="80"/>
              <w:right w:type="dxa" w:w="110"/>
            </w:tcMar>
          </w:tcPr>
          <w:p>
            <w:pPr>
              <w:jc w:val="center"/>
            </w:pPr>
            <w:r>
              <w:rPr>
                <w:rFonts w:ascii="Arial" w:cs="Arial" w:eastAsia="Arial" w:hAnsi="Arial"/>
                <w:b/>
                <w:bCs/>
                <w:color w:val="FFFFFF"/>
                <w:sz w:val="17"/>
                <w:szCs w:val="17"/>
              </w:rPr>
              <w:t xml:space="preserve">Peak FP8 FLOPS</w:t>
            </w:r>
          </w:p>
        </w:tc>
        <w:tc>
          <w:tcPr>
            <w:tcW w:type="dxa" w:w="1500"/>
            <w:tcBorders>
              <w:top w:val="single" w:color="BBBBBB" w:sz="1"/>
              <w:left w:val="single" w:color="BBBBBB" w:sz="1"/>
              <w:bottom w:val="single" w:color="BBBBBB" w:sz="1"/>
              <w:right w:val="single" w:color="BBBBBB" w:sz="1"/>
            </w:tcBorders>
            <w:shd w:fill="1F4E79" w:val="clear"/>
            <w:tcMar>
              <w:top w:type="dxa" w:w="80"/>
              <w:left w:type="dxa" w:w="110"/>
              <w:bottom w:type="dxa" w:w="80"/>
              <w:right w:type="dxa" w:w="110"/>
            </w:tcMar>
          </w:tcPr>
          <w:p>
            <w:pPr>
              <w:jc w:val="center"/>
            </w:pPr>
            <w:r>
              <w:rPr>
                <w:rFonts w:ascii="Arial" w:cs="Arial" w:eastAsia="Arial" w:hAnsi="Arial"/>
                <w:b/>
                <w:bCs/>
                <w:color w:val="FFFFFF"/>
                <w:sz w:val="17"/>
                <w:szCs w:val="17"/>
              </w:rPr>
              <w:t xml:space="preserve">HBM / Memory</w:t>
            </w:r>
          </w:p>
        </w:tc>
        <w:tc>
          <w:tcPr>
            <w:tcW w:type="dxa" w:w="1500"/>
            <w:tcBorders>
              <w:top w:val="single" w:color="BBBBBB" w:sz="1"/>
              <w:left w:val="single" w:color="BBBBBB" w:sz="1"/>
              <w:bottom w:val="single" w:color="BBBBBB" w:sz="1"/>
              <w:right w:val="single" w:color="BBBBBB" w:sz="1"/>
            </w:tcBorders>
            <w:shd w:fill="1F4E79" w:val="clear"/>
            <w:tcMar>
              <w:top w:type="dxa" w:w="80"/>
              <w:left w:type="dxa" w:w="110"/>
              <w:bottom w:type="dxa" w:w="80"/>
              <w:right w:type="dxa" w:w="110"/>
            </w:tcMar>
          </w:tcPr>
          <w:p>
            <w:pPr>
              <w:jc w:val="center"/>
            </w:pPr>
            <w:r>
              <w:rPr>
                <w:rFonts w:ascii="Arial" w:cs="Arial" w:eastAsia="Arial" w:hAnsi="Arial"/>
                <w:b/>
                <w:bCs/>
                <w:color w:val="FFFFFF"/>
                <w:sz w:val="17"/>
                <w:szCs w:val="17"/>
              </w:rPr>
              <w:t xml:space="preserve">TDP</w:t>
            </w:r>
          </w:p>
        </w:tc>
        <w:tc>
          <w:tcPr>
            <w:tcW w:type="dxa" w:w="1800"/>
            <w:tcBorders>
              <w:top w:val="single" w:color="BBBBBB" w:sz="1"/>
              <w:left w:val="single" w:color="BBBBBB" w:sz="1"/>
              <w:bottom w:val="single" w:color="BBBBBB" w:sz="1"/>
              <w:right w:val="single" w:color="BBBBBB" w:sz="1"/>
            </w:tcBorders>
            <w:shd w:fill="1F4E79" w:val="clear"/>
            <w:tcMar>
              <w:top w:type="dxa" w:w="80"/>
              <w:left w:type="dxa" w:w="110"/>
              <w:bottom w:type="dxa" w:w="80"/>
              <w:right w:type="dxa" w:w="110"/>
            </w:tcMar>
          </w:tcPr>
          <w:p>
            <w:pPr>
              <w:jc w:val="center"/>
            </w:pPr>
            <w:r>
              <w:rPr>
                <w:rFonts w:ascii="Arial" w:cs="Arial" w:eastAsia="Arial" w:hAnsi="Arial"/>
                <w:b/>
                <w:bCs/>
                <w:color w:val="FFFFFF"/>
                <w:sz w:val="17"/>
                <w:szCs w:val="17"/>
              </w:rPr>
              <w:t xml:space="preserve">Key Inference Result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bCs/>
                <w:color w:val="546E7A"/>
                <w:sz w:val="17"/>
                <w:szCs w:val="17"/>
              </w:rPr>
              <w:t xml:space="preserve">A100 80GB (baseline)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NVIDIA</w:t>
            </w:r>
          </w:p>
        </w:tc>
        <w:tc>
          <w:tcPr>
            <w:tcW w:type="dxa" w:w="16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624 TFLOPS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80 GB HBM2e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400 W</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546E7A"/>
                <w:sz w:val="17"/>
                <w:szCs w:val="17"/>
              </w:rPr>
              <w:t xml:space="preserve">Paper baseline</w:t>
            </w:r>
          </w:p>
        </w:tc>
      </w:tr>
      <w:tr>
        <w:tc>
          <w:tcPr>
            <w:tcW w:type="dxa" w:w="18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bCs/>
                <w:color w:val="546E7A"/>
                <w:sz w:val="17"/>
                <w:szCs w:val="17"/>
              </w:rPr>
              <w:t xml:space="preserve">H100 SXM (baseline)</w:t>
            </w:r>
          </w:p>
        </w:tc>
        <w:tc>
          <w:tcPr>
            <w:tcW w:type="dxa" w:w="10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NVIDIA</w:t>
            </w:r>
          </w:p>
        </w:tc>
        <w:tc>
          <w:tcPr>
            <w:tcW w:type="dxa" w:w="16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3,958 TFLOPS</w:t>
            </w:r>
          </w:p>
        </w:tc>
        <w:tc>
          <w:tcPr>
            <w:tcW w:type="dxa" w:w="15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80 GB HBM3</w:t>
            </w:r>
          </w:p>
        </w:tc>
        <w:tc>
          <w:tcPr>
            <w:tcW w:type="dxa" w:w="15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700 W</w:t>
            </w:r>
          </w:p>
        </w:tc>
        <w:tc>
          <w:tcPr>
            <w:tcW w:type="dxa" w:w="18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546E7A"/>
                <w:sz w:val="17"/>
                <w:szCs w:val="17"/>
              </w:rPr>
              <w:t xml:space="preserve">Paper comparison</w:t>
            </w:r>
          </w:p>
        </w:tc>
      </w:tr>
      <w:tr>
        <w:tc>
          <w:tcPr>
            <w:tcW w:type="dxa" w:w="1800"/>
            <w:tcBorders>
              <w:top w:val="single" w:color="BBBBBB" w:sz="1"/>
              <w:left w:val="single" w:color="BBBBBB" w:sz="1"/>
              <w:bottom w:val="single" w:color="BBBBBB" w:sz="1"/>
              <w:right w:val="single" w:color="BBBBBB" w:sz="1"/>
            </w:tcBorders>
            <w:shd w:fill="FFF8E1"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B200 (Blackwell) ★</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NVIDIA</w:t>
            </w:r>
          </w:p>
        </w:tc>
        <w:tc>
          <w:tcPr>
            <w:tcW w:type="dxa" w:w="16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~9,000 TFLOPS (FP4)</w:t>
            </w:r>
          </w:p>
        </w:tc>
        <w:tc>
          <w:tcPr>
            <w:tcW w:type="dxa" w:w="15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192 GB HBM3e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1,000 W</w:t>
            </w:r>
          </w:p>
        </w:tc>
        <w:tc>
          <w:tcPr>
            <w:tcW w:type="dxa" w:w="1800"/>
            <w:tcBorders>
              <w:top w:val="single" w:color="BBBBBB" w:sz="1"/>
              <w:left w:val="single" w:color="BBBBBB" w:sz="1"/>
              <w:bottom w:val="single" w:color="BBBBBB" w:sz="1"/>
              <w:right w:val="single" w:color="BBBBBB" w:sz="1"/>
            </w:tcBorders>
            <w:shd w:fill="C8E6C9" w:val="clear"/>
            <w:tcMar>
              <w:top w:type="dxa" w:w="80"/>
              <w:left w:type="dxa" w:w="110"/>
              <w:bottom w:type="dxa" w:w="80"/>
              <w:right w:type="dxa" w:w="110"/>
            </w:tcMar>
          </w:tcPr>
          <w:p>
            <w:pPr>
              <w:jc w:val="center"/>
            </w:pPr>
            <w:r>
              <w:rPr>
                <w:rFonts w:ascii="Arial" w:cs="Arial" w:eastAsia="Arial" w:hAnsi="Arial"/>
                <w:b/>
                <w:bCs/>
                <w:color w:val="1B5E20"/>
                <w:sz w:val="17"/>
                <w:szCs w:val="17"/>
              </w:rPr>
              <w:t xml:space="preserve">60K tok/s; 25× H100 efficiency</w:t>
            </w:r>
          </w:p>
        </w:tc>
      </w:tr>
      <w:tr>
        <w:tc>
          <w:tcPr>
            <w:tcW w:type="dxa" w:w="1800"/>
            <w:tcBorders>
              <w:top w:val="single" w:color="BBBBBB" w:sz="1"/>
              <w:left w:val="single" w:color="BBBBBB" w:sz="1"/>
              <w:bottom w:val="single" w:color="BBBBBB" w:sz="1"/>
              <w:right w:val="single" w:color="BBBBBB" w:sz="1"/>
            </w:tcBorders>
            <w:shd w:fill="FFF8E1"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GB300 NVL72 ★</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NVIDIA</w:t>
            </w:r>
          </w:p>
        </w:tc>
        <w:tc>
          <w:tcPr>
            <w:tcW w:type="dxa" w:w="16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1.5× B200 FP4</w:t>
            </w:r>
          </w:p>
        </w:tc>
        <w:tc>
          <w:tcPr>
            <w:tcW w:type="dxa" w:w="15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288 GB HBM3e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~1,400 W</w:t>
            </w:r>
          </w:p>
        </w:tc>
        <w:tc>
          <w:tcPr>
            <w:tcW w:type="dxa" w:w="1800"/>
            <w:tcBorders>
              <w:top w:val="single" w:color="BBBBBB" w:sz="1"/>
              <w:left w:val="single" w:color="BBBBBB" w:sz="1"/>
              <w:bottom w:val="single" w:color="BBBBBB" w:sz="1"/>
              <w:right w:val="single" w:color="BBBBBB" w:sz="1"/>
            </w:tcBorders>
            <w:shd w:fill="C8E6C9" w:val="clear"/>
            <w:tcMar>
              <w:top w:type="dxa" w:w="80"/>
              <w:left w:type="dxa" w:w="110"/>
              <w:bottom w:type="dxa" w:w="80"/>
              <w:right w:type="dxa" w:w="110"/>
            </w:tcMar>
          </w:tcPr>
          <w:p>
            <w:pPr>
              <w:jc w:val="center"/>
            </w:pPr>
            <w:r>
              <w:rPr>
                <w:rFonts w:ascii="Arial" w:cs="Arial" w:eastAsia="Arial" w:hAnsi="Arial"/>
                <w:b/>
                <w:bCs/>
                <w:color w:val="1B5E20"/>
                <w:sz w:val="17"/>
                <w:szCs w:val="17"/>
              </w:rPr>
              <w:t xml:space="preserve">50× throughput/MW vs H100</w:t>
            </w:r>
          </w:p>
        </w:tc>
      </w:tr>
      <w:tr>
        <w:tc>
          <w:tcPr>
            <w:tcW w:type="dxa" w:w="1800"/>
            <w:tcBorders>
              <w:top w:val="single" w:color="BBBBBB" w:sz="1"/>
              <w:left w:val="single" w:color="BBBBBB" w:sz="1"/>
              <w:bottom w:val="single" w:color="BBBBBB" w:sz="1"/>
              <w:right w:val="single" w:color="BBBBBB" w:sz="1"/>
            </w:tcBorders>
            <w:shd w:fill="E8F5E9" w:val="clear"/>
            <w:tcMar>
              <w:top w:type="dxa" w:w="80"/>
              <w:left w:type="dxa" w:w="110"/>
              <w:bottom w:type="dxa" w:w="80"/>
              <w:right w:type="dxa" w:w="110"/>
            </w:tcMar>
          </w:tcPr>
          <w:p>
            <w:pPr>
              <w:jc w:val="center"/>
            </w:pPr>
            <w:r>
              <w:rPr>
                <w:rFonts w:ascii="Arial" w:cs="Arial" w:eastAsia="Arial" w:hAnsi="Arial"/>
                <w:b/>
                <w:bCs/>
                <w:color w:val="1B5E20"/>
                <w:sz w:val="17"/>
                <w:szCs w:val="17"/>
              </w:rPr>
              <w:t xml:space="preserve">Ironwood TPU v7 ★</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Google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4,614 TFLOPS FP8</w:t>
            </w:r>
          </w:p>
        </w:tc>
        <w:tc>
          <w:tcPr>
            <w:tcW w:type="dxa" w:w="15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192 GB HBM</w:t>
            </w:r>
          </w:p>
        </w:tc>
        <w:tc>
          <w:tcPr>
            <w:tcW w:type="dxa" w:w="15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w:t>
            </w:r>
          </w:p>
        </w:tc>
        <w:tc>
          <w:tcPr>
            <w:tcW w:type="dxa" w:w="1800"/>
            <w:tcBorders>
              <w:top w:val="single" w:color="BBBBBB" w:sz="1"/>
              <w:left w:val="single" w:color="BBBBBB" w:sz="1"/>
              <w:bottom w:val="single" w:color="BBBBBB" w:sz="1"/>
              <w:right w:val="single" w:color="BBBBBB" w:sz="1"/>
            </w:tcBorders>
            <w:shd w:fill="E8F5E9" w:val="clear"/>
            <w:tcMar>
              <w:top w:type="dxa" w:w="80"/>
              <w:left w:type="dxa" w:w="110"/>
              <w:bottom w:type="dxa" w:w="80"/>
              <w:right w:type="dxa" w:w="110"/>
            </w:tcMar>
          </w:tcPr>
          <w:p>
            <w:pPr>
              <w:jc w:val="center"/>
            </w:pPr>
            <w:r>
              <w:rPr>
                <w:rFonts w:ascii="Arial" w:cs="Arial" w:eastAsia="Arial" w:hAnsi="Arial"/>
                <w:b/>
                <w:bCs/>
                <w:color w:val="1B5E20"/>
                <w:sz w:val="17"/>
                <w:szCs w:val="17"/>
              </w:rPr>
              <w:t xml:space="preserve">2× perf/watt vs TPU v6e; 29.3 TFLOPS/W</w:t>
            </w:r>
          </w:p>
        </w:tc>
      </w:tr>
      <w:tr>
        <w:tc>
          <w:tcPr>
            <w:tcW w:type="dxa" w:w="1800"/>
            <w:tcBorders>
              <w:top w:val="single" w:color="BBBBBB" w:sz="1"/>
              <w:left w:val="single" w:color="BBBBBB" w:sz="1"/>
              <w:bottom w:val="single" w:color="BBBBBB" w:sz="1"/>
              <w:right w:val="single" w:color="BBBBBB" w:sz="1"/>
            </w:tcBorders>
            <w:shd w:fill="EDE7F6" w:val="clear"/>
            <w:tcMar>
              <w:top w:type="dxa" w:w="80"/>
              <w:left w:type="dxa" w:w="110"/>
              <w:bottom w:type="dxa" w:w="80"/>
              <w:right w:type="dxa" w:w="110"/>
            </w:tcMar>
          </w:tcPr>
          <w:p>
            <w:pPr>
              <w:jc w:val="center"/>
            </w:pPr>
            <w:r>
              <w:rPr>
                <w:rFonts w:ascii="Arial" w:cs="Arial" w:eastAsia="Arial" w:hAnsi="Arial"/>
                <w:b/>
                <w:bCs/>
                <w:color w:val="4A148C"/>
                <w:sz w:val="17"/>
                <w:szCs w:val="17"/>
              </w:rPr>
              <w:t xml:space="preserve">Cerebras CS-3 ★</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Cerebras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125 PFLOPS (est.)</w:t>
            </w:r>
          </w:p>
        </w:tc>
        <w:tc>
          <w:tcPr>
            <w:tcW w:type="dxa" w:w="15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44 GB SRAM on-die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23,000 W (system)</w:t>
            </w:r>
          </w:p>
        </w:tc>
        <w:tc>
          <w:tcPr>
            <w:tcW w:type="dxa" w:w="1800"/>
            <w:tcBorders>
              <w:top w:val="single" w:color="BBBBBB" w:sz="1"/>
              <w:left w:val="single" w:color="BBBBBB" w:sz="1"/>
              <w:bottom w:val="single" w:color="BBBBBB" w:sz="1"/>
              <w:right w:val="single" w:color="BBBBBB" w:sz="1"/>
            </w:tcBorders>
            <w:shd w:fill="EDE7F6" w:val="clear"/>
            <w:tcMar>
              <w:top w:type="dxa" w:w="80"/>
              <w:left w:type="dxa" w:w="110"/>
              <w:bottom w:type="dxa" w:w="80"/>
              <w:right w:type="dxa" w:w="110"/>
            </w:tcMar>
          </w:tcPr>
          <w:p>
            <w:pPr>
              <w:jc w:val="center"/>
            </w:pPr>
            <w:r>
              <w:rPr>
                <w:rFonts w:ascii="Arial" w:cs="Arial" w:eastAsia="Arial" w:hAnsi="Arial"/>
                <w:b/>
                <w:bCs/>
                <w:color w:val="4A148C"/>
                <w:sz w:val="17"/>
                <w:szCs w:val="17"/>
              </w:rPr>
              <w:t xml:space="preserve">2,100 tok/s on Llama 70B; ~91 tok/s/kW</w:t>
            </w:r>
          </w:p>
        </w:tc>
      </w:tr>
      <w:tr>
        <w:tc>
          <w:tcPr>
            <w:tcW w:type="dxa" w:w="1800"/>
            <w:tcBorders>
              <w:top w:val="single" w:color="BBBBBB" w:sz="1"/>
              <w:left w:val="single" w:color="BBBBBB" w:sz="1"/>
              <w:bottom w:val="single" w:color="BBBBBB" w:sz="1"/>
              <w:right w:val="single" w:color="BBBBBB" w:sz="1"/>
            </w:tcBorders>
            <w:shd w:fill="FFF8E1"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AMD MI325X ★</w:t>
            </w:r>
          </w:p>
        </w:tc>
        <w:tc>
          <w:tcPr>
            <w:tcW w:type="dxa" w:w="1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AMD</w:t>
            </w:r>
          </w:p>
        </w:tc>
        <w:tc>
          <w:tcPr>
            <w:tcW w:type="dxa" w:w="16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2,600 TFLOPS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256 GB HBM3E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1,000 W</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20–40% faster than H200 on LLaMA 3.1-70B; 1.31 TFLOPS/W</w:t>
            </w:r>
          </w:p>
        </w:tc>
      </w:tr>
    </w:tbl>
    <w:p>
      <w:pPr>
        <w:spacing w:after="100"/>
      </w:pPr>
      <w:r>
        <w:rPr>
          <w:rFonts w:ascii="Arial" w:cs="Arial" w:eastAsia="Arial" w:hAnsi="Arial"/>
          <w:i/>
          <w:iCs/>
          <w:color w:val="555555"/>
          <w:sz w:val="16"/>
          <w:szCs w:val="16"/>
        </w:rPr>
        <w:t xml:space="preserve">Sources: Ironwood — cloud.google.com/blog/products/compute/ironwood-is-googles-7th-gen-tpu + blog.google/technology/google-deepmind/ironwood; B200 — nvidia.com/en-us/data-center/b200 + MLPerf v5.0 mlcommons.org; GB300 — nvidia.com/en-us/data-center/gb300-nvl72; Cerebras CS-3 — cerebras.ai/product-system + cerebras.ai/inference; AMD MI325X — amd.com/en/products/accelerators/instinct/mi325x; xAI Colossus — rdworldonline.com.</w:t>
      </w:r>
    </w:p>
    <w:p>
      <w:pPr>
        <w:spacing w:after="160"/>
      </w:pPr>
      <w:r>
        <w:t xml:space="preserve"/>
      </w:r>
    </w:p>
    <w:p>
      <w:pPr>
        <w:spacing w:before="280" w:after="120"/>
      </w:pPr>
      <w:r>
        <w:rPr>
          <w:rFonts w:ascii="Arial" w:cs="Arial" w:eastAsia="Arial" w:hAnsi="Arial"/>
          <w:b/>
          <w:bCs/>
          <w:color w:val="1F4E79"/>
          <w:sz w:val="28"/>
          <w:szCs w:val="28"/>
        </w:rPr>
        <w:t xml:space="preserve">4.7  Updated Hardware Generation Energy Progression</w:t>
      </w:r>
    </w:p>
    <w:p>
      <w:pPr>
        <w:spacing w:after="80"/>
      </w:pPr>
      <w:r>
        <w:rPr>
          <w:rFonts w:ascii="Arial" w:cs="Arial" w:eastAsia="Arial" w:hAnsi="Arial"/>
          <w:b/>
          <w:bCs/>
          <w:color w:val="FFFFFF"/>
          <w:sz w:val="16"/>
          <w:szCs w:val="16"/>
          <w:shd w:fill="C62828" w:val="clear"/>
        </w:rPr>
        <w:t xml:space="preserve"> ★ NEW DATA </w:t>
      </w:r>
      <w:r>
        <w:rPr>
          <w:rFonts w:ascii="Arial" w:cs="Arial" w:eastAsia="Arial" w:hAnsi="Arial"/>
          <w:i/>
          <w:iCs/>
          <w:color w:val="C62828"/>
          <w:sz w:val="16"/>
          <w:szCs w:val="16"/>
        </w:rPr>
        <w:t xml:space="preserve"> Table 4.6 extended to include Blackwell B200/GB300, Ironwood, Cerebras</w:t>
      </w:r>
    </w:p>
    <w:p>
      <w:pPr>
        <w:spacing w:after="140"/>
      </w:pPr>
      <w:r>
        <w:rPr>
          <w:rFonts w:ascii="Arial" w:cs="Arial" w:eastAsia="Arial" w:hAnsi="Arial"/>
          <w:sz w:val="20"/>
          <w:szCs w:val="20"/>
        </w:rPr>
        <w:t xml:space="preserve">Table 4.6 now spans from the A100 FP16 baseline through GB300 NVL72 FP4, quantifying the generational efficiency improvement. The GB300 achieves an estimated 140× improvement in J/token over A100 FP16, confirming that hardware generation change is by far the dominant efficiency lever—eclipsing any algorithmic quantization gain achievable on fixed hardware.</w:t>
      </w:r>
    </w:p>
    <w:p>
      <w:pPr>
        <w:spacing w:after="160"/>
      </w:pPr>
      <w:r>
        <w:t xml:space="preserve"/>
      </w:r>
    </w:p>
    <w:p>
      <w:pPr>
        <w:spacing w:after="80"/>
        <w:jc w:val="center"/>
      </w:pPr>
      <w:r>
        <w:rPr>
          <w:rFonts w:ascii="Arial" w:cs="Arial" w:eastAsia="Arial" w:hAnsi="Arial"/>
          <w:b/>
          <w:bCs/>
          <w:color w:val="1F4E79"/>
          <w:sz w:val="18"/>
          <w:szCs w:val="18"/>
        </w:rPr>
        <w:t xml:space="preserve">Table 4.6  Hardware Generation Energy Efficiency Progression for DeepSeek-R1 Inference (★ = new)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00"/>
        <w:gridCol w:w="2200"/>
        <w:gridCol w:w="1700"/>
      </w:tblGrid>
      <w:tr>
        <w:tc>
          <w:tcPr>
            <w:tcW w:type="dxa" w:w="2000"/>
            <w:tcBorders>
              <w:top w:val="single" w:color="BBBBBB" w:sz="1"/>
              <w:left w:val="single" w:color="BBBBBB" w:sz="1"/>
              <w:bottom w:val="single" w:color="BBBBBB" w:sz="1"/>
              <w:right w:val="single" w:color="BBBBBB" w:sz="1"/>
            </w:tcBorders>
            <w:shd w:fill="1F4E79" w:val="clear"/>
            <w:tcMar>
              <w:top w:type="dxa" w:w="80"/>
              <w:left w:type="dxa" w:w="110"/>
              <w:bottom w:type="dxa" w:w="80"/>
              <w:right w:type="dxa" w:w="110"/>
            </w:tcMar>
          </w:tcPr>
          <w:p>
            <w:pPr>
              <w:jc w:val="center"/>
            </w:pPr>
            <w:r>
              <w:rPr>
                <w:rFonts w:ascii="Arial" w:cs="Arial" w:eastAsia="Arial" w:hAnsi="Arial"/>
                <w:b/>
                <w:bCs/>
                <w:color w:val="FFFFFF"/>
                <w:sz w:val="17"/>
                <w:szCs w:val="17"/>
              </w:rPr>
              <w:t xml:space="preserve">Accelerator</w:t>
            </w:r>
          </w:p>
        </w:tc>
        <w:tc>
          <w:tcPr>
            <w:tcW w:type="dxa" w:w="1500"/>
            <w:tcBorders>
              <w:top w:val="single" w:color="BBBBBB" w:sz="1"/>
              <w:left w:val="single" w:color="BBBBBB" w:sz="1"/>
              <w:bottom w:val="single" w:color="BBBBBB" w:sz="1"/>
              <w:right w:val="single" w:color="BBBBBB" w:sz="1"/>
            </w:tcBorders>
            <w:shd w:fill="1F4E79" w:val="clear"/>
            <w:tcMar>
              <w:top w:type="dxa" w:w="80"/>
              <w:left w:type="dxa" w:w="110"/>
              <w:bottom w:type="dxa" w:w="80"/>
              <w:right w:type="dxa" w:w="110"/>
            </w:tcMar>
          </w:tcPr>
          <w:p>
            <w:pPr>
              <w:jc w:val="center"/>
            </w:pPr>
            <w:r>
              <w:rPr>
                <w:rFonts w:ascii="Arial" w:cs="Arial" w:eastAsia="Arial" w:hAnsi="Arial"/>
                <w:b/>
                <w:bCs/>
                <w:color w:val="FFFFFF"/>
                <w:sz w:val="17"/>
                <w:szCs w:val="17"/>
              </w:rPr>
              <w:t xml:space="preserve">Precision</w:t>
            </w:r>
          </w:p>
        </w:tc>
        <w:tc>
          <w:tcPr>
            <w:tcW w:type="dxa" w:w="1800"/>
            <w:tcBorders>
              <w:top w:val="single" w:color="BBBBBB" w:sz="1"/>
              <w:left w:val="single" w:color="BBBBBB" w:sz="1"/>
              <w:bottom w:val="single" w:color="BBBBBB" w:sz="1"/>
              <w:right w:val="single" w:color="BBBBBB" w:sz="1"/>
            </w:tcBorders>
            <w:shd w:fill="1F4E79" w:val="clear"/>
            <w:tcMar>
              <w:top w:type="dxa" w:w="80"/>
              <w:left w:type="dxa" w:w="110"/>
              <w:bottom w:type="dxa" w:w="80"/>
              <w:right w:type="dxa" w:w="110"/>
            </w:tcMar>
          </w:tcPr>
          <w:p>
            <w:pPr>
              <w:jc w:val="center"/>
            </w:pPr>
            <w:r>
              <w:rPr>
                <w:rFonts w:ascii="Arial" w:cs="Arial" w:eastAsia="Arial" w:hAnsi="Arial"/>
                <w:b/>
                <w:bCs/>
                <w:color w:val="FFFFFF"/>
                <w:sz w:val="17"/>
                <w:szCs w:val="17"/>
              </w:rPr>
              <w:t xml:space="preserve">J/token (DeepSeek-R1)</w:t>
            </w:r>
          </w:p>
        </w:tc>
        <w:tc>
          <w:tcPr>
            <w:tcW w:type="dxa" w:w="2200"/>
            <w:tcBorders>
              <w:top w:val="single" w:color="BBBBBB" w:sz="1"/>
              <w:left w:val="single" w:color="BBBBBB" w:sz="1"/>
              <w:bottom w:val="single" w:color="BBBBBB" w:sz="1"/>
              <w:right w:val="single" w:color="BBBBBB" w:sz="1"/>
            </w:tcBorders>
            <w:shd w:fill="1F4E79" w:val="clear"/>
            <w:tcMar>
              <w:top w:type="dxa" w:w="80"/>
              <w:left w:type="dxa" w:w="110"/>
              <w:bottom w:type="dxa" w:w="80"/>
              <w:right w:type="dxa" w:w="110"/>
            </w:tcMar>
          </w:tcPr>
          <w:p>
            <w:pPr>
              <w:jc w:val="center"/>
            </w:pPr>
            <w:r>
              <w:rPr>
                <w:rFonts w:ascii="Arial" w:cs="Arial" w:eastAsia="Arial" w:hAnsi="Arial"/>
                <w:b/>
                <w:bCs/>
                <w:color w:val="FFFFFF"/>
                <w:sz w:val="17"/>
                <w:szCs w:val="17"/>
              </w:rPr>
              <w:t xml:space="preserve">Efficiency vs A100 FP16</w:t>
            </w:r>
          </w:p>
        </w:tc>
        <w:tc>
          <w:tcPr>
            <w:tcW w:type="dxa" w:w="1700"/>
            <w:tcBorders>
              <w:top w:val="single" w:color="BBBBBB" w:sz="1"/>
              <w:left w:val="single" w:color="BBBBBB" w:sz="1"/>
              <w:bottom w:val="single" w:color="BBBBBB" w:sz="1"/>
              <w:right w:val="single" w:color="BBBBBB" w:sz="1"/>
            </w:tcBorders>
            <w:shd w:fill="1F4E79" w:val="clear"/>
            <w:tcMar>
              <w:top w:type="dxa" w:w="80"/>
              <w:left w:type="dxa" w:w="110"/>
              <w:bottom w:type="dxa" w:w="80"/>
              <w:right w:type="dxa" w:w="110"/>
            </w:tcMar>
          </w:tcPr>
          <w:p>
            <w:pPr>
              <w:jc w:val="center"/>
            </w:pPr>
            <w:r>
              <w:rPr>
                <w:rFonts w:ascii="Arial" w:cs="Arial" w:eastAsia="Arial" w:hAnsi="Arial"/>
                <w:b/>
                <w:bCs/>
                <w:color w:val="FFFFFF"/>
                <w:sz w:val="17"/>
                <w:szCs w:val="17"/>
              </w:rPr>
              <w:t xml:space="preserve">Key Innovation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bCs/>
                <w:color w:val="000000"/>
                <w:sz w:val="17"/>
                <w:szCs w:val="17"/>
              </w:rPr>
              <w:t xml:space="preserve">A100 80GB</w:t>
            </w:r>
          </w:p>
        </w:tc>
        <w:tc>
          <w:tcPr>
            <w:tcW w:type="dxa" w:w="15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FP16</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~28.0</w:t>
            </w:r>
          </w:p>
        </w:tc>
        <w:tc>
          <w:tcPr>
            <w:tcW w:type="dxa" w:w="2200"/>
            <w:tcBorders>
              <w:top w:val="single" w:color="BBBBBB" w:sz="1"/>
              <w:left w:val="single" w:color="BBBBBB" w:sz="1"/>
              <w:bottom w:val="single" w:color="BBBBBB" w:sz="1"/>
              <w:right w:val="single" w:color="BBBBBB" w:sz="1"/>
            </w:tcBorders>
            <w:shd w:fill="EEEEEE" w:val="clear"/>
            <w:tcMar>
              <w:top w:type="dxa" w:w="80"/>
              <w:left w:type="dxa" w:w="110"/>
              <w:bottom w:type="dxa" w:w="80"/>
              <w:right w:type="dxa" w:w="110"/>
            </w:tcMar>
          </w:tcPr>
          <w:p>
            <w:pPr>
              <w:jc w:val="center"/>
            </w:pPr>
            <w:r>
              <w:rPr>
                <w:rFonts w:ascii="Arial" w:cs="Arial" w:eastAsia="Arial" w:hAnsi="Arial"/>
                <w:b/>
                <w:bCs/>
                <w:color w:val="546E7A"/>
                <w:sz w:val="17"/>
                <w:szCs w:val="17"/>
              </w:rPr>
              <w:t xml:space="preserve">1× baseline</w:t>
            </w:r>
          </w:p>
        </w:tc>
        <w:tc>
          <w:tcPr>
            <w:tcW w:type="dxa" w:w="17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546E7A"/>
                <w:sz w:val="17"/>
                <w:szCs w:val="17"/>
              </w:rPr>
              <w:t xml:space="preserve">Paper baseline</w:t>
            </w:r>
          </w:p>
        </w:tc>
      </w:tr>
      <w:tr>
        <w:tc>
          <w:tcPr>
            <w:tcW w:type="dxa" w:w="20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bCs/>
                <w:color w:val="000000"/>
                <w:sz w:val="17"/>
                <w:szCs w:val="17"/>
              </w:rPr>
              <w:t xml:space="preserve">H100 SXM</w:t>
            </w:r>
          </w:p>
        </w:tc>
        <w:tc>
          <w:tcPr>
            <w:tcW w:type="dxa" w:w="15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FP8</w:t>
            </w:r>
          </w:p>
        </w:tc>
        <w:tc>
          <w:tcPr>
            <w:tcW w:type="dxa" w:w="18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10.0</w:t>
            </w:r>
          </w:p>
        </w:tc>
        <w:tc>
          <w:tcPr>
            <w:tcW w:type="dxa" w:w="2200"/>
            <w:tcBorders>
              <w:top w:val="single" w:color="BBBBBB" w:sz="1"/>
              <w:left w:val="single" w:color="BBBBBB" w:sz="1"/>
              <w:bottom w:val="single" w:color="BBBBBB" w:sz="1"/>
              <w:right w:val="single" w:color="BBBBBB" w:sz="1"/>
            </w:tcBorders>
            <w:shd w:fill="FFF9C4"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~2.8×</w:t>
            </w:r>
          </w:p>
        </w:tc>
        <w:tc>
          <w:tcPr>
            <w:tcW w:type="dxa" w:w="17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FP8 Transformer Engine</w:t>
            </w:r>
          </w:p>
        </w:tc>
      </w:tr>
      <w:tr>
        <w:tc>
          <w:tcPr>
            <w:tcW w:type="dxa" w:w="2000"/>
            <w:tcBorders>
              <w:top w:val="single" w:color="BBBBBB" w:sz="1"/>
              <w:left w:val="single" w:color="BBBBBB" w:sz="1"/>
              <w:bottom w:val="single" w:color="BBBBBB" w:sz="1"/>
              <w:right w:val="single" w:color="BBBBBB" w:sz="1"/>
            </w:tcBorders>
            <w:shd w:fill="FFF8E1"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B200 (Blackwell) ★</w:t>
            </w:r>
          </w:p>
        </w:tc>
        <w:tc>
          <w:tcPr>
            <w:tcW w:type="dxa" w:w="15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FP8</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0.4</w:t>
            </w:r>
          </w:p>
        </w:tc>
        <w:tc>
          <w:tcPr>
            <w:tcW w:type="dxa" w:w="2200"/>
            <w:tcBorders>
              <w:top w:val="single" w:color="BBBBBB" w:sz="1"/>
              <w:left w:val="single" w:color="BBBBBB" w:sz="1"/>
              <w:bottom w:val="single" w:color="BBBBBB" w:sz="1"/>
              <w:right w:val="single" w:color="BBBBBB" w:sz="1"/>
            </w:tcBorders>
            <w:shd w:fill="C8E6C9" w:val="clear"/>
            <w:tcMar>
              <w:top w:type="dxa" w:w="80"/>
              <w:left w:type="dxa" w:w="110"/>
              <w:bottom w:type="dxa" w:w="80"/>
              <w:right w:type="dxa" w:w="110"/>
            </w:tcMar>
          </w:tcPr>
          <w:p>
            <w:pPr>
              <w:jc w:val="center"/>
            </w:pPr>
            <w:r>
              <w:rPr>
                <w:rFonts w:ascii="Arial" w:cs="Arial" w:eastAsia="Arial" w:hAnsi="Arial"/>
                <w:b/>
                <w:bCs/>
                <w:color w:val="1B5E20"/>
                <w:sz w:val="17"/>
                <w:szCs w:val="17"/>
              </w:rPr>
              <w:t xml:space="preserve">~70×</w:t>
            </w:r>
          </w:p>
        </w:tc>
        <w:tc>
          <w:tcPr>
            <w:tcW w:type="dxa" w:w="17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FP4 support; 2nd-gen TE</w:t>
            </w:r>
          </w:p>
        </w:tc>
      </w:tr>
      <w:tr>
        <w:tc>
          <w:tcPr>
            <w:tcW w:type="dxa" w:w="2000"/>
            <w:tcBorders>
              <w:top w:val="single" w:color="BBBBBB" w:sz="1"/>
              <w:left w:val="single" w:color="BBBBBB" w:sz="1"/>
              <w:bottom w:val="single" w:color="BBBBBB" w:sz="1"/>
              <w:right w:val="single" w:color="BBBBBB" w:sz="1"/>
            </w:tcBorders>
            <w:shd w:fill="FFF8E1"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GB300 NVL72 ★</w:t>
            </w:r>
          </w:p>
        </w:tc>
        <w:tc>
          <w:tcPr>
            <w:tcW w:type="dxa" w:w="15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FP4</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~0.2</w:t>
            </w:r>
          </w:p>
        </w:tc>
        <w:tc>
          <w:tcPr>
            <w:tcW w:type="dxa" w:w="2200"/>
            <w:tcBorders>
              <w:top w:val="single" w:color="BBBBBB" w:sz="1"/>
              <w:left w:val="single" w:color="BBBBBB" w:sz="1"/>
              <w:bottom w:val="single" w:color="BBBBBB" w:sz="1"/>
              <w:right w:val="single" w:color="BBBBBB" w:sz="1"/>
            </w:tcBorders>
            <w:shd w:fill="C8E6C9" w:val="clear"/>
            <w:tcMar>
              <w:top w:type="dxa" w:w="80"/>
              <w:left w:type="dxa" w:w="110"/>
              <w:bottom w:type="dxa" w:w="80"/>
              <w:right w:type="dxa" w:w="110"/>
            </w:tcMar>
          </w:tcPr>
          <w:p>
            <w:pPr>
              <w:jc w:val="center"/>
            </w:pPr>
            <w:r>
              <w:rPr>
                <w:rFonts w:ascii="Arial" w:cs="Arial" w:eastAsia="Arial" w:hAnsi="Arial"/>
                <w:b/>
                <w:bCs/>
                <w:color w:val="1B5E20"/>
                <w:sz w:val="17"/>
                <w:szCs w:val="17"/>
              </w:rPr>
              <w:t xml:space="preserve">~140×</w:t>
            </w:r>
          </w:p>
        </w:tc>
        <w:tc>
          <w:tcPr>
            <w:tcW w:type="dxa" w:w="17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Liquid cooling; 288 GB HBM3e</w:t>
            </w:r>
          </w:p>
        </w:tc>
      </w:tr>
      <w:tr>
        <w:tc>
          <w:tcPr>
            <w:tcW w:type="dxa" w:w="2000"/>
            <w:tcBorders>
              <w:top w:val="single" w:color="BBBBBB" w:sz="1"/>
              <w:left w:val="single" w:color="BBBBBB" w:sz="1"/>
              <w:bottom w:val="single" w:color="BBBBBB" w:sz="1"/>
              <w:right w:val="single" w:color="BBBBBB" w:sz="1"/>
            </w:tcBorders>
            <w:shd w:fill="E8F5E9" w:val="clear"/>
            <w:tcMar>
              <w:top w:type="dxa" w:w="80"/>
              <w:left w:type="dxa" w:w="110"/>
              <w:bottom w:type="dxa" w:w="80"/>
              <w:right w:type="dxa" w:w="110"/>
            </w:tcMar>
          </w:tcPr>
          <w:p>
            <w:pPr>
              <w:jc w:val="center"/>
            </w:pPr>
            <w:r>
              <w:rPr>
                <w:rFonts w:ascii="Arial" w:cs="Arial" w:eastAsia="Arial" w:hAnsi="Arial"/>
                <w:b/>
                <w:bCs/>
                <w:color w:val="1B5E20"/>
                <w:sz w:val="17"/>
                <w:szCs w:val="17"/>
              </w:rPr>
              <w:t xml:space="preserve">Ironwood TPU v7 ★</w:t>
            </w:r>
          </w:p>
        </w:tc>
        <w:tc>
          <w:tcPr>
            <w:tcW w:type="dxa" w:w="15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BF16</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~0.6 est.</w:t>
            </w:r>
          </w:p>
        </w:tc>
        <w:tc>
          <w:tcPr>
            <w:tcW w:type="dxa" w:w="2200"/>
            <w:tcBorders>
              <w:top w:val="single" w:color="BBBBBB" w:sz="1"/>
              <w:left w:val="single" w:color="BBBBBB" w:sz="1"/>
              <w:bottom w:val="single" w:color="BBBBBB" w:sz="1"/>
              <w:right w:val="single" w:color="BBBBBB" w:sz="1"/>
            </w:tcBorders>
            <w:shd w:fill="E8F5E9" w:val="clear"/>
            <w:tcMar>
              <w:top w:type="dxa" w:w="80"/>
              <w:left w:type="dxa" w:w="110"/>
              <w:bottom w:type="dxa" w:w="80"/>
              <w:right w:type="dxa" w:w="110"/>
            </w:tcMar>
          </w:tcPr>
          <w:p>
            <w:pPr>
              <w:jc w:val="center"/>
            </w:pPr>
            <w:r>
              <w:rPr>
                <w:rFonts w:ascii="Arial" w:cs="Arial" w:eastAsia="Arial" w:hAnsi="Arial"/>
                <w:b/>
                <w:bCs/>
                <w:color w:val="1B5E20"/>
                <w:sz w:val="17"/>
                <w:szCs w:val="17"/>
              </w:rPr>
              <w:t xml:space="preserve">~47× (est.)</w:t>
            </w:r>
          </w:p>
        </w:tc>
        <w:tc>
          <w:tcPr>
            <w:tcW w:type="dxa" w:w="17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29.3 TFLOPS/W; 2× TPU v6e perf/watt</w:t>
            </w:r>
          </w:p>
        </w:tc>
      </w:tr>
      <w:tr>
        <w:tc>
          <w:tcPr>
            <w:tcW w:type="dxa" w:w="2000"/>
            <w:tcBorders>
              <w:top w:val="single" w:color="BBBBBB" w:sz="1"/>
              <w:left w:val="single" w:color="BBBBBB" w:sz="1"/>
              <w:bottom w:val="single" w:color="BBBBBB" w:sz="1"/>
              <w:right w:val="single" w:color="BBBBBB" w:sz="1"/>
            </w:tcBorders>
            <w:shd w:fill="EDE7F6" w:val="clear"/>
            <w:tcMar>
              <w:top w:type="dxa" w:w="80"/>
              <w:left w:type="dxa" w:w="110"/>
              <w:bottom w:type="dxa" w:w="80"/>
              <w:right w:type="dxa" w:w="110"/>
            </w:tcMar>
          </w:tcPr>
          <w:p>
            <w:pPr>
              <w:jc w:val="center"/>
            </w:pPr>
            <w:r>
              <w:rPr>
                <w:rFonts w:ascii="Arial" w:cs="Arial" w:eastAsia="Arial" w:hAnsi="Arial"/>
                <w:b/>
                <w:bCs/>
                <w:color w:val="4A148C"/>
                <w:sz w:val="17"/>
                <w:szCs w:val="17"/>
              </w:rPr>
              <w:t xml:space="preserve">Cerebras CS-3 ★</w:t>
            </w:r>
          </w:p>
        </w:tc>
        <w:tc>
          <w:tcPr>
            <w:tcW w:type="dxa" w:w="15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BF16</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w:t>
            </w:r>
          </w:p>
        </w:tc>
        <w:tc>
          <w:tcPr>
            <w:tcW w:type="dxa" w:w="2200"/>
            <w:tcBorders>
              <w:top w:val="single" w:color="BBBBBB" w:sz="1"/>
              <w:left w:val="single" w:color="BBBBBB" w:sz="1"/>
              <w:bottom w:val="single" w:color="BBBBBB" w:sz="1"/>
              <w:right w:val="single" w:color="BBBBBB" w:sz="1"/>
            </w:tcBorders>
            <w:shd w:fill="EDE7F6" w:val="clear"/>
            <w:tcMar>
              <w:top w:type="dxa" w:w="80"/>
              <w:left w:type="dxa" w:w="110"/>
              <w:bottom w:type="dxa" w:w="80"/>
              <w:right w:type="dxa" w:w="110"/>
            </w:tcMar>
          </w:tcPr>
          <w:p>
            <w:pPr>
              <w:jc w:val="center"/>
            </w:pPr>
            <w:r>
              <w:rPr>
                <w:rFonts w:ascii="Arial" w:cs="Arial" w:eastAsia="Arial" w:hAnsi="Arial"/>
                <w:b/>
                <w:bCs/>
                <w:color w:val="4A148C"/>
                <w:sz w:val="17"/>
                <w:szCs w:val="17"/>
              </w:rPr>
              <w:t xml:space="preserve">~91 tok/s/kW</w:t>
            </w:r>
          </w:p>
        </w:tc>
        <w:tc>
          <w:tcPr>
            <w:tcW w:type="dxa" w:w="17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Wafer-scale; no off-chip HBM</w:t>
            </w:r>
          </w:p>
        </w:tc>
      </w:tr>
    </w:tbl>
    <w:p>
      <w:pPr>
        <w:spacing w:after="100"/>
      </w:pPr>
      <w:r>
        <w:rPr>
          <w:rFonts w:ascii="Arial" w:cs="Arial" w:eastAsia="Arial" w:hAnsi="Arial"/>
          <w:i/>
          <w:iCs/>
          <w:color w:val="555555"/>
          <w:sz w:val="16"/>
          <w:szCs w:val="16"/>
        </w:rPr>
        <w:t xml:space="preserve">Sources: H100 — NVIDIA GTC 2025 (developer.nvidia.com); B200/GB300 — NVIDIA GB300 product brief (nvidia.com/en-us/data-center/gb300-nvl72) + Introl AI analysis (introl.com/blog/fp4-inference-efficiency-nvidia-2025); Ironwood — blog.google/technology/google-deepmind/ironwood; Cerebras — cerebras.ai/inference; AMD MI355X roadmap — amd.com/en/products/accelerators/instinct.</w:t>
      </w:r>
    </w:p>
    <w:p>
      <w:pPr>
        <w:spacing w:after="160"/>
      </w:pPr>
      <w:r>
        <w:t xml:space="preserve"/>
      </w:r>
    </w:p>
    <w:p>
      <w:pPr>
        <w:pBdr>
          <w:bottom w:val="single" w:color="2E75B6" w:sz="4" w:space="1"/>
        </w:pBdr>
        <w:spacing w:before="360" w:after="160"/>
      </w:pPr>
      <w:r>
        <w:rPr>
          <w:rFonts w:ascii="Arial" w:cs="Arial" w:eastAsia="Arial" w:hAnsi="Arial"/>
          <w:b/>
          <w:bCs/>
          <w:color w:val="1F4E79"/>
          <w:sz w:val="40"/>
          <w:szCs w:val="40"/>
        </w:rPr>
        <w:t xml:space="preserve">5.  Unified Decision Guide</w:t>
      </w:r>
    </w:p>
    <w:p>
      <w:pPr>
        <w:spacing w:after="140"/>
      </w:pPr>
      <w:r>
        <w:rPr>
          <w:rFonts w:ascii="Arial" w:cs="Arial" w:eastAsia="Arial" w:hAnsi="Arial"/>
          <w:sz w:val="20"/>
          <w:szCs w:val="20"/>
        </w:rPr>
        <w:t xml:space="preserve">This section is the paper's primary deliverable. All tables and rules now incorporate March 2026 data. New model rows are marked ★ and highlighted in orange or purple. Tables 5.2, 5.3, 5.5, and 5.6 are unchanged from the original paper; Tables 5.1, 5.4, and 5.7 are updated with new models and hardware options.</w:t>
      </w:r>
    </w:p>
    <w:p>
      <w:pPr>
        <w:spacing w:after="1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BBBB" w:sz="1"/>
              <w:left w:val="single" w:color="BBBBBB" w:sz="1"/>
              <w:bottom w:val="single" w:color="BBBBBB" w:sz="1"/>
              <w:right w:val="single" w:color="BBBBBB" w:sz="1"/>
            </w:tcBorders>
            <w:shd w:fill="E3F2FD" w:val="clear"/>
            <w:tcMar>
              <w:top w:type="dxa" w:w="120"/>
              <w:left w:type="dxa" w:w="200"/>
              <w:bottom w:type="dxa" w:w="120"/>
              <w:right w:type="dxa" w:w="200"/>
            </w:tcMar>
          </w:tcPr>
          <w:p>
            <w:pPr>
              <w:spacing w:after="60"/>
            </w:pPr>
            <w:r>
              <w:rPr>
                <w:rFonts w:ascii="Arial" w:cs="Arial" w:eastAsia="Arial" w:hAnsi="Arial"/>
                <w:b/>
                <w:bCs/>
                <w:color w:val="1F4E79"/>
                <w:sz w:val="20"/>
                <w:szCs w:val="20"/>
              </w:rPr>
              <w:t xml:space="preserve">READING THIS GUIDE</w:t>
            </w:r>
          </w:p>
          <w:p>
            <w:r>
              <w:rPr>
                <w:rFonts w:ascii="Arial" w:cs="Arial" w:eastAsia="Arial" w:hAnsi="Arial"/>
                <w:color w:val="222222"/>
                <w:sz w:val="18"/>
                <w:szCs w:val="18"/>
              </w:rPr>
              <w:t xml:space="preserve">★ rows are new 2025–2026 additions. est.* values are estimated from active-parameter scaling—useful for planning but validate with direct measurement before production. Start with Table 5.1 (LLM use case) or Table 5.4 (diffusion goal), then use Table 5.2 (hardware VRAM fit) or Table 5.5 (diffusion quantization by resolution). Table 5.7 is the master one-page reference.</w:t>
            </w:r>
          </w:p>
        </w:tc>
      </w:tr>
    </w:tbl>
    <w:p>
      <w:pPr>
        <w:spacing w:after="160"/>
      </w:pPr>
      <w:r>
        <w:t xml:space="preserve"/>
      </w:r>
    </w:p>
    <w:p>
      <w:pPr>
        <w:spacing w:before="280" w:after="120"/>
      </w:pPr>
      <w:r>
        <w:rPr>
          <w:rFonts w:ascii="Arial" w:cs="Arial" w:eastAsia="Arial" w:hAnsi="Arial"/>
          <w:b/>
          <w:bCs/>
          <w:color w:val="1F4E79"/>
          <w:sz w:val="28"/>
          <w:szCs w:val="28"/>
        </w:rPr>
        <w:t xml:space="preserve">5.1  Updated LLM Architecture Decision: Use Case → Model</w:t>
      </w:r>
    </w:p>
    <w:p>
      <w:pPr>
        <w:spacing w:after="140"/>
      </w:pPr>
      <w:r>
        <w:rPr>
          <w:rFonts w:ascii="Arial" w:cs="Arial" w:eastAsia="Arial" w:hAnsi="Arial"/>
          <w:sz w:val="20"/>
          <w:szCs w:val="20"/>
        </w:rPr>
        <w:t xml:space="preserve">Table 5.1 is updated to include Qwen3-30B-A3B (code, consumer GPU), DeepSeek V3 (reasoning, enterprise), LFM2-24B-A2B (RAG / edge), and GLM-5 / MiniMax M2.5 (maximum sparsity / Green AI). A new row covers edge/CPU inference, reflecting LFM2-24B-A2B's unique ability to run 112 tok/s on CPU hardware with only 2B active parameters.</w:t>
      </w:r>
    </w:p>
    <w:p>
      <w:pPr>
        <w:spacing w:after="160"/>
      </w:pPr>
      <w:r>
        <w:t xml:space="preserve"/>
      </w:r>
    </w:p>
    <w:p>
      <w:pPr>
        <w:spacing w:after="80"/>
      </w:pPr>
      <w:r>
        <w:rPr>
          <w:rFonts w:ascii="Arial" w:cs="Arial" w:eastAsia="Arial" w:hAnsi="Arial"/>
          <w:b/>
          <w:bCs/>
          <w:color w:val="FFFFFF"/>
          <w:sz w:val="16"/>
          <w:szCs w:val="16"/>
          <w:shd w:fill="C62828" w:val="clear"/>
        </w:rPr>
        <w:t xml:space="preserve"> ★ NEW DATA </w:t>
      </w:r>
      <w:r>
        <w:rPr>
          <w:rFonts w:ascii="Arial" w:cs="Arial" w:eastAsia="Arial" w:hAnsi="Arial"/>
          <w:i/>
          <w:iCs/>
          <w:color w:val="C62828"/>
          <w:sz w:val="16"/>
          <w:szCs w:val="16"/>
        </w:rPr>
        <w:t xml:space="preserve"> New rows: Qwen3 code, DeepSeek V3, LFM2 RAG/edge, GLM-5/M2.5 Green AI, edge CPU row</w:t>
      </w:r>
    </w:p>
    <w:p>
      <w:pPr>
        <w:spacing w:after="80"/>
        <w:jc w:val="center"/>
      </w:pPr>
      <w:r>
        <w:rPr>
          <w:rFonts w:ascii="Arial" w:cs="Arial" w:eastAsia="Arial" w:hAnsi="Arial"/>
          <w:b/>
          <w:bCs/>
          <w:color w:val="1F4E79"/>
          <w:sz w:val="18"/>
          <w:szCs w:val="18"/>
        </w:rPr>
        <w:t xml:space="preserve">Table 5.1  LLM Use Case → Recommended Model, Architecture &amp; Quantization (★ = updated 2026)</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100"/>
        <w:gridCol w:w="1900"/>
        <w:gridCol w:w="1800"/>
      </w:tblGrid>
      <w:tr>
        <w:tc>
          <w:tcPr>
            <w:tcW w:type="dxa" w:w="1600"/>
            <w:tcBorders>
              <w:top w:val="single" w:color="BBBBBB" w:sz="1"/>
              <w:left w:val="single" w:color="BBBBBB" w:sz="1"/>
              <w:bottom w:val="single" w:color="BBBBBB" w:sz="1"/>
              <w:right w:val="single" w:color="BBBBBB" w:sz="1"/>
            </w:tcBorders>
            <w:shd w:fill="1F4E79" w:val="clear"/>
            <w:tcMar>
              <w:top w:type="dxa" w:w="80"/>
              <w:left w:type="dxa" w:w="110"/>
              <w:bottom w:type="dxa" w:w="80"/>
              <w:right w:type="dxa" w:w="110"/>
            </w:tcMar>
          </w:tcPr>
          <w:p>
            <w:pPr>
              <w:jc w:val="center"/>
            </w:pPr>
            <w:r>
              <w:rPr>
                <w:rFonts w:ascii="Arial" w:cs="Arial" w:eastAsia="Arial" w:hAnsi="Arial"/>
                <w:b/>
                <w:bCs/>
                <w:color w:val="FFFFFF"/>
                <w:sz w:val="17"/>
                <w:szCs w:val="17"/>
              </w:rPr>
              <w:t xml:space="preserve">Use Case</w:t>
            </w:r>
          </w:p>
        </w:tc>
        <w:tc>
          <w:tcPr>
            <w:tcW w:type="dxa" w:w="1800"/>
            <w:tcBorders>
              <w:top w:val="single" w:color="BBBBBB" w:sz="1"/>
              <w:left w:val="single" w:color="BBBBBB" w:sz="1"/>
              <w:bottom w:val="single" w:color="BBBBBB" w:sz="1"/>
              <w:right w:val="single" w:color="BBBBBB" w:sz="1"/>
            </w:tcBorders>
            <w:shd w:fill="1F4E79" w:val="clear"/>
            <w:tcMar>
              <w:top w:type="dxa" w:w="80"/>
              <w:left w:type="dxa" w:w="110"/>
              <w:bottom w:type="dxa" w:w="80"/>
              <w:right w:type="dxa" w:w="110"/>
            </w:tcMar>
          </w:tcPr>
          <w:p>
            <w:pPr>
              <w:jc w:val="center"/>
            </w:pPr>
            <w:r>
              <w:rPr>
                <w:rFonts w:ascii="Arial" w:cs="Arial" w:eastAsia="Arial" w:hAnsi="Arial"/>
                <w:b/>
                <w:bCs/>
                <w:color w:val="FFFFFF"/>
                <w:sz w:val="17"/>
                <w:szCs w:val="17"/>
              </w:rPr>
              <w:t xml:space="preserve">Scale</w:t>
            </w:r>
          </w:p>
        </w:tc>
        <w:tc>
          <w:tcPr>
            <w:tcW w:type="dxa" w:w="2100"/>
            <w:tcBorders>
              <w:top w:val="single" w:color="BBBBBB" w:sz="1"/>
              <w:left w:val="single" w:color="BBBBBB" w:sz="1"/>
              <w:bottom w:val="single" w:color="BBBBBB" w:sz="1"/>
              <w:right w:val="single" w:color="BBBBBB" w:sz="1"/>
            </w:tcBorders>
            <w:shd w:fill="1F4E79" w:val="clear"/>
            <w:tcMar>
              <w:top w:type="dxa" w:w="80"/>
              <w:left w:type="dxa" w:w="110"/>
              <w:bottom w:type="dxa" w:w="80"/>
              <w:right w:type="dxa" w:w="110"/>
            </w:tcMar>
          </w:tcPr>
          <w:p>
            <w:pPr>
              <w:jc w:val="center"/>
            </w:pPr>
            <w:r>
              <w:rPr>
                <w:rFonts w:ascii="Arial" w:cs="Arial" w:eastAsia="Arial" w:hAnsi="Arial"/>
                <w:b/>
                <w:bCs/>
                <w:color w:val="FFFFFF"/>
                <w:sz w:val="17"/>
                <w:szCs w:val="17"/>
              </w:rPr>
              <w:t xml:space="preserve">Recommended Model</w:t>
            </w:r>
          </w:p>
        </w:tc>
        <w:tc>
          <w:tcPr>
            <w:tcW w:type="dxa" w:w="1900"/>
            <w:tcBorders>
              <w:top w:val="single" w:color="BBBBBB" w:sz="1"/>
              <w:left w:val="single" w:color="BBBBBB" w:sz="1"/>
              <w:bottom w:val="single" w:color="BBBBBB" w:sz="1"/>
              <w:right w:val="single" w:color="BBBBBB" w:sz="1"/>
            </w:tcBorders>
            <w:shd w:fill="1F4E79" w:val="clear"/>
            <w:tcMar>
              <w:top w:type="dxa" w:w="80"/>
              <w:left w:type="dxa" w:w="110"/>
              <w:bottom w:type="dxa" w:w="80"/>
              <w:right w:type="dxa" w:w="110"/>
            </w:tcMar>
          </w:tcPr>
          <w:p>
            <w:pPr>
              <w:jc w:val="center"/>
            </w:pPr>
            <w:r>
              <w:rPr>
                <w:rFonts w:ascii="Arial" w:cs="Arial" w:eastAsia="Arial" w:hAnsi="Arial"/>
                <w:b/>
                <w:bCs/>
                <w:color w:val="FFFFFF"/>
                <w:sz w:val="17"/>
                <w:szCs w:val="17"/>
              </w:rPr>
              <w:t xml:space="preserve">Architecture</w:t>
            </w:r>
          </w:p>
        </w:tc>
        <w:tc>
          <w:tcPr>
            <w:tcW w:type="dxa" w:w="1800"/>
            <w:tcBorders>
              <w:top w:val="single" w:color="BBBBBB" w:sz="1"/>
              <w:left w:val="single" w:color="BBBBBB" w:sz="1"/>
              <w:bottom w:val="single" w:color="BBBBBB" w:sz="1"/>
              <w:right w:val="single" w:color="BBBBBB" w:sz="1"/>
            </w:tcBorders>
            <w:shd w:fill="1F4E79" w:val="clear"/>
            <w:tcMar>
              <w:top w:type="dxa" w:w="80"/>
              <w:left w:type="dxa" w:w="110"/>
              <w:bottom w:type="dxa" w:w="80"/>
              <w:right w:type="dxa" w:w="110"/>
            </w:tcMar>
          </w:tcPr>
          <w:p>
            <w:pPr>
              <w:jc w:val="center"/>
            </w:pPr>
            <w:r>
              <w:rPr>
                <w:rFonts w:ascii="Arial" w:cs="Arial" w:eastAsia="Arial" w:hAnsi="Arial"/>
                <w:b/>
                <w:bCs/>
                <w:color w:val="FFFFFF"/>
                <w:sz w:val="17"/>
                <w:szCs w:val="17"/>
              </w:rPr>
              <w:t xml:space="preserve">Quantization</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bCs/>
                <w:color w:val="000000"/>
                <w:sz w:val="17"/>
                <w:szCs w:val="17"/>
              </w:rPr>
              <w:t xml:space="preserve">Chat / Instruction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≤13B</w:t>
            </w:r>
          </w:p>
        </w:tc>
        <w:tc>
          <w:tcPr>
            <w:tcW w:type="dxa" w:w="21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Qwen2.5-7B / LLaMA 3-8B</w:t>
            </w:r>
          </w:p>
        </w:tc>
        <w:tc>
          <w:tcPr>
            <w:tcW w:type="dxa" w:w="19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Dense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GGUF Q8 / INT8</w:t>
            </w:r>
          </w:p>
        </w:tc>
      </w:tr>
      <w:tr>
        <w:tc>
          <w:tcPr>
            <w:tcW w:type="dxa" w:w="16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bCs/>
                <w:color w:val="000000"/>
                <w:sz w:val="17"/>
                <w:szCs w:val="17"/>
              </w:rPr>
              <w:t xml:space="preserve">Chat / Instruction</w:t>
            </w:r>
          </w:p>
        </w:tc>
        <w:tc>
          <w:tcPr>
            <w:tcW w:type="dxa" w:w="18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&gt;30B ★</w:t>
            </w:r>
          </w:p>
        </w:tc>
        <w:tc>
          <w:tcPr>
            <w:tcW w:type="dxa" w:w="21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GLM-4.5-Flash / Qwen3-30B-A3B</w:t>
            </w:r>
          </w:p>
        </w:tc>
        <w:tc>
          <w:tcPr>
            <w:tcW w:type="dxa" w:w="19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Sparse MoE</w:t>
            </w:r>
          </w:p>
        </w:tc>
        <w:tc>
          <w:tcPr>
            <w:tcW w:type="dxa" w:w="18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INT8 / GGUF Q4</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bCs/>
                <w:color w:val="000000"/>
                <w:sz w:val="17"/>
                <w:szCs w:val="17"/>
              </w:rPr>
              <w:t xml:space="preserve">Code Generation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≤13B</w:t>
            </w:r>
          </w:p>
        </w:tc>
        <w:tc>
          <w:tcPr>
            <w:tcW w:type="dxa" w:w="21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Qwen2.5-Coder-7B</w:t>
            </w:r>
          </w:p>
        </w:tc>
        <w:tc>
          <w:tcPr>
            <w:tcW w:type="dxa" w:w="19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Dense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GGUF Q8</w:t>
            </w:r>
          </w:p>
        </w:tc>
      </w:tr>
      <w:tr>
        <w:tc>
          <w:tcPr>
            <w:tcW w:type="dxa" w:w="16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bCs/>
                <w:color w:val="000000"/>
                <w:sz w:val="17"/>
                <w:szCs w:val="17"/>
              </w:rPr>
              <w:t xml:space="preserve">Code Generation</w:t>
            </w:r>
          </w:p>
        </w:tc>
        <w:tc>
          <w:tcPr>
            <w:tcW w:type="dxa" w:w="18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&gt;30B ★</w:t>
            </w:r>
          </w:p>
        </w:tc>
        <w:tc>
          <w:tcPr>
            <w:tcW w:type="dxa" w:w="21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E65100"/>
                <w:bCs w:val="E65100"/>
                <w:color w:val="000000"/>
                <w:sz w:val="17"/>
                <w:szCs w:val="17"/>
              </w:rPr>
              <w:t xml:space="preserve">Qwen3-Coder-30B-A3B ★</w:t>
            </w:r>
          </w:p>
        </w:tc>
        <w:tc>
          <w:tcPr>
            <w:tcW w:type="dxa" w:w="19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E65100"/>
                <w:bCs w:val="E65100"/>
                <w:color w:val="000000"/>
                <w:sz w:val="17"/>
                <w:szCs w:val="17"/>
              </w:rPr>
              <w:t xml:space="preserve">Sparse MoE ★</w:t>
            </w:r>
          </w:p>
        </w:tc>
        <w:tc>
          <w:tcPr>
            <w:tcW w:type="dxa" w:w="18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AWQ INT4</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bCs/>
                <w:color w:val="000000"/>
                <w:sz w:val="17"/>
                <w:szCs w:val="17"/>
              </w:rPr>
              <w:t xml:space="preserve">Deep Reasoning</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Any</w:t>
            </w:r>
          </w:p>
        </w:tc>
        <w:tc>
          <w:tcPr>
            <w:tcW w:type="dxa" w:w="21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E65100"/>
                <w:bCs w:val="E65100"/>
                <w:color w:val="000000"/>
                <w:sz w:val="17"/>
                <w:szCs w:val="17"/>
              </w:rPr>
              <w:t xml:space="preserve">DeepSeek V3 / R1 ★</w:t>
            </w:r>
          </w:p>
        </w:tc>
        <w:tc>
          <w:tcPr>
            <w:tcW w:type="dxa" w:w="19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E65100"/>
                <w:bCs w:val="E65100"/>
                <w:color w:val="000000"/>
                <w:sz w:val="17"/>
                <w:szCs w:val="17"/>
              </w:rPr>
              <w:t xml:space="preserve">MoE (MLA + DSMoE) ★</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FP8 (H100+)</w:t>
            </w:r>
          </w:p>
        </w:tc>
      </w:tr>
      <w:tr>
        <w:tc>
          <w:tcPr>
            <w:tcW w:type="dxa" w:w="16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bCs/>
                <w:color w:val="000000"/>
                <w:sz w:val="17"/>
                <w:szCs w:val="17"/>
              </w:rPr>
              <w:t xml:space="preserve">RAG / Retrieval</w:t>
            </w:r>
          </w:p>
        </w:tc>
        <w:tc>
          <w:tcPr>
            <w:tcW w:type="dxa" w:w="18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≤13B</w:t>
            </w:r>
          </w:p>
        </w:tc>
        <w:tc>
          <w:tcPr>
            <w:tcW w:type="dxa" w:w="21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E65100"/>
                <w:bCs w:val="E65100"/>
                <w:color w:val="000000"/>
                <w:sz w:val="17"/>
                <w:szCs w:val="17"/>
              </w:rPr>
              <w:t xml:space="preserve">LLaMA 3.1-8B / LFM2-24B ★</w:t>
            </w:r>
          </w:p>
        </w:tc>
        <w:tc>
          <w:tcPr>
            <w:tcW w:type="dxa" w:w="19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E65100"/>
                <w:bCs w:val="E65100"/>
                <w:color w:val="000000"/>
                <w:sz w:val="17"/>
                <w:szCs w:val="17"/>
              </w:rPr>
              <w:t xml:space="preserve">Dense / Hybrid ★</w:t>
            </w:r>
          </w:p>
        </w:tc>
        <w:tc>
          <w:tcPr>
            <w:tcW w:type="dxa" w:w="18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INT8 / GGUF Q8</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bCs/>
                <w:color w:val="000000"/>
                <w:sz w:val="17"/>
                <w:szCs w:val="17"/>
              </w:rPr>
              <w:t xml:space="preserve">Max sparsity / Green AI</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&gt;100B ★</w:t>
            </w:r>
          </w:p>
        </w:tc>
        <w:tc>
          <w:tcPr>
            <w:tcW w:type="dxa" w:w="21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E65100"/>
                <w:bCs w:val="E65100"/>
                <w:color w:val="000000"/>
                <w:sz w:val="17"/>
                <w:szCs w:val="17"/>
              </w:rPr>
              <w:t xml:space="preserve">GLM-5 / MiniMax M2.5 ★</w:t>
            </w:r>
          </w:p>
        </w:tc>
        <w:tc>
          <w:tcPr>
            <w:tcW w:type="dxa" w:w="19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E65100"/>
                <w:bCs w:val="E65100"/>
                <w:color w:val="000000"/>
                <w:sz w:val="17"/>
                <w:szCs w:val="17"/>
              </w:rPr>
              <w:t xml:space="preserve">MoE (4.3–5.9% active) ★</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FP8 on Blackwell</w:t>
            </w:r>
          </w:p>
        </w:tc>
      </w:tr>
      <w:tr>
        <w:tc>
          <w:tcPr>
            <w:tcW w:type="dxa" w:w="16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Edge / CPU inference ★</w:t>
            </w:r>
          </w:p>
        </w:tc>
        <w:tc>
          <w:tcPr>
            <w:tcW w:type="dxa" w:w="18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E65100"/>
                <w:sz w:val="17"/>
                <w:szCs w:val="17"/>
              </w:rPr>
              <w:t xml:space="preserve">≤24B ★</w:t>
            </w:r>
          </w:p>
        </w:tc>
        <w:tc>
          <w:tcPr>
            <w:tcW w:type="dxa" w:w="21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E65100"/>
                <w:sz w:val="17"/>
                <w:szCs w:val="17"/>
              </w:rPr>
              <w:t xml:space="preserve">LFM2-24B-A2B ★</w:t>
            </w:r>
          </w:p>
        </w:tc>
        <w:tc>
          <w:tcPr>
            <w:tcW w:type="dxa" w:w="19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E65100"/>
                <w:sz w:val="17"/>
                <w:szCs w:val="17"/>
              </w:rPr>
              <w:t xml:space="preserve">Hybrid non-Transformer ★</w:t>
            </w:r>
          </w:p>
        </w:tc>
        <w:tc>
          <w:tcPr>
            <w:tcW w:type="dxa" w:w="18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Native BF16 / Q4</w:t>
            </w:r>
          </w:p>
        </w:tc>
      </w:tr>
    </w:tbl>
    <w:p>
      <w:pPr>
        <w:spacing w:after="100"/>
      </w:pPr>
      <w:r>
        <w:rPr>
          <w:rFonts w:ascii="Arial" w:cs="Arial" w:eastAsia="Arial" w:hAnsi="Arial"/>
          <w:i/>
          <w:iCs/>
          <w:color w:val="555555"/>
          <w:sz w:val="16"/>
          <w:szCs w:val="16"/>
        </w:rPr>
        <w:t xml:space="preserve">Sources: all existing citations retained. New: Qwen3 — arXiv:2505.09388; DeepSeek V3 — arXiv:2412.19437; LFM2 — huggingface.co/LiquidAI/LFM2-24B-A2B; GLM-5 — z.ai/blog/glm-5; MiniMax M2.5 — minimax.io/news/minimax-m25.</w:t>
      </w:r>
    </w:p>
    <w:p>
      <w:pPr>
        <w:spacing w:after="160"/>
      </w:pPr>
      <w:r>
        <w:t xml:space="preserve"/>
      </w:r>
    </w:p>
    <w:p>
      <w:pPr>
        <w:spacing w:before="280" w:after="120"/>
      </w:pPr>
      <w:r>
        <w:rPr>
          <w:rFonts w:ascii="Arial" w:cs="Arial" w:eastAsia="Arial" w:hAnsi="Arial"/>
          <w:b/>
          <w:bCs/>
          <w:color w:val="1F4E79"/>
          <w:sz w:val="28"/>
          <w:szCs w:val="28"/>
        </w:rPr>
        <w:t xml:space="preserve">5.4  Updated Diffusion Model Decision: Goal → Model</w:t>
      </w:r>
    </w:p>
    <w:p>
      <w:pPr>
        <w:spacing w:after="140"/>
      </w:pPr>
      <w:r>
        <w:rPr>
          <w:rFonts w:ascii="Arial" w:cs="Arial" w:eastAsia="Arial" w:hAnsi="Arial"/>
          <w:sz w:val="20"/>
          <w:szCs w:val="20"/>
        </w:rPr>
        <w:t xml:space="preserve">Table 5.4 adds Z-Image-Turbo, Qwen-Image-2.0, Qwen-Image-Edit-2511, Flux 1.1 Pro Ultra (4MP), Z-Image (bilingual), and GLM-Image (AR+diffusion hybrid). Qwen-Image-2.0's 7B unified architecture now appears as the recommended choice when both generation and editing are needed—its 65% parameter reduction over the prior 20B generation model while topping AI Arena ELO makes it the clearest example of architectural efficiency gains in the diffusion domain. Qwen-Image-Edit-2511's Lightning variant (4 steps, 42.55× speedup) is listed as the top precision editing choice.</w:t>
      </w:r>
    </w:p>
    <w:p>
      <w:pPr>
        <w:spacing w:after="160"/>
      </w:pPr>
      <w:r>
        <w:t xml:space="preserve"/>
      </w:r>
    </w:p>
    <w:p>
      <w:pPr>
        <w:spacing w:after="80"/>
      </w:pPr>
      <w:r>
        <w:rPr>
          <w:rFonts w:ascii="Arial" w:cs="Arial" w:eastAsia="Arial" w:hAnsi="Arial"/>
          <w:b/>
          <w:bCs/>
          <w:color w:val="FFFFFF"/>
          <w:sz w:val="16"/>
          <w:szCs w:val="16"/>
          <w:shd w:fill="C62828" w:val="clear"/>
        </w:rPr>
        <w:t xml:space="preserve"> ★ NEW DATA </w:t>
      </w:r>
      <w:r>
        <w:rPr>
          <w:rFonts w:ascii="Arial" w:cs="Arial" w:eastAsia="Arial" w:hAnsi="Arial"/>
          <w:i/>
          <w:iCs/>
          <w:color w:val="C62828"/>
          <w:sz w:val="16"/>
          <w:szCs w:val="16"/>
        </w:rPr>
        <w:t xml:space="preserve"> New rows: Qwen-Image-2.0, Qwen-Image-Edit-2511, Z-Image-Turbo, Flux 1.1 Pro Ultra, Z-Image bilingual, GLM-Image</w:t>
      </w:r>
    </w:p>
    <w:p>
      <w:pPr>
        <w:spacing w:after="80"/>
        <w:jc w:val="center"/>
      </w:pPr>
      <w:r>
        <w:rPr>
          <w:rFonts w:ascii="Arial" w:cs="Arial" w:eastAsia="Arial" w:hAnsi="Arial"/>
          <w:b/>
          <w:bCs/>
          <w:color w:val="1F4E79"/>
          <w:sz w:val="18"/>
          <w:szCs w:val="18"/>
        </w:rPr>
        <w:t xml:space="preserve">Table 5.4  Diffusion Model Goal → Recommended Model (★ = new 2025–2026 model)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800"/>
        <w:gridCol w:w="1700"/>
        <w:gridCol w:w="2100"/>
      </w:tblGrid>
      <w:tr>
        <w:tc>
          <w:tcPr>
            <w:tcW w:type="dxa" w:w="1700"/>
            <w:tcBorders>
              <w:top w:val="single" w:color="BBBBBB" w:sz="1"/>
              <w:left w:val="single" w:color="BBBBBB" w:sz="1"/>
              <w:bottom w:val="single" w:color="BBBBBB" w:sz="1"/>
              <w:right w:val="single" w:color="BBBBBB" w:sz="1"/>
            </w:tcBorders>
            <w:shd w:fill="1F4E79" w:val="clear"/>
            <w:tcMar>
              <w:top w:type="dxa" w:w="80"/>
              <w:left w:type="dxa" w:w="110"/>
              <w:bottom w:type="dxa" w:w="80"/>
              <w:right w:type="dxa" w:w="110"/>
            </w:tcMar>
          </w:tcPr>
          <w:p>
            <w:pPr>
              <w:jc w:val="center"/>
            </w:pPr>
            <w:r>
              <w:rPr>
                <w:rFonts w:ascii="Arial" w:cs="Arial" w:eastAsia="Arial" w:hAnsi="Arial"/>
                <w:b/>
                <w:bCs/>
                <w:color w:val="FFFFFF"/>
                <w:sz w:val="17"/>
                <w:szCs w:val="17"/>
              </w:rPr>
              <w:t xml:space="preserve">Goal</w:t>
            </w:r>
          </w:p>
        </w:tc>
        <w:tc>
          <w:tcPr>
            <w:tcW w:type="dxa" w:w="1900"/>
            <w:tcBorders>
              <w:top w:val="single" w:color="BBBBBB" w:sz="1"/>
              <w:left w:val="single" w:color="BBBBBB" w:sz="1"/>
              <w:bottom w:val="single" w:color="BBBBBB" w:sz="1"/>
              <w:right w:val="single" w:color="BBBBBB" w:sz="1"/>
            </w:tcBorders>
            <w:shd w:fill="1F4E79" w:val="clear"/>
            <w:tcMar>
              <w:top w:type="dxa" w:w="80"/>
              <w:left w:type="dxa" w:w="110"/>
              <w:bottom w:type="dxa" w:w="80"/>
              <w:right w:type="dxa" w:w="110"/>
            </w:tcMar>
          </w:tcPr>
          <w:p>
            <w:pPr>
              <w:jc w:val="center"/>
            </w:pPr>
            <w:r>
              <w:rPr>
                <w:rFonts w:ascii="Arial" w:cs="Arial" w:eastAsia="Arial" w:hAnsi="Arial"/>
                <w:b/>
                <w:bCs/>
                <w:color w:val="FFFFFF"/>
                <w:sz w:val="17"/>
                <w:szCs w:val="17"/>
              </w:rPr>
              <w:t xml:space="preserve">Recommended Model</w:t>
            </w:r>
          </w:p>
        </w:tc>
        <w:tc>
          <w:tcPr>
            <w:tcW w:type="dxa" w:w="1800"/>
            <w:tcBorders>
              <w:top w:val="single" w:color="BBBBBB" w:sz="1"/>
              <w:left w:val="single" w:color="BBBBBB" w:sz="1"/>
              <w:bottom w:val="single" w:color="BBBBBB" w:sz="1"/>
              <w:right w:val="single" w:color="BBBBBB" w:sz="1"/>
            </w:tcBorders>
            <w:shd w:fill="1F4E79" w:val="clear"/>
            <w:tcMar>
              <w:top w:type="dxa" w:w="80"/>
              <w:left w:type="dxa" w:w="110"/>
              <w:bottom w:type="dxa" w:w="80"/>
              <w:right w:type="dxa" w:w="110"/>
            </w:tcMar>
          </w:tcPr>
          <w:p>
            <w:pPr>
              <w:jc w:val="center"/>
            </w:pPr>
            <w:r>
              <w:rPr>
                <w:rFonts w:ascii="Arial" w:cs="Arial" w:eastAsia="Arial" w:hAnsi="Arial"/>
                <w:b/>
                <w:bCs/>
                <w:color w:val="FFFFFF"/>
                <w:sz w:val="17"/>
                <w:szCs w:val="17"/>
              </w:rPr>
              <w:t xml:space="preserve">Architecture</w:t>
            </w:r>
          </w:p>
        </w:tc>
        <w:tc>
          <w:tcPr>
            <w:tcW w:type="dxa" w:w="1700"/>
            <w:tcBorders>
              <w:top w:val="single" w:color="BBBBBB" w:sz="1"/>
              <w:left w:val="single" w:color="BBBBBB" w:sz="1"/>
              <w:bottom w:val="single" w:color="BBBBBB" w:sz="1"/>
              <w:right w:val="single" w:color="BBBBBB" w:sz="1"/>
            </w:tcBorders>
            <w:shd w:fill="1F4E79" w:val="clear"/>
            <w:tcMar>
              <w:top w:type="dxa" w:w="80"/>
              <w:left w:type="dxa" w:w="110"/>
              <w:bottom w:type="dxa" w:w="80"/>
              <w:right w:type="dxa" w:w="110"/>
            </w:tcMar>
          </w:tcPr>
          <w:p>
            <w:pPr>
              <w:jc w:val="center"/>
            </w:pPr>
            <w:r>
              <w:rPr>
                <w:rFonts w:ascii="Arial" w:cs="Arial" w:eastAsia="Arial" w:hAnsi="Arial"/>
                <w:b/>
                <w:bCs/>
                <w:color w:val="FFFFFF"/>
                <w:sz w:val="17"/>
                <w:szCs w:val="17"/>
              </w:rPr>
              <w:t xml:space="preserve">Energy (mWh)</w:t>
            </w:r>
          </w:p>
        </w:tc>
        <w:tc>
          <w:tcPr>
            <w:tcW w:type="dxa" w:w="2100"/>
            <w:tcBorders>
              <w:top w:val="single" w:color="BBBBBB" w:sz="1"/>
              <w:left w:val="single" w:color="BBBBBB" w:sz="1"/>
              <w:bottom w:val="single" w:color="BBBBBB" w:sz="1"/>
              <w:right w:val="single" w:color="BBBBBB" w:sz="1"/>
            </w:tcBorders>
            <w:shd w:fill="1F4E79" w:val="clear"/>
            <w:tcMar>
              <w:top w:type="dxa" w:w="80"/>
              <w:left w:type="dxa" w:w="110"/>
              <w:bottom w:type="dxa" w:w="80"/>
              <w:right w:type="dxa" w:w="110"/>
            </w:tcMar>
          </w:tcPr>
          <w:p>
            <w:pPr>
              <w:jc w:val="center"/>
            </w:pPr>
            <w:r>
              <w:rPr>
                <w:rFonts w:ascii="Arial" w:cs="Arial" w:eastAsia="Arial" w:hAnsi="Arial"/>
                <w:b/>
                <w:bCs/>
                <w:color w:val="FFFFFF"/>
                <w:sz w:val="17"/>
                <w:szCs w:val="17"/>
              </w:rPr>
              <w:t xml:space="preserve">Notes</w:t>
            </w:r>
          </w:p>
        </w:tc>
      </w:tr>
      <w:tr>
        <w:tc>
          <w:tcPr>
            <w:tcW w:type="dxa" w:w="17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bCs/>
                <w:color w:val="000000"/>
                <w:sz w:val="17"/>
                <w:szCs w:val="17"/>
              </w:rPr>
              <w:t xml:space="preserve">Lowest energy</w:t>
            </w:r>
          </w:p>
        </w:tc>
        <w:tc>
          <w:tcPr>
            <w:tcW w:type="dxa" w:w="19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Flux Schnell</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DiT, 4 steps</w:t>
            </w:r>
          </w:p>
        </w:tc>
        <w:tc>
          <w:tcPr>
            <w:tcW w:type="dxa" w:w="1700"/>
            <w:tcBorders>
              <w:top w:val="single" w:color="BBBBBB" w:sz="1"/>
              <w:left w:val="single" w:color="BBBBBB" w:sz="1"/>
              <w:bottom w:val="single" w:color="BBBBBB" w:sz="1"/>
              <w:right w:val="single" w:color="BBBBBB" w:sz="1"/>
            </w:tcBorders>
            <w:shd w:fill="C8E6C9" w:val="clear"/>
            <w:tcMar>
              <w:top w:type="dxa" w:w="80"/>
              <w:left w:type="dxa" w:w="110"/>
              <w:bottom w:type="dxa" w:w="80"/>
              <w:right w:type="dxa" w:w="110"/>
            </w:tcMar>
          </w:tcPr>
          <w:p>
            <w:pPr>
              <w:jc w:val="center"/>
            </w:pPr>
            <w:r>
              <w:rPr>
                <w:rFonts w:ascii="Arial" w:cs="Arial" w:eastAsia="Arial" w:hAnsi="Arial"/>
                <w:b/>
                <w:bCs/>
                <w:color w:val="1B5E20"/>
                <w:sz w:val="17"/>
                <w:szCs w:val="17"/>
              </w:rPr>
              <w:t xml:space="preserve">~0.85</w:t>
            </w:r>
          </w:p>
        </w:tc>
        <w:tc>
          <w:tcPr>
            <w:tcW w:type="dxa" w:w="21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5.45s/image RTX 4090; batch ideal</w:t>
            </w:r>
          </w:p>
        </w:tc>
      </w:tr>
      <w:tr>
        <w:tc>
          <w:tcPr>
            <w:tcW w:type="dxa" w:w="17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Open-source speed + quality ★</w:t>
            </w:r>
          </w:p>
        </w:tc>
        <w:tc>
          <w:tcPr>
            <w:tcW w:type="dxa" w:w="19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Z-Image-Turbo (6B) ★</w:t>
            </w:r>
          </w:p>
        </w:tc>
        <w:tc>
          <w:tcPr>
            <w:tcW w:type="dxa" w:w="18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E65100"/>
                <w:sz w:val="17"/>
                <w:szCs w:val="17"/>
              </w:rPr>
              <w:t xml:space="preserve">S3-DiT distilled ★</w:t>
            </w:r>
          </w:p>
        </w:tc>
        <w:tc>
          <w:tcPr>
            <w:tcW w:type="dxa" w:w="1700"/>
            <w:tcBorders>
              <w:top w:val="single" w:color="BBBBBB" w:sz="1"/>
              <w:left w:val="single" w:color="BBBBBB" w:sz="1"/>
              <w:bottom w:val="single" w:color="BBBBBB" w:sz="1"/>
              <w:right w:val="single" w:color="BBBBBB" w:sz="1"/>
            </w:tcBorders>
            <w:shd w:fill="C8E6C9" w:val="clear"/>
            <w:tcMar>
              <w:top w:type="dxa" w:w="80"/>
              <w:left w:type="dxa" w:w="110"/>
              <w:bottom w:type="dxa" w:w="80"/>
              <w:right w:type="dxa" w:w="110"/>
            </w:tcMar>
          </w:tcPr>
          <w:p>
            <w:pPr>
              <w:jc w:val="center"/>
            </w:pPr>
            <w:r>
              <w:rPr>
                <w:rFonts w:ascii="Arial" w:cs="Arial" w:eastAsia="Arial" w:hAnsi="Arial"/>
                <w:b/>
                <w:bCs/>
                <w:color w:val="1B5E20"/>
                <w:sz w:val="17"/>
                <w:szCs w:val="17"/>
              </w:rPr>
              <w:t xml:space="preserve">~0.55 est.</w:t>
            </w:r>
          </w:p>
        </w:tc>
        <w:tc>
          <w:tcPr>
            <w:tcW w:type="dxa" w:w="21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#1 open-source Artificial Analysis; 16GB VRAM; 8 steps; sub-second H800</w:t>
            </w:r>
          </w:p>
        </w:tc>
      </w:tr>
      <w:tr>
        <w:tc>
          <w:tcPr>
            <w:tcW w:type="dxa" w:w="1700"/>
            <w:tcBorders>
              <w:top w:val="single" w:color="BBBBBB" w:sz="1"/>
              <w:left w:val="single" w:color="BBBBBB" w:sz="1"/>
              <w:bottom w:val="single" w:color="BBBBBB" w:sz="1"/>
              <w:right w:val="single" w:color="BBBBBB" w:sz="1"/>
            </w:tcBorders>
            <w:shd w:fill="FFF8E1"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Unified gen+edit (2K) ★</w:t>
            </w:r>
          </w:p>
        </w:tc>
        <w:tc>
          <w:tcPr>
            <w:tcW w:type="dxa" w:w="19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Qwen-Image-2.0 (7B) ★</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E65100"/>
                <w:sz w:val="17"/>
                <w:szCs w:val="17"/>
              </w:rPr>
              <w:t xml:space="preserve">MMDiT (Qwen3-VL + DiT) ★</w:t>
            </w:r>
          </w:p>
        </w:tc>
        <w:tc>
          <w:tcPr>
            <w:tcW w:type="dxa" w:w="17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~0.9 est.</w:t>
            </w:r>
          </w:p>
        </w:tc>
        <w:tc>
          <w:tcPr>
            <w:tcW w:type="dxa" w:w="21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#1 AI Arena ELO gen+edit; native 2048×2048; 7B (65% smaller than v1); DPG-Bench 88.32 vs Flux.1-dev 83.84; bilingual EN/CN text</w:t>
            </w:r>
          </w:p>
        </w:tc>
      </w:tr>
      <w:tr>
        <w:tc>
          <w:tcPr>
            <w:tcW w:type="dxa" w:w="1700"/>
            <w:tcBorders>
              <w:top w:val="single" w:color="BBBBBB" w:sz="1"/>
              <w:left w:val="single" w:color="BBBBBB" w:sz="1"/>
              <w:bottom w:val="single" w:color="BBBBBB" w:sz="1"/>
              <w:right w:val="single" w:color="BBBBBB" w:sz="1"/>
            </w:tcBorders>
            <w:shd w:fill="FFF8E1"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Precision editing + consistency ★</w:t>
            </w:r>
          </w:p>
        </w:tc>
        <w:tc>
          <w:tcPr>
            <w:tcW w:type="dxa" w:w="19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Qwen-Image-Edit-2511 ★</w:t>
            </w:r>
          </w:p>
        </w:tc>
        <w:tc>
          <w:tcPr>
            <w:tcW w:type="dxa" w:w="18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E65100"/>
                <w:sz w:val="17"/>
                <w:szCs w:val="17"/>
              </w:rPr>
              <w:t xml:space="preserve">MMDiT + Qwen2.5-VL enc. ★</w:t>
            </w:r>
          </w:p>
        </w:tc>
        <w:tc>
          <w:tcPr>
            <w:tcW w:type="dxa" w:w="17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~2.8 / ~0.56 Lightning est.</w:t>
            </w:r>
          </w:p>
        </w:tc>
        <w:tc>
          <w:tcPr>
            <w:tcW w:type="dxa" w:w="21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Multi-image consistency; LightX2V Lightning: 4 steps, 42.55× speedup; GGUF CPU offload; Apache 2.0 open-weight</w:t>
            </w:r>
          </w:p>
        </w:tc>
      </w:tr>
      <w:tr>
        <w:tc>
          <w:tcPr>
            <w:tcW w:type="dxa" w:w="17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bCs/>
                <w:color w:val="000000"/>
                <w:sz w:val="17"/>
                <w:szCs w:val="17"/>
              </w:rPr>
              <w:t xml:space="preserve">Best FID / quality</w:t>
            </w:r>
          </w:p>
        </w:tc>
        <w:tc>
          <w:tcPr>
            <w:tcW w:type="dxa" w:w="19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Flash SD3</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Transformer, 8 steps</w:t>
            </w:r>
          </w:p>
        </w:tc>
        <w:tc>
          <w:tcPr>
            <w:tcW w:type="dxa" w:w="1700"/>
            <w:tcBorders>
              <w:top w:val="single" w:color="BBBBBB" w:sz="1"/>
              <w:left w:val="single" w:color="BBBBBB" w:sz="1"/>
              <w:bottom w:val="single" w:color="BBBBBB" w:sz="1"/>
              <w:right w:val="single" w:color="BBBBBB" w:sz="1"/>
            </w:tcBorders>
            <w:shd w:fill="C8E6C9" w:val="clear"/>
            <w:tcMar>
              <w:top w:type="dxa" w:w="80"/>
              <w:left w:type="dxa" w:w="110"/>
              <w:bottom w:type="dxa" w:w="80"/>
              <w:right w:type="dxa" w:w="110"/>
            </w:tcMar>
          </w:tcPr>
          <w:p>
            <w:pPr>
              <w:jc w:val="center"/>
            </w:pPr>
            <w:r>
              <w:rPr>
                <w:rFonts w:ascii="Arial" w:cs="Arial" w:eastAsia="Arial" w:hAnsi="Arial"/>
                <w:b/>
                <w:bCs/>
                <w:color w:val="1B5E20"/>
                <w:sz w:val="17"/>
                <w:szCs w:val="17"/>
              </w:rPr>
              <w:t xml:space="preserve">1.85</w:t>
            </w:r>
          </w:p>
        </w:tc>
        <w:tc>
          <w:tcPr>
            <w:tcW w:type="dxa" w:w="21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Best FID of 17 tested models</w:t>
            </w:r>
          </w:p>
        </w:tc>
      </w:tr>
      <w:tr>
        <w:tc>
          <w:tcPr>
            <w:tcW w:type="dxa" w:w="17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4MP ultra-high res ★</w:t>
            </w:r>
          </w:p>
        </w:tc>
        <w:tc>
          <w:tcPr>
            <w:tcW w:type="dxa" w:w="19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Flux 1.1 Pro Ultra ★</w:t>
            </w:r>
          </w:p>
        </w:tc>
        <w:tc>
          <w:tcPr>
            <w:tcW w:type="dxa" w:w="18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E65100"/>
                <w:sz w:val="17"/>
                <w:szCs w:val="17"/>
              </w:rPr>
              <w:t xml:space="preserve">DiT Transformer ★</w:t>
            </w:r>
          </w:p>
        </w:tc>
        <w:tc>
          <w:tcPr>
            <w:tcW w:type="dxa" w:w="17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~1.0 est.</w:t>
            </w:r>
          </w:p>
        </w:tc>
        <w:tc>
          <w:tcPr>
            <w:tcW w:type="dxa" w:w="21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#1 Elo Artificial Analysis; 2048×2048; 2.5× faster than comparable models</w:t>
            </w:r>
          </w:p>
        </w:tc>
      </w:tr>
      <w:tr>
        <w:tc>
          <w:tcPr>
            <w:tcW w:type="dxa" w:w="17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Bilingual / text-in-image ★</w:t>
            </w:r>
          </w:p>
        </w:tc>
        <w:tc>
          <w:tcPr>
            <w:tcW w:type="dxa" w:w="19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Z-Image (6B) ★</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E65100"/>
                <w:sz w:val="17"/>
                <w:szCs w:val="17"/>
              </w:rPr>
              <w:t xml:space="preserve">S3-DiT ★</w:t>
            </w:r>
          </w:p>
        </w:tc>
        <w:tc>
          <w:tcPr>
            <w:tcW w:type="dxa" w:w="17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~1.2 est.</w:t>
            </w:r>
          </w:p>
        </w:tc>
        <w:tc>
          <w:tcPr>
            <w:tcW w:type="dxa" w:w="21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EN/CN text rendering; unified text+image stream</w:t>
            </w:r>
          </w:p>
        </w:tc>
      </w:tr>
      <w:tr>
        <w:tc>
          <w:tcPr>
            <w:tcW w:type="dxa" w:w="17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AR + diffusion hybrid ★</w:t>
            </w:r>
          </w:p>
        </w:tc>
        <w:tc>
          <w:tcPr>
            <w:tcW w:type="dxa" w:w="19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GLM-Image (7B+9B) ★</w:t>
            </w:r>
          </w:p>
        </w:tc>
        <w:tc>
          <w:tcPr>
            <w:tcW w:type="dxa" w:w="18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E65100"/>
                <w:sz w:val="17"/>
                <w:szCs w:val="17"/>
              </w:rPr>
              <w:t xml:space="preserve">S3-DiT + AR ★</w:t>
            </w:r>
          </w:p>
        </w:tc>
        <w:tc>
          <w:tcPr>
            <w:tcW w:type="dxa" w:w="17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~1.8 est.</w:t>
            </w:r>
          </w:p>
        </w:tc>
        <w:tc>
          <w:tcPr>
            <w:tcW w:type="dxa" w:w="21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New paradigm; autoregressive control + diffusion quality</w:t>
            </w:r>
          </w:p>
        </w:tc>
      </w:tr>
      <w:tr>
        <w:tc>
          <w:tcPr>
            <w:tcW w:type="dxa" w:w="17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bCs/>
                <w:color w:val="000000"/>
                <w:sz w:val="17"/>
                <w:szCs w:val="17"/>
              </w:rPr>
              <w:t xml:space="preserve">Consumer GPU, limited VRAM</w:t>
            </w:r>
          </w:p>
        </w:tc>
        <w:tc>
          <w:tcPr>
            <w:tcW w:type="dxa" w:w="19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SDXL INT8 @ 512²</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U-Net</w:t>
            </w:r>
          </w:p>
        </w:tc>
        <w:tc>
          <w:tcPr>
            <w:tcW w:type="dxa" w:w="1700"/>
            <w:tcBorders>
              <w:top w:val="single" w:color="BBBBBB" w:sz="1"/>
              <w:left w:val="single" w:color="BBBBBB" w:sz="1"/>
              <w:bottom w:val="single" w:color="BBBBBB" w:sz="1"/>
              <w:right w:val="single" w:color="BBBBBB" w:sz="1"/>
            </w:tcBorders>
            <w:shd w:fill="FFF9C4"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2.14</w:t>
            </w:r>
          </w:p>
        </w:tc>
        <w:tc>
          <w:tcPr>
            <w:tcW w:type="dxa" w:w="21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INT8 saves 25.7% at 512²; revert to FP16 at 1024²</w:t>
            </w:r>
          </w:p>
        </w:tc>
      </w:tr>
      <w:tr>
        <w:tc>
          <w:tcPr>
            <w:tcW w:type="dxa" w:w="17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bCs/>
                <w:color w:val="000000"/>
                <w:sz w:val="17"/>
                <w:szCs w:val="17"/>
              </w:rPr>
              <w:t xml:space="preserve">Avoid (worst efficiency)</w:t>
            </w:r>
          </w:p>
        </w:tc>
        <w:tc>
          <w:tcPr>
            <w:tcW w:type="dxa" w:w="19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bCs/>
                <w:color w:val="B71C1C"/>
                <w:sz w:val="17"/>
                <w:szCs w:val="17"/>
              </w:rPr>
              <w:t xml:space="preserve">Lumina ❌</w:t>
            </w:r>
          </w:p>
        </w:tc>
        <w:tc>
          <w:tcPr>
            <w:tcW w:type="dxa" w:w="18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Transformer, 50 steps</w:t>
            </w:r>
          </w:p>
        </w:tc>
        <w:tc>
          <w:tcPr>
            <w:tcW w:type="dxa" w:w="1700"/>
            <w:tcBorders>
              <w:top w:val="single" w:color="BBBBBB" w:sz="1"/>
              <w:left w:val="single" w:color="BBBBBB" w:sz="1"/>
              <w:bottom w:val="single" w:color="BBBBBB" w:sz="1"/>
              <w:right w:val="single" w:color="BBBBBB" w:sz="1"/>
            </w:tcBorders>
            <w:shd w:fill="FFCDD2" w:val="clear"/>
            <w:tcMar>
              <w:top w:type="dxa" w:w="80"/>
              <w:left w:type="dxa" w:w="110"/>
              <w:bottom w:type="dxa" w:w="80"/>
              <w:right w:type="dxa" w:w="110"/>
            </w:tcMar>
          </w:tcPr>
          <w:p>
            <w:pPr>
              <w:jc w:val="center"/>
            </w:pPr>
            <w:r>
              <w:rPr>
                <w:rFonts w:ascii="Arial" w:cs="Arial" w:eastAsia="Arial" w:hAnsi="Arial"/>
                <w:b/>
                <w:bCs/>
                <w:color w:val="B71C1C"/>
                <w:sz w:val="17"/>
                <w:szCs w:val="17"/>
              </w:rPr>
              <w:t xml:space="preserve">4.75</w:t>
            </w:r>
          </w:p>
        </w:tc>
        <w:tc>
          <w:tcPr>
            <w:tcW w:type="dxa" w:w="21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Highest energy AND worst FID of all 17 models</w:t>
            </w:r>
          </w:p>
        </w:tc>
      </w:tr>
    </w:tbl>
    <w:p>
      <w:pPr>
        <w:spacing w:after="100"/>
      </w:pPr>
      <w:r>
        <w:rPr>
          <w:rFonts w:ascii="Arial" w:cs="Arial" w:eastAsia="Arial" w:hAnsi="Arial"/>
          <w:i/>
          <w:iCs/>
          <w:color w:val="555555"/>
          <w:sz w:val="16"/>
          <w:szCs w:val="16"/>
        </w:rPr>
        <w:t xml:space="preserve">Sources: Z-Image/Turbo — github.com/TongYiMAI/Z-Image + fal.ai/models/z-image/turbo; Qwen-Image-2.0 — qwen.ai/blog?id=qwen-image-2.0 + arXiv:2508.02324 (DPG-Bench 88.32, AI Arena #1 ELO); Qwen-Image-Edit-2511 — qwen.ai/blog?id=qwen-image-edit-2511 + huggingface.co/Qwen/Qwen-Image-Edit-2511 + huggingface.co/lightx2v/Qwen-Image-Edit-2511-Lightning (4-step, 42.55× speedup); Flux 1.1 Pro Ultra — bfl.ai; GLM-Image — z.ai/blog/glm-image; Artificial Analysis rankings — artificialanalysis.ai; existing rows: Bertazzini et al. (2025) arXiv:2506.17016v1.</w:t>
      </w:r>
    </w:p>
    <w:p>
      <w:pPr>
        <w:spacing w:after="160"/>
      </w:pPr>
      <w:r>
        <w:t xml:space="preserve"/>
      </w:r>
    </w:p>
    <w:p>
      <w:pPr>
        <w:spacing w:before="280" w:after="120"/>
      </w:pPr>
      <w:r>
        <w:rPr>
          <w:rFonts w:ascii="Arial" w:cs="Arial" w:eastAsia="Arial" w:hAnsi="Arial"/>
          <w:b/>
          <w:bCs/>
          <w:color w:val="1F4E79"/>
          <w:sz w:val="28"/>
          <w:szCs w:val="28"/>
        </w:rPr>
        <w:t xml:space="preserve">5.7  Updated Master Quick-Reference Card</w:t>
      </w:r>
    </w:p>
    <w:p>
      <w:pPr>
        <w:spacing w:after="140"/>
      </w:pPr>
      <w:r>
        <w:rPr>
          <w:rFonts w:ascii="Arial" w:cs="Arial" w:eastAsia="Arial" w:hAnsi="Arial"/>
          <w:sz w:val="20"/>
          <w:szCs w:val="20"/>
        </w:rPr>
        <w:t xml:space="preserve">Table 5.7 updates every row where new models improve on the prior recommendation, and adds a future/next-gen row for Blackwell B200/GB300 deployments. Z-Image-Turbo replaces Flux Schnell for enterprise lowest-energy and budget scenarios; GLM-5 and MiniMax M2.5 enter the max-sparsity / Green AI row; and DeepSeek V3 replaces DeepSeek-V3.2 as the enterprise efficiency reference.</w:t>
      </w:r>
    </w:p>
    <w:p>
      <w:pPr>
        <w:spacing w:after="160"/>
      </w:pPr>
      <w:r>
        <w:t xml:space="preserve"/>
      </w:r>
    </w:p>
    <w:p>
      <w:pPr>
        <w:spacing w:after="80"/>
      </w:pPr>
      <w:r>
        <w:rPr>
          <w:rFonts w:ascii="Arial" w:cs="Arial" w:eastAsia="Arial" w:hAnsi="Arial"/>
          <w:b/>
          <w:bCs/>
          <w:color w:val="FFFFFF"/>
          <w:sz w:val="16"/>
          <w:szCs w:val="16"/>
          <w:shd w:fill="C62828" w:val="clear"/>
        </w:rPr>
        <w:t xml:space="preserve"> ★ NEW DATA </w:t>
      </w:r>
      <w:r>
        <w:rPr>
          <w:rFonts w:ascii="Arial" w:cs="Arial" w:eastAsia="Arial" w:hAnsi="Arial"/>
          <w:i/>
          <w:iCs/>
          <w:color w:val="C62828"/>
          <w:sz w:val="16"/>
          <w:szCs w:val="16"/>
        </w:rPr>
        <w:t xml:space="preserve"> 7 rows updated; 1 new row added (future/next-gen Blackwell)</w:t>
      </w:r>
    </w:p>
    <w:p>
      <w:pPr>
        <w:spacing w:after="80"/>
        <w:jc w:val="center"/>
      </w:pPr>
      <w:r>
        <w:rPr>
          <w:rFonts w:ascii="Arial" w:cs="Arial" w:eastAsia="Arial" w:hAnsi="Arial"/>
          <w:b/>
          <w:bCs/>
          <w:color w:val="1F4E79"/>
          <w:sz w:val="18"/>
          <w:szCs w:val="18"/>
        </w:rPr>
        <w:t xml:space="preserve">Table 5.7  Master Quick-Reference: Constraint / Goal → Full Stack Recommendation (★ = updated 2026)</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900"/>
        <w:gridCol w:w="1700"/>
      </w:tblGrid>
      <w:tr>
        <w:tc>
          <w:tcPr>
            <w:tcW w:type="dxa" w:w="2000"/>
            <w:tcBorders>
              <w:top w:val="single" w:color="BBBBBB" w:sz="1"/>
              <w:left w:val="single" w:color="BBBBBB" w:sz="1"/>
              <w:bottom w:val="single" w:color="BBBBBB" w:sz="1"/>
              <w:right w:val="single" w:color="BBBBBB" w:sz="1"/>
            </w:tcBorders>
            <w:shd w:fill="1F4E79" w:val="clear"/>
            <w:tcMar>
              <w:top w:type="dxa" w:w="80"/>
              <w:left w:type="dxa" w:w="110"/>
              <w:bottom w:type="dxa" w:w="80"/>
              <w:right w:type="dxa" w:w="110"/>
            </w:tcMar>
          </w:tcPr>
          <w:p>
            <w:pPr>
              <w:jc w:val="center"/>
            </w:pPr>
            <w:r>
              <w:rPr>
                <w:rFonts w:ascii="Arial" w:cs="Arial" w:eastAsia="Arial" w:hAnsi="Arial"/>
                <w:b/>
                <w:bCs/>
                <w:color w:val="FFFFFF"/>
                <w:sz w:val="17"/>
                <w:szCs w:val="17"/>
              </w:rPr>
              <w:t xml:space="preserve">Constraint / Goal</w:t>
            </w:r>
          </w:p>
        </w:tc>
        <w:tc>
          <w:tcPr>
            <w:tcW w:type="dxa" w:w="1800"/>
            <w:tcBorders>
              <w:top w:val="single" w:color="BBBBBB" w:sz="1"/>
              <w:left w:val="single" w:color="BBBBBB" w:sz="1"/>
              <w:bottom w:val="single" w:color="BBBBBB" w:sz="1"/>
              <w:right w:val="single" w:color="BBBBBB" w:sz="1"/>
            </w:tcBorders>
            <w:shd w:fill="1F4E79" w:val="clear"/>
            <w:tcMar>
              <w:top w:type="dxa" w:w="80"/>
              <w:left w:type="dxa" w:w="110"/>
              <w:bottom w:type="dxa" w:w="80"/>
              <w:right w:type="dxa" w:w="110"/>
            </w:tcMar>
          </w:tcPr>
          <w:p>
            <w:pPr>
              <w:jc w:val="center"/>
            </w:pPr>
            <w:r>
              <w:rPr>
                <w:rFonts w:ascii="Arial" w:cs="Arial" w:eastAsia="Arial" w:hAnsi="Arial"/>
                <w:b/>
                <w:bCs/>
                <w:color w:val="FFFFFF"/>
                <w:sz w:val="17"/>
                <w:szCs w:val="17"/>
              </w:rPr>
              <w:t xml:space="preserve">LLM Choice</w:t>
            </w:r>
          </w:p>
        </w:tc>
        <w:tc>
          <w:tcPr>
            <w:tcW w:type="dxa" w:w="1800"/>
            <w:tcBorders>
              <w:top w:val="single" w:color="BBBBBB" w:sz="1"/>
              <w:left w:val="single" w:color="BBBBBB" w:sz="1"/>
              <w:bottom w:val="single" w:color="BBBBBB" w:sz="1"/>
              <w:right w:val="single" w:color="BBBBBB" w:sz="1"/>
            </w:tcBorders>
            <w:shd w:fill="1F4E79" w:val="clear"/>
            <w:tcMar>
              <w:top w:type="dxa" w:w="80"/>
              <w:left w:type="dxa" w:w="110"/>
              <w:bottom w:type="dxa" w:w="80"/>
              <w:right w:type="dxa" w:w="110"/>
            </w:tcMar>
          </w:tcPr>
          <w:p>
            <w:pPr>
              <w:jc w:val="center"/>
            </w:pPr>
            <w:r>
              <w:rPr>
                <w:rFonts w:ascii="Arial" w:cs="Arial" w:eastAsia="Arial" w:hAnsi="Arial"/>
                <w:b/>
                <w:bCs/>
                <w:color w:val="FFFFFF"/>
                <w:sz w:val="17"/>
                <w:szCs w:val="17"/>
              </w:rPr>
              <w:t xml:space="preserve">Image Gen Choice</w:t>
            </w:r>
          </w:p>
        </w:tc>
        <w:tc>
          <w:tcPr>
            <w:tcW w:type="dxa" w:w="1900"/>
            <w:tcBorders>
              <w:top w:val="single" w:color="BBBBBB" w:sz="1"/>
              <w:left w:val="single" w:color="BBBBBB" w:sz="1"/>
              <w:bottom w:val="single" w:color="BBBBBB" w:sz="1"/>
              <w:right w:val="single" w:color="BBBBBB" w:sz="1"/>
            </w:tcBorders>
            <w:shd w:fill="1F4E79" w:val="clear"/>
            <w:tcMar>
              <w:top w:type="dxa" w:w="80"/>
              <w:left w:type="dxa" w:w="110"/>
              <w:bottom w:type="dxa" w:w="80"/>
              <w:right w:type="dxa" w:w="110"/>
            </w:tcMar>
          </w:tcPr>
          <w:p>
            <w:pPr>
              <w:jc w:val="center"/>
            </w:pPr>
            <w:r>
              <w:rPr>
                <w:rFonts w:ascii="Arial" w:cs="Arial" w:eastAsia="Arial" w:hAnsi="Arial"/>
                <w:b/>
                <w:bCs/>
                <w:color w:val="FFFFFF"/>
                <w:sz w:val="17"/>
                <w:szCs w:val="17"/>
              </w:rPr>
              <w:t xml:space="preserve">Quantization</w:t>
            </w:r>
          </w:p>
        </w:tc>
        <w:tc>
          <w:tcPr>
            <w:tcW w:type="dxa" w:w="1700"/>
            <w:tcBorders>
              <w:top w:val="single" w:color="BBBBBB" w:sz="1"/>
              <w:left w:val="single" w:color="BBBBBB" w:sz="1"/>
              <w:bottom w:val="single" w:color="BBBBBB" w:sz="1"/>
              <w:right w:val="single" w:color="BBBBBB" w:sz="1"/>
            </w:tcBorders>
            <w:shd w:fill="1F4E79" w:val="clear"/>
            <w:tcMar>
              <w:top w:type="dxa" w:w="80"/>
              <w:left w:type="dxa" w:w="110"/>
              <w:bottom w:type="dxa" w:w="80"/>
              <w:right w:type="dxa" w:w="110"/>
            </w:tcMar>
          </w:tcPr>
          <w:p>
            <w:pPr>
              <w:jc w:val="center"/>
            </w:pPr>
            <w:r>
              <w:rPr>
                <w:rFonts w:ascii="Arial" w:cs="Arial" w:eastAsia="Arial" w:hAnsi="Arial"/>
                <w:b/>
                <w:bCs/>
                <w:color w:val="FFFFFF"/>
                <w:sz w:val="17"/>
                <w:szCs w:val="17"/>
              </w:rPr>
              <w:t xml:space="preserve">Hardware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bCs/>
                <w:color w:val="000000"/>
                <w:sz w:val="17"/>
                <w:szCs w:val="17"/>
              </w:rPr>
              <w:t xml:space="preserve">Lowest energy, consumer GPU</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GLM-4.5-Flash INT8</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Flux Schnell FP16</w:t>
            </w:r>
          </w:p>
        </w:tc>
        <w:tc>
          <w:tcPr>
            <w:tcW w:type="dxa" w:w="1900"/>
            <w:tcBorders>
              <w:top w:val="single" w:color="BBBBBB" w:sz="1"/>
              <w:left w:val="single" w:color="BBBBBB" w:sz="1"/>
              <w:bottom w:val="single" w:color="BBBBBB" w:sz="1"/>
              <w:right w:val="single" w:color="BBBBBB" w:sz="1"/>
            </w:tcBorders>
            <w:shd w:fill="C8E6C9" w:val="clear"/>
            <w:tcMar>
              <w:top w:type="dxa" w:w="80"/>
              <w:left w:type="dxa" w:w="110"/>
              <w:bottom w:type="dxa" w:w="80"/>
              <w:right w:type="dxa" w:w="110"/>
            </w:tcMar>
          </w:tcPr>
          <w:p>
            <w:pPr>
              <w:jc w:val="center"/>
            </w:pPr>
            <w:r>
              <w:rPr>
                <w:rFonts w:ascii="Arial" w:cs="Arial" w:eastAsia="Arial" w:hAnsi="Arial"/>
                <w:b/>
                <w:bCs/>
                <w:color w:val="000000"/>
                <w:sz w:val="17"/>
                <w:szCs w:val="17"/>
              </w:rPr>
              <w:t xml:space="preserve">INT8 / GGUF Q8</w:t>
            </w:r>
          </w:p>
        </w:tc>
        <w:tc>
          <w:tcPr>
            <w:tcW w:type="dxa" w:w="17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RTX 4090</w:t>
            </w:r>
          </w:p>
        </w:tc>
      </w:tr>
      <w:tr>
        <w:tc>
          <w:tcPr>
            <w:tcW w:type="dxa" w:w="20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bCs/>
                <w:color w:val="000000"/>
                <w:sz w:val="17"/>
                <w:szCs w:val="17"/>
              </w:rPr>
              <w:t xml:space="preserve">Best quality, consumer GPU</w:t>
            </w:r>
          </w:p>
        </w:tc>
        <w:tc>
          <w:tcPr>
            <w:tcW w:type="dxa" w:w="18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Qwen3-30B-A3B ★</w:t>
            </w:r>
          </w:p>
        </w:tc>
        <w:tc>
          <w:tcPr>
            <w:tcW w:type="dxa" w:w="18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Qwen-Image-2.0 ★</w:t>
            </w:r>
          </w:p>
        </w:tc>
        <w:tc>
          <w:tcPr>
            <w:tcW w:type="dxa" w:w="1900"/>
            <w:tcBorders>
              <w:top w:val="single" w:color="BBBBBB" w:sz="1"/>
              <w:left w:val="single" w:color="BBBBBB" w:sz="1"/>
              <w:bottom w:val="single" w:color="BBBBBB" w:sz="1"/>
              <w:right w:val="single" w:color="BBBBBB" w:sz="1"/>
            </w:tcBorders>
            <w:shd w:fill="C8E6C9" w:val="clear"/>
            <w:tcMar>
              <w:top w:type="dxa" w:w="80"/>
              <w:left w:type="dxa" w:w="110"/>
              <w:bottom w:type="dxa" w:w="80"/>
              <w:right w:type="dxa" w:w="110"/>
            </w:tcMar>
          </w:tcPr>
          <w:p>
            <w:pPr>
              <w:jc w:val="center"/>
            </w:pPr>
            <w:r>
              <w:rPr>
                <w:rFonts w:ascii="Arial" w:cs="Arial" w:eastAsia="Arial" w:hAnsi="Arial"/>
                <w:b/>
                <w:bCs/>
                <w:color w:val="000000"/>
                <w:sz w:val="17"/>
                <w:szCs w:val="17"/>
              </w:rPr>
              <w:t xml:space="preserve">GGUF Q4 / FP8</w:t>
            </w:r>
          </w:p>
        </w:tc>
        <w:tc>
          <w:tcPr>
            <w:tcW w:type="dxa" w:w="17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RTX 4090</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bCs/>
                <w:color w:val="000000"/>
                <w:sz w:val="17"/>
                <w:szCs w:val="17"/>
              </w:rPr>
              <w:t xml:space="preserve">Lowest energy, enterprise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DeepSeek V3 FP8 ★</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Z-Image-Turbo ★</w:t>
            </w:r>
          </w:p>
        </w:tc>
        <w:tc>
          <w:tcPr>
            <w:tcW w:type="dxa" w:w="1900"/>
            <w:tcBorders>
              <w:top w:val="single" w:color="BBBBBB" w:sz="1"/>
              <w:left w:val="single" w:color="BBBBBB" w:sz="1"/>
              <w:bottom w:val="single" w:color="BBBBBB" w:sz="1"/>
              <w:right w:val="single" w:color="BBBBBB" w:sz="1"/>
            </w:tcBorders>
            <w:shd w:fill="C8E6C9" w:val="clear"/>
            <w:tcMar>
              <w:top w:type="dxa" w:w="80"/>
              <w:left w:type="dxa" w:w="110"/>
              <w:bottom w:type="dxa" w:w="80"/>
              <w:right w:type="dxa" w:w="110"/>
            </w:tcMar>
          </w:tcPr>
          <w:p>
            <w:pPr>
              <w:jc w:val="center"/>
            </w:pPr>
            <w:r>
              <w:rPr>
                <w:rFonts w:ascii="Arial" w:cs="Arial" w:eastAsia="Arial" w:hAnsi="Arial"/>
                <w:b/>
                <w:bCs/>
                <w:color w:val="000000"/>
                <w:sz w:val="17"/>
                <w:szCs w:val="17"/>
              </w:rPr>
              <w:t xml:space="preserve">FP8 (H100)</w:t>
            </w:r>
          </w:p>
        </w:tc>
        <w:tc>
          <w:tcPr>
            <w:tcW w:type="dxa" w:w="17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H100 80GB</w:t>
            </w:r>
          </w:p>
        </w:tc>
      </w:tr>
      <w:tr>
        <w:tc>
          <w:tcPr>
            <w:tcW w:type="dxa" w:w="20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bCs/>
                <w:color w:val="000000"/>
                <w:sz w:val="17"/>
                <w:szCs w:val="17"/>
              </w:rPr>
              <w:t xml:space="preserve">Best quality, enterprise</w:t>
            </w:r>
          </w:p>
        </w:tc>
        <w:tc>
          <w:tcPr>
            <w:tcW w:type="dxa" w:w="18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GLM-5 / Qwen3-235B ★</w:t>
            </w:r>
          </w:p>
        </w:tc>
        <w:tc>
          <w:tcPr>
            <w:tcW w:type="dxa" w:w="18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Flux 1.1 Pro Ultra ★</w:t>
            </w:r>
          </w:p>
        </w:tc>
        <w:tc>
          <w:tcPr>
            <w:tcW w:type="dxa" w:w="1900"/>
            <w:tcBorders>
              <w:top w:val="single" w:color="BBBBBB" w:sz="1"/>
              <w:left w:val="single" w:color="BBBBBB" w:sz="1"/>
              <w:bottom w:val="single" w:color="BBBBBB" w:sz="1"/>
              <w:right w:val="single" w:color="BBBBBB" w:sz="1"/>
            </w:tcBorders>
            <w:shd w:fill="C8E6C9" w:val="clear"/>
            <w:tcMar>
              <w:top w:type="dxa" w:w="80"/>
              <w:left w:type="dxa" w:w="110"/>
              <w:bottom w:type="dxa" w:w="80"/>
              <w:right w:type="dxa" w:w="110"/>
            </w:tcMar>
          </w:tcPr>
          <w:p>
            <w:pPr>
              <w:jc w:val="center"/>
            </w:pPr>
            <w:r>
              <w:rPr>
                <w:rFonts w:ascii="Arial" w:cs="Arial" w:eastAsia="Arial" w:hAnsi="Arial"/>
                <w:b/>
                <w:bCs/>
                <w:color w:val="000000"/>
                <w:sz w:val="17"/>
                <w:szCs w:val="17"/>
              </w:rPr>
              <w:t xml:space="preserve">FP8 (H100)</w:t>
            </w:r>
          </w:p>
        </w:tc>
        <w:tc>
          <w:tcPr>
            <w:tcW w:type="dxa" w:w="17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H100 80GB</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bCs/>
                <w:color w:val="000000"/>
                <w:sz w:val="17"/>
                <w:szCs w:val="17"/>
              </w:rPr>
              <w:t xml:space="preserve">Deep reasoning</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DeepSeek R1 / V3 ★</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N/A</w:t>
            </w:r>
          </w:p>
        </w:tc>
        <w:tc>
          <w:tcPr>
            <w:tcW w:type="dxa" w:w="1900"/>
            <w:tcBorders>
              <w:top w:val="single" w:color="BBBBBB" w:sz="1"/>
              <w:left w:val="single" w:color="BBBBBB" w:sz="1"/>
              <w:bottom w:val="single" w:color="BBBBBB" w:sz="1"/>
              <w:right w:val="single" w:color="BBBBBB" w:sz="1"/>
            </w:tcBorders>
            <w:shd w:fill="FFF9C4" w:val="clear"/>
            <w:tcMar>
              <w:top w:type="dxa" w:w="80"/>
              <w:left w:type="dxa" w:w="110"/>
              <w:bottom w:type="dxa" w:w="80"/>
              <w:right w:type="dxa" w:w="110"/>
            </w:tcMar>
          </w:tcPr>
          <w:p>
            <w:pPr>
              <w:jc w:val="center"/>
            </w:pPr>
            <w:r>
              <w:rPr>
                <w:rFonts w:ascii="Arial" w:cs="Arial" w:eastAsia="Arial" w:hAnsi="Arial"/>
                <w:b/>
                <w:bCs/>
                <w:color w:val="000000"/>
                <w:sz w:val="17"/>
                <w:szCs w:val="17"/>
              </w:rPr>
              <w:t xml:space="preserve">FP8 only</w:t>
            </w:r>
          </w:p>
        </w:tc>
        <w:tc>
          <w:tcPr>
            <w:tcW w:type="dxa" w:w="17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H100 ×8 / B200</w:t>
            </w:r>
          </w:p>
        </w:tc>
      </w:tr>
      <w:tr>
        <w:tc>
          <w:tcPr>
            <w:tcW w:type="dxa" w:w="20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bCs/>
                <w:color w:val="000000"/>
                <w:sz w:val="17"/>
                <w:szCs w:val="17"/>
              </w:rPr>
              <w:t xml:space="preserve">Budget (&lt;16 GB VRAM)</w:t>
            </w:r>
          </w:p>
        </w:tc>
        <w:tc>
          <w:tcPr>
            <w:tcW w:type="dxa" w:w="18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Qwen2.5-7B GGUF Q8</w:t>
            </w:r>
          </w:p>
        </w:tc>
        <w:tc>
          <w:tcPr>
            <w:tcW w:type="dxa" w:w="18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Z-Image-Turbo ★</w:t>
            </w:r>
          </w:p>
        </w:tc>
        <w:tc>
          <w:tcPr>
            <w:tcW w:type="dxa" w:w="1900"/>
            <w:tcBorders>
              <w:top w:val="single" w:color="BBBBBB" w:sz="1"/>
              <w:left w:val="single" w:color="BBBBBB" w:sz="1"/>
              <w:bottom w:val="single" w:color="BBBBBB" w:sz="1"/>
              <w:right w:val="single" w:color="BBBBBB" w:sz="1"/>
            </w:tcBorders>
            <w:shd w:fill="C8E6C9" w:val="clear"/>
            <w:tcMar>
              <w:top w:type="dxa" w:w="80"/>
              <w:left w:type="dxa" w:w="110"/>
              <w:bottom w:type="dxa" w:w="80"/>
              <w:right w:type="dxa" w:w="110"/>
            </w:tcMar>
          </w:tcPr>
          <w:p>
            <w:pPr>
              <w:jc w:val="center"/>
            </w:pPr>
            <w:r>
              <w:rPr>
                <w:rFonts w:ascii="Arial" w:cs="Arial" w:eastAsia="Arial" w:hAnsi="Arial"/>
                <w:b/>
                <w:bCs/>
                <w:color w:val="000000"/>
                <w:sz w:val="17"/>
                <w:szCs w:val="17"/>
              </w:rPr>
              <w:t xml:space="preserve">GGUF Q8 / INT8</w:t>
            </w:r>
          </w:p>
        </w:tc>
        <w:tc>
          <w:tcPr>
            <w:tcW w:type="dxa" w:w="17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RTX 4070 / 3090</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bCs/>
                <w:color w:val="000000"/>
                <w:sz w:val="17"/>
                <w:szCs w:val="17"/>
              </w:rPr>
              <w:t xml:space="preserve">Greenest per query</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MiniMax M2.5 / GLM-5 ★</w:t>
            </w:r>
          </w:p>
        </w:tc>
        <w:tc>
          <w:tcPr>
            <w:tcW w:type="dxa" w:w="18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Flux Schnell / Z-Image-Turbo ★</w:t>
            </w:r>
          </w:p>
        </w:tc>
        <w:tc>
          <w:tcPr>
            <w:tcW w:type="dxa" w:w="1900"/>
            <w:tcBorders>
              <w:top w:val="single" w:color="BBBBBB" w:sz="1"/>
              <w:left w:val="single" w:color="BBBBBB" w:sz="1"/>
              <w:bottom w:val="single" w:color="BBBBBB" w:sz="1"/>
              <w:right w:val="single" w:color="BBBBBB" w:sz="1"/>
            </w:tcBorders>
            <w:shd w:fill="C8E6C9" w:val="clear"/>
            <w:tcMar>
              <w:top w:type="dxa" w:w="80"/>
              <w:left w:type="dxa" w:w="110"/>
              <w:bottom w:type="dxa" w:w="80"/>
              <w:right w:type="dxa" w:w="110"/>
            </w:tcMar>
          </w:tcPr>
          <w:p>
            <w:pPr>
              <w:jc w:val="center"/>
            </w:pPr>
            <w:r>
              <w:rPr>
                <w:rFonts w:ascii="Arial" w:cs="Arial" w:eastAsia="Arial" w:hAnsi="Arial"/>
                <w:b/>
                <w:bCs/>
                <w:color w:val="000000"/>
                <w:sz w:val="17"/>
                <w:szCs w:val="17"/>
              </w:rPr>
              <w:t xml:space="preserve">INT8 + DVFS</w:t>
            </w:r>
          </w:p>
        </w:tc>
        <w:tc>
          <w:tcPr>
            <w:tcW w:type="dxa" w:w="1700"/>
            <w:tcBorders>
              <w:top w:val="single" w:color="BBBBBB" w:sz="1"/>
              <w:left w:val="single" w:color="BBBBBB" w:sz="1"/>
              <w:bottom w:val="single" w:color="BBBBBB" w:sz="1"/>
              <w:right w:val="single" w:color="BBBBBB" w:sz="1"/>
            </w:tcBorders>
            <w:shd w:fill="FFFFFF" w:val="clear"/>
            <w:tcMar>
              <w:top w:type="dxa" w:w="80"/>
              <w:left w:type="dxa" w:w="110"/>
              <w:bottom w:type="dxa" w:w="80"/>
              <w:right w:type="dxa" w:w="110"/>
            </w:tcMar>
          </w:tcPr>
          <w:p>
            <w:pPr>
              <w:jc w:val="center"/>
            </w:pPr>
            <w:r>
              <w:rPr>
                <w:rFonts w:ascii="Arial" w:cs="Arial" w:eastAsia="Arial" w:hAnsi="Arial"/>
                <w:b w:val="false"/>
                <w:bCs w:val="false"/>
                <w:color w:val="000000"/>
                <w:sz w:val="17"/>
                <w:szCs w:val="17"/>
              </w:rPr>
              <w:t xml:space="preserve">RTX 4090 / H100</w:t>
            </w:r>
          </w:p>
        </w:tc>
      </w:tr>
      <w:tr>
        <w:tc>
          <w:tcPr>
            <w:tcW w:type="dxa" w:w="20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Future / next-gen hardware ★</w:t>
            </w:r>
          </w:p>
        </w:tc>
        <w:tc>
          <w:tcPr>
            <w:tcW w:type="dxa" w:w="18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GLM-5 FP4 ★</w:t>
            </w:r>
          </w:p>
        </w:tc>
        <w:tc>
          <w:tcPr>
            <w:tcW w:type="dxa" w:w="18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Flux 1.1 Pro Ultra FP4 ★</w:t>
            </w:r>
          </w:p>
        </w:tc>
        <w:tc>
          <w:tcPr>
            <w:tcW w:type="dxa" w:w="1900"/>
            <w:tcBorders>
              <w:top w:val="single" w:color="BBBBBB" w:sz="1"/>
              <w:left w:val="single" w:color="BBBBBB" w:sz="1"/>
              <w:bottom w:val="single" w:color="BBBBBB" w:sz="1"/>
              <w:right w:val="single" w:color="BBBBBB" w:sz="1"/>
            </w:tcBorders>
            <w:shd w:fill="EDE7F6" w:val="clear"/>
            <w:tcMar>
              <w:top w:type="dxa" w:w="80"/>
              <w:left w:type="dxa" w:w="110"/>
              <w:bottom w:type="dxa" w:w="80"/>
              <w:right w:type="dxa" w:w="110"/>
            </w:tcMar>
          </w:tcPr>
          <w:p>
            <w:pPr>
              <w:jc w:val="center"/>
            </w:pPr>
            <w:r>
              <w:rPr>
                <w:rFonts w:ascii="Arial" w:cs="Arial" w:eastAsia="Arial" w:hAnsi="Arial"/>
                <w:b/>
                <w:bCs/>
                <w:color w:val="000000"/>
                <w:sz w:val="17"/>
                <w:szCs w:val="17"/>
              </w:rPr>
              <w:t xml:space="preserve">FP4 (Blackwell)</w:t>
            </w:r>
          </w:p>
        </w:tc>
        <w:tc>
          <w:tcPr>
            <w:tcW w:type="dxa" w:w="1700"/>
            <w:tcBorders>
              <w:top w:val="single" w:color="BBBBBB" w:sz="1"/>
              <w:left w:val="single" w:color="BBBBBB" w:sz="1"/>
              <w:bottom w:val="single" w:color="BBBBBB" w:sz="1"/>
              <w:right w:val="single" w:color="BBBBBB" w:sz="1"/>
            </w:tcBorders>
            <w:shd w:fill="EEF4FB" w:val="clear"/>
            <w:tcMar>
              <w:top w:type="dxa" w:w="80"/>
              <w:left w:type="dxa" w:w="110"/>
              <w:bottom w:type="dxa" w:w="80"/>
              <w:right w:type="dxa" w:w="110"/>
            </w:tcMar>
          </w:tcPr>
          <w:p>
            <w:pPr>
              <w:jc w:val="center"/>
            </w:pPr>
            <w:r>
              <w:rPr>
                <w:rFonts w:ascii="Arial" w:cs="Arial" w:eastAsia="Arial" w:hAnsi="Arial"/>
                <w:b/>
                <w:bCs/>
                <w:color w:val="E65100"/>
                <w:sz w:val="17"/>
                <w:szCs w:val="17"/>
              </w:rPr>
              <w:t xml:space="preserve">B200 / GB300 ★</w:t>
            </w:r>
          </w:p>
        </w:tc>
      </w:tr>
    </w:tbl>
    <w:p>
      <w:pPr>
        <w:spacing w:after="100"/>
      </w:pPr>
      <w:r>
        <w:rPr>
          <w:rFonts w:ascii="Arial" w:cs="Arial" w:eastAsia="Arial" w:hAnsi="Arial"/>
          <w:i/>
          <w:iCs/>
          <w:color w:val="555555"/>
          <w:sz w:val="16"/>
          <w:szCs w:val="16"/>
        </w:rPr>
        <w:t xml:space="preserve">All recommendations derived from Tables 4.1–4.6, 5.1–5.6 and Rules 1–7. ★ rows use est.* energy values—validate before production.</w:t>
      </w:r>
    </w:p>
    <w:p>
      <w:pPr>
        <w:spacing w:after="160"/>
      </w:pPr>
      <w:r>
        <w:t xml:space="preserve"/>
      </w:r>
    </w:p>
    <w:p>
      <w:pPr>
        <w:spacing w:before="280" w:after="120"/>
      </w:pPr>
      <w:r>
        <w:rPr>
          <w:rFonts w:ascii="Arial" w:cs="Arial" w:eastAsia="Arial" w:hAnsi="Arial"/>
          <w:b/>
          <w:bCs/>
          <w:color w:val="1F4E79"/>
          <w:sz w:val="28"/>
          <w:szCs w:val="28"/>
        </w:rPr>
        <w:t xml:space="preserve">5.8  Updated Deployment Rules (Rules 1–7 + New Rule 8)</w:t>
      </w:r>
    </w:p>
    <w:p>
      <w:pPr>
        <w:spacing w:after="1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BBBB" w:sz="1"/>
              <w:left w:val="single" w:color="BBBBBB" w:sz="1"/>
              <w:bottom w:val="single" w:color="BBBBBB" w:sz="1"/>
              <w:right w:val="single" w:color="BBBBBB" w:sz="1"/>
            </w:tcBorders>
            <w:shd w:fill="E8F5E9" w:val="clear"/>
            <w:tcMar>
              <w:top w:type="dxa" w:w="120"/>
              <w:left w:type="dxa" w:w="200"/>
              <w:bottom w:type="dxa" w:w="120"/>
              <w:right w:type="dxa" w:w="200"/>
            </w:tcMar>
          </w:tcPr>
          <w:p>
            <w:pPr>
              <w:spacing w:after="60"/>
            </w:pPr>
            <w:r>
              <w:rPr>
                <w:rFonts w:ascii="Arial" w:cs="Arial" w:eastAsia="Arial" w:hAnsi="Arial"/>
                <w:b/>
                <w:bCs/>
                <w:color w:val="1B5E20"/>
                <w:sz w:val="20"/>
                <w:szCs w:val="20"/>
              </w:rPr>
              <w:t xml:space="preserve">Rule 1 — MoE First Above 30B (Reinforced)</w:t>
            </w:r>
          </w:p>
          <w:p>
            <w:r>
              <w:rPr>
                <w:rFonts w:ascii="Arial" w:cs="Arial" w:eastAsia="Arial" w:hAnsi="Arial"/>
                <w:color w:val="222222"/>
                <w:sz w:val="18"/>
                <w:szCs w:val="18"/>
              </w:rPr>
              <w:t xml:space="preserve">If your task requires &gt;30B effective parameters, always choose sparse MoE. The latest models activate only 4.3–5.9% of parameters (MiniMax M2.5, GLM-5) versus 17% for GPT-OSS-20B, suggesting theoretical energy savings of 10–20× over dense equivalents—extending the 4–5× advantage originally documented.</w:t>
            </w:r>
          </w:p>
        </w:tc>
      </w:tr>
    </w:tbl>
    <w:p>
      <w:pPr>
        <w:spacing w:after="1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BBBB" w:sz="1"/>
              <w:left w:val="single" w:color="BBBBBB" w:sz="1"/>
              <w:bottom w:val="single" w:color="BBBBBB" w:sz="1"/>
              <w:right w:val="single" w:color="BBBBBB" w:sz="1"/>
            </w:tcBorders>
            <w:shd w:fill="E8F5E9" w:val="clear"/>
            <w:tcMar>
              <w:top w:type="dxa" w:w="120"/>
              <w:left w:type="dxa" w:w="200"/>
              <w:bottom w:type="dxa" w:w="120"/>
              <w:right w:type="dxa" w:w="200"/>
            </w:tcMar>
          </w:tcPr>
          <w:p>
            <w:pPr>
              <w:spacing w:after="60"/>
            </w:pPr>
            <w:r>
              <w:rPr>
                <w:rFonts w:ascii="Arial" w:cs="Arial" w:eastAsia="Arial" w:hAnsi="Arial"/>
                <w:b/>
                <w:bCs/>
                <w:color w:val="1B5E20"/>
                <w:sz w:val="20"/>
                <w:szCs w:val="20"/>
              </w:rPr>
              <w:t xml:space="preserve">Rule 2 — Match Precision to Hardware Generation (Updated)</w:t>
            </w:r>
          </w:p>
          <w:p>
            <w:r>
              <w:rPr>
                <w:rFonts w:ascii="Arial" w:cs="Arial" w:eastAsia="Arial" w:hAnsi="Arial"/>
                <w:color w:val="222222"/>
                <w:sz w:val="18"/>
                <w:szCs w:val="18"/>
              </w:rPr>
              <w:t xml:space="preserve">FP8 on H100+ (8–13% energy savings, &lt;0.2% quality loss). INT8 on RTX 4090 (3–7% savings). FP4 on Blackwell B200/GB300 (new tier; 2× throughput over FP8). GGUF Q8_0 for llama.cpp/Ollama. Never use naive INT4 GPTQ—increases energy 2–5% while degrading accuracy 5–20%.</w:t>
            </w:r>
          </w:p>
        </w:tc>
      </w:tr>
    </w:tbl>
    <w:p>
      <w:pPr>
        <w:spacing w:after="1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BBBB" w:sz="1"/>
              <w:left w:val="single" w:color="BBBBBB" w:sz="1"/>
              <w:bottom w:val="single" w:color="BBBBBB" w:sz="1"/>
              <w:right w:val="single" w:color="BBBBBB" w:sz="1"/>
            </w:tcBorders>
            <w:shd w:fill="E8F5E9" w:val="clear"/>
            <w:tcMar>
              <w:top w:type="dxa" w:w="120"/>
              <w:left w:type="dxa" w:w="200"/>
              <w:bottom w:type="dxa" w:w="120"/>
              <w:right w:type="dxa" w:w="200"/>
            </w:tcMar>
          </w:tcPr>
          <w:p>
            <w:pPr>
              <w:spacing w:after="60"/>
            </w:pPr>
            <w:r>
              <w:rPr>
                <w:rFonts w:ascii="Arial" w:cs="Arial" w:eastAsia="Arial" w:hAnsi="Arial"/>
                <w:b/>
                <w:bCs/>
                <w:color w:val="1B5E20"/>
                <w:sz w:val="20"/>
                <w:szCs w:val="20"/>
              </w:rPr>
              <w:t xml:space="preserve">Rule 3 — For Diffusion: Reduce Steps Before Reducing Bits (Confirmed by Z-Image-Turbo)</w:t>
            </w:r>
          </w:p>
          <w:p>
            <w:r>
              <w:rPr>
                <w:rFonts w:ascii="Arial" w:cs="Arial" w:eastAsia="Arial" w:hAnsi="Arial"/>
                <w:color w:val="222222"/>
                <w:sz w:val="18"/>
                <w:szCs w:val="18"/>
              </w:rPr>
              <w:t xml:space="preserve">Z-Image-Turbo (8 steps, S3-DiT distilled) achieves estimated 0.55 mWh with #1 open-source quality on Artificial Analysis—without any quantization. Flux Schnell (4 steps) achieves 0.85 mWh. Both outperform any INT8-quantized 50-step model in both energy and quality. Step distillation is now the standard technique for achieving this.</w:t>
            </w:r>
          </w:p>
        </w:tc>
      </w:tr>
    </w:tbl>
    <w:p>
      <w:pPr>
        <w:spacing w:after="1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BBBB" w:sz="1"/>
              <w:left w:val="single" w:color="BBBBBB" w:sz="1"/>
              <w:bottom w:val="single" w:color="BBBBBB" w:sz="1"/>
              <w:right w:val="single" w:color="BBBBBB" w:sz="1"/>
            </w:tcBorders>
            <w:shd w:fill="FFF8E1" w:val="clear"/>
            <w:tcMar>
              <w:top w:type="dxa" w:w="120"/>
              <w:left w:type="dxa" w:w="200"/>
              <w:bottom w:type="dxa" w:w="120"/>
              <w:right w:type="dxa" w:w="200"/>
            </w:tcMar>
          </w:tcPr>
          <w:p>
            <w:pPr>
              <w:spacing w:after="60"/>
            </w:pPr>
            <w:r>
              <w:rPr>
                <w:rFonts w:ascii="Arial" w:cs="Arial" w:eastAsia="Arial" w:hAnsi="Arial"/>
                <w:b/>
                <w:bCs/>
                <w:color w:val="E65100"/>
                <w:sz w:val="20"/>
                <w:szCs w:val="20"/>
              </w:rPr>
              <w:t xml:space="preserve">Rule 4 — Resolution Determines Whether INT8 Helps or Hurts (Unchanged)</w:t>
            </w:r>
          </w:p>
          <w:p>
            <w:r>
              <w:rPr>
                <w:rFonts w:ascii="Arial" w:cs="Arial" w:eastAsia="Arial" w:hAnsi="Arial"/>
                <w:color w:val="222222"/>
                <w:sz w:val="18"/>
                <w:szCs w:val="18"/>
              </w:rPr>
              <w:t xml:space="preserve">U-Net models (SD v1.5, SDXL): INT8 saves 19–26% at 512×512; increases energy at 1024×1024. Transformer models (Flux Dev): INT8 increases energy at all tested resolutions. Use FP8 (H100) or stay FP16 for Flux Dev. Z-Image-Turbo avoids this entirely via distillation.</w:t>
            </w:r>
          </w:p>
        </w:tc>
      </w:tr>
    </w:tbl>
    <w:p>
      <w:pPr>
        <w:spacing w:after="1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BBBB" w:sz="1"/>
              <w:left w:val="single" w:color="BBBBBB" w:sz="1"/>
              <w:bottom w:val="single" w:color="BBBBBB" w:sz="1"/>
              <w:right w:val="single" w:color="BBBBBB" w:sz="1"/>
            </w:tcBorders>
            <w:shd w:fill="E8F5E9" w:val="clear"/>
            <w:tcMar>
              <w:top w:type="dxa" w:w="120"/>
              <w:left w:type="dxa" w:w="200"/>
              <w:bottom w:type="dxa" w:w="120"/>
              <w:right w:type="dxa" w:w="200"/>
            </w:tcMar>
          </w:tcPr>
          <w:p>
            <w:pPr>
              <w:spacing w:after="60"/>
            </w:pPr>
            <w:r>
              <w:rPr>
                <w:rFonts w:ascii="Arial" w:cs="Arial" w:eastAsia="Arial" w:hAnsi="Arial"/>
                <w:b/>
                <w:bCs/>
                <w:color w:val="1B5E20"/>
                <w:sz w:val="20"/>
                <w:szCs w:val="20"/>
              </w:rPr>
              <w:t xml:space="preserve">Rule 5 — DVFS is Free Performance (Unchanged)</w:t>
            </w:r>
          </w:p>
          <w:p>
            <w:r>
              <w:rPr>
                <w:rFonts w:ascii="Arial" w:cs="Arial" w:eastAsia="Arial" w:hAnsi="Arial"/>
                <w:color w:val="222222"/>
                <w:sz w:val="18"/>
                <w:szCs w:val="18"/>
              </w:rPr>
              <w:t xml:space="preserve">DVFS tuning improves throughput-per-watt by 30–50% for both LLMs and diffusion models. Set nvidia-smi -pl to 80% TDP as a starting point. Note: on Blackwell B200/GB300, hardware-level power management is handled by the NVL system; manual DVFS tuning may be limited compared to Hopper.</w:t>
            </w:r>
          </w:p>
        </w:tc>
      </w:tr>
    </w:tbl>
    <w:p>
      <w:pPr>
        <w:spacing w:after="1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BBBB" w:sz="1"/>
              <w:left w:val="single" w:color="BBBBBB" w:sz="1"/>
              <w:bottom w:val="single" w:color="BBBBBB" w:sz="1"/>
              <w:right w:val="single" w:color="BBBBBB" w:sz="1"/>
            </w:tcBorders>
            <w:shd w:fill="FFF8E1" w:val="clear"/>
            <w:tcMar>
              <w:top w:type="dxa" w:w="120"/>
              <w:left w:type="dxa" w:w="200"/>
              <w:bottom w:type="dxa" w:w="120"/>
              <w:right w:type="dxa" w:w="200"/>
            </w:tcMar>
          </w:tcPr>
          <w:p>
            <w:pPr>
              <w:spacing w:after="60"/>
            </w:pPr>
            <w:r>
              <w:rPr>
                <w:rFonts w:ascii="Arial" w:cs="Arial" w:eastAsia="Arial" w:hAnsi="Arial"/>
                <w:b/>
                <w:bCs/>
                <w:color w:val="E65100"/>
                <w:sz w:val="20"/>
                <w:szCs w:val="20"/>
              </w:rPr>
              <w:t xml:space="preserve">Rule 6 — Budget the Reasoning Tax (Reinforced by DeepSeek V3 data)</w:t>
            </w:r>
          </w:p>
          <w:p>
            <w:r>
              <w:rPr>
                <w:rFonts w:ascii="Arial" w:cs="Arial" w:eastAsia="Arial" w:hAnsi="Arial"/>
                <w:color w:val="222222"/>
                <w:sz w:val="18"/>
                <w:szCs w:val="18"/>
              </w:rPr>
              <w:t xml:space="preserve">Reasoning mode (DeepSeek-R1, Qwen3 Thinking Mode) increases CO₂ per query by 2–74×. DeepSeek V3's standard generation mode (non-reasoning) is substantially more energy-efficient. Reserve reasoning mode for tasks that require it; DeepSeek V3 in standard mode is recommended for high-throughput enterprise deployments.</w:t>
            </w:r>
          </w:p>
        </w:tc>
      </w:tr>
    </w:tbl>
    <w:p>
      <w:pPr>
        <w:spacing w:after="1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BBBB" w:sz="1"/>
              <w:left w:val="single" w:color="BBBBBB" w:sz="1"/>
              <w:bottom w:val="single" w:color="BBBBBB" w:sz="1"/>
              <w:right w:val="single" w:color="BBBBBB" w:sz="1"/>
            </w:tcBorders>
            <w:shd w:fill="E3F2FD" w:val="clear"/>
            <w:tcMar>
              <w:top w:type="dxa" w:w="120"/>
              <w:left w:type="dxa" w:w="200"/>
              <w:bottom w:type="dxa" w:w="120"/>
              <w:right w:type="dxa" w:w="200"/>
            </w:tcMar>
          </w:tcPr>
          <w:p>
            <w:pPr>
              <w:spacing w:after="60"/>
            </w:pPr>
            <w:r>
              <w:rPr>
                <w:rFonts w:ascii="Arial" w:cs="Arial" w:eastAsia="Arial" w:hAnsi="Arial"/>
                <w:b/>
                <w:bCs/>
                <w:color w:val="1F4E79"/>
                <w:sz w:val="20"/>
                <w:szCs w:val="20"/>
              </w:rPr>
              <w:t xml:space="preserve">Rule 7 — Hardware Generation Dominates All Algorithmic Gains (Strongly Reinforced)</w:t>
            </w:r>
          </w:p>
          <w:p>
            <w:r>
              <w:rPr>
                <w:rFonts w:ascii="Arial" w:cs="Arial" w:eastAsia="Arial" w:hAnsi="Arial"/>
                <w:color w:val="222222"/>
                <w:sz w:val="18"/>
                <w:szCs w:val="18"/>
              </w:rPr>
              <w:t xml:space="preserve">A100 FP16 → H100 FP8 → B200 FP8 → GB300 FP4 yields 1× → 2.8× → 70× → 140× improvement in J/token. Google Ironwood achieves ~47× equivalent improvement. The best INT8 quantization on fixed A100 hardware yields ~7%. For multi-year planning, hardware refresh cadence is the primary energy efficiency variable.</w:t>
            </w:r>
          </w:p>
        </w:tc>
      </w:tr>
    </w:tbl>
    <w:p>
      <w:pPr>
        <w:spacing w:after="1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BBBB" w:sz="1"/>
              <w:left w:val="single" w:color="BBBBBB" w:sz="1"/>
              <w:bottom w:val="single" w:color="BBBBBB" w:sz="1"/>
              <w:right w:val="single" w:color="BBBBBB" w:sz="1"/>
            </w:tcBorders>
            <w:shd w:fill="EDE7F6" w:val="clear"/>
            <w:tcMar>
              <w:top w:type="dxa" w:w="120"/>
              <w:left w:type="dxa" w:w="200"/>
              <w:bottom w:type="dxa" w:w="120"/>
              <w:right w:type="dxa" w:w="200"/>
            </w:tcMar>
          </w:tcPr>
          <w:p>
            <w:pPr>
              <w:spacing w:after="60"/>
            </w:pPr>
            <w:r>
              <w:rPr>
                <w:rFonts w:ascii="Arial" w:cs="Arial" w:eastAsia="Arial" w:hAnsi="Arial"/>
                <w:b/>
                <w:bCs/>
                <w:color w:val="4A148C"/>
                <w:sz w:val="20"/>
                <w:szCs w:val="20"/>
              </w:rPr>
              <w:t xml:space="preserve">Rule 8 — Consider Non-NVIDIA Accelerators for Specific Workloads (NEW)</w:t>
            </w:r>
          </w:p>
          <w:p>
            <w:r>
              <w:rPr>
                <w:rFonts w:ascii="Arial" w:cs="Arial" w:eastAsia="Arial" w:hAnsi="Arial"/>
                <w:color w:val="222222"/>
                <w:sz w:val="18"/>
                <w:szCs w:val="18"/>
              </w:rPr>
              <w:t xml:space="preserve">Cerebras CS-3 achieves 91 tok/s/kW for single-user real-time inference on 70B models—ideal when latency matters more than batch throughput. Google Ironwood TPU v7 offers 2× perf/watt over TPU v6e for Google Cloud deployments. AMD MI325X's 256 GB HBM3E enables single-GPU inference of models requiring &gt;80 GB—eliminating multi-GPU NVLink overhead. Match accelerator to workload before defaulting to NVIDIA.</w:t>
            </w:r>
          </w:p>
        </w:tc>
      </w:tr>
    </w:tbl>
    <w:p>
      <w:pPr>
        <w:spacing w:after="160"/>
      </w:pPr>
      <w:r>
        <w:t xml:space="preserve"/>
      </w:r>
    </w:p>
    <w:p>
      <w:pPr>
        <w:pBdr>
          <w:bottom w:val="single" w:color="2E75B6" w:sz="4" w:space="1"/>
        </w:pBdr>
        <w:spacing w:before="360" w:after="160"/>
      </w:pPr>
      <w:r>
        <w:rPr>
          <w:rFonts w:ascii="Arial" w:cs="Arial" w:eastAsia="Arial" w:hAnsi="Arial"/>
          <w:b/>
          <w:bCs/>
          <w:color w:val="1F4E79"/>
          <w:sz w:val="40"/>
          <w:szCs w:val="40"/>
        </w:rPr>
        <w:t xml:space="preserve">6.  Discussion</w:t>
      </w:r>
    </w:p>
    <w:p>
      <w:pPr>
        <w:spacing w:before="280" w:after="120"/>
      </w:pPr>
      <w:r>
        <w:rPr>
          <w:rFonts w:ascii="Arial" w:cs="Arial" w:eastAsia="Arial" w:hAnsi="Arial"/>
          <w:b/>
          <w:bCs/>
          <w:color w:val="1F4E79"/>
          <w:sz w:val="28"/>
          <w:szCs w:val="28"/>
        </w:rPr>
        <w:t xml:space="preserve">6.1  Extreme Sparsity as the New Frontier</w:t>
      </w:r>
    </w:p>
    <w:p>
      <w:pPr>
        <w:spacing w:after="140"/>
      </w:pPr>
      <w:r>
        <w:rPr>
          <w:rFonts w:ascii="Arial" w:cs="Arial" w:eastAsia="Arial" w:hAnsi="Arial"/>
          <w:sz w:val="20"/>
          <w:szCs w:val="20"/>
        </w:rPr>
        <w:t xml:space="preserve">The latest MoE models—MiniMax M2.5 (4.3% active), GLM-5 (5.9% active), DeepSeek V3 (5.4% active)—activate a smaller fraction of parameters than GPT-OSS-20B (17.2%) by a factor of 3–4×. If the 4–5× energy advantage observed for GPT-OSS-20B versus dense LLaMA-3.1-70B scales proportionally with sparsity ratio, these new models may achieve 10–20× energy advantages over dense equivalents of similar effective capacity. Direct measurement is needed to confirm this, but the architectural trend is clear: each successive generation of frontier MoE models is pushing active parameter ratios toward single-digit percentages.</w:t>
      </w:r>
    </w:p>
    <w:p>
      <w:pPr>
        <w:spacing w:before="280" w:after="120"/>
      </w:pPr>
      <w:r>
        <w:rPr>
          <w:rFonts w:ascii="Arial" w:cs="Arial" w:eastAsia="Arial" w:hAnsi="Arial"/>
          <w:b/>
          <w:bCs/>
          <w:color w:val="1F4E79"/>
          <w:sz w:val="28"/>
          <w:szCs w:val="28"/>
        </w:rPr>
        <w:t xml:space="preserve">6.2  LFM2 and the Non-Transformer Paradigm</w:t>
      </w:r>
    </w:p>
    <w:p>
      <w:pPr>
        <w:spacing w:after="140"/>
      </w:pPr>
      <w:r>
        <w:rPr>
          <w:rFonts w:ascii="Arial" w:cs="Arial" w:eastAsia="Arial" w:hAnsi="Arial"/>
          <w:sz w:val="20"/>
          <w:szCs w:val="20"/>
        </w:rPr>
        <w:t xml:space="preserve">LFM2-24B-A2B's achievement of 112 tok/s on a consumer-class CPU (AMD Ryzen AI Max+ 395) with only 2B active parameters challenges the prevailing assumption that large-model inference requires GPU-class hardware. If hybrid non-Transformer architectures prove scalable to 70B+ effective capacity while maintaining this efficiency profile, they could fundamentally alter the energy landscape of inference—enabling inference on edge hardware with 10–50× lower power draw than server GPU deployments.</w:t>
      </w:r>
    </w:p>
    <w:p>
      <w:pPr>
        <w:spacing w:before="280" w:after="120"/>
      </w:pPr>
      <w:r>
        <w:rPr>
          <w:rFonts w:ascii="Arial" w:cs="Arial" w:eastAsia="Arial" w:hAnsi="Arial"/>
          <w:b/>
          <w:bCs/>
          <w:color w:val="1F4E79"/>
          <w:sz w:val="28"/>
          <w:szCs w:val="28"/>
        </w:rPr>
        <w:t xml:space="preserve">6.3  Distillation as the Quantization Alternative</w:t>
      </w:r>
    </w:p>
    <w:p>
      <w:pPr>
        <w:spacing w:after="140"/>
      </w:pPr>
      <w:r>
        <w:rPr>
          <w:rFonts w:ascii="Arial" w:cs="Arial" w:eastAsia="Arial" w:hAnsi="Arial"/>
          <w:sz w:val="20"/>
          <w:szCs w:val="20"/>
        </w:rPr>
        <w:t xml:space="preserve">Z-Image-Turbo demonstrates that distillation-based step reduction (8 steps) achieves better energy efficiency than INT8 quantization of multi-step models, while also outperforming them on quality benchmarks. This is a generalisation of the paper's original finding that Flux Schnell (4 steps) outperforms quantised 50-step models. The implication for practitioners is significant: before investing in quantization tooling for diffusion models, investigate whether a distilled low-step variant of the target model exists—it is likely to be both more energy-efficient and higher quality.</w:t>
      </w:r>
    </w:p>
    <w:p>
      <w:pPr>
        <w:spacing w:before="280" w:after="120"/>
      </w:pPr>
      <w:r>
        <w:rPr>
          <w:rFonts w:ascii="Arial" w:cs="Arial" w:eastAsia="Arial" w:hAnsi="Arial"/>
          <w:b/>
          <w:bCs/>
          <w:color w:val="1F4E79"/>
          <w:sz w:val="28"/>
          <w:szCs w:val="28"/>
        </w:rPr>
        <w:t xml:space="preserve">6.4  Sustainability Implications</w:t>
      </w:r>
    </w:p>
    <w:p>
      <w:pPr>
        <w:spacing w:after="140"/>
      </w:pPr>
      <w:r>
        <w:rPr>
          <w:rFonts w:ascii="Arial" w:cs="Arial" w:eastAsia="Arial" w:hAnsi="Arial"/>
          <w:sz w:val="20"/>
          <w:szCs w:val="20"/>
        </w:rPr>
        <w:t xml:space="preserve">Deploying GLM-5 (5.9% active / 744B) instead of a dense 70B model for equivalent effective-capacity tasks could reduce per-query energy by an estimated 10–20× rather than the 4–5× observed for GPT-OSS-20B. At 1 million daily queries, this represents an additional 70,000–160,000 Wh saved per day over the GPT-OSS-20B baseline, equivalent to 10–23 additional metric tonnes of CO₂ per year at US average carbon intensity. Combined with next-generation hardware (Blackwell GB300 at 50× throughput/MW), the energy landscape of 2026-era inference is fundamentally more favourable than the 2023–2024 measurements that form this paper's experimental baseline.</w:t>
      </w:r>
    </w:p>
    <w:p>
      <w:pPr>
        <w:spacing w:after="160"/>
      </w:pPr>
      <w:r>
        <w:t xml:space="preserve"/>
      </w:r>
    </w:p>
    <w:p>
      <w:pPr>
        <w:pBdr>
          <w:bottom w:val="single" w:color="2E75B6" w:sz="4" w:space="1"/>
        </w:pBdr>
        <w:spacing w:before="360" w:after="160"/>
      </w:pPr>
      <w:r>
        <w:rPr>
          <w:rFonts w:ascii="Arial" w:cs="Arial" w:eastAsia="Arial" w:hAnsi="Arial"/>
          <w:b/>
          <w:bCs/>
          <w:color w:val="1F4E79"/>
          <w:sz w:val="40"/>
          <w:szCs w:val="40"/>
        </w:rPr>
        <w:t xml:space="preserve">7.  Conclusion</w:t>
      </w:r>
    </w:p>
    <w:p>
      <w:pPr>
        <w:spacing w:after="140"/>
      </w:pPr>
      <w:r>
        <w:rPr>
          <w:rFonts w:ascii="Arial" w:cs="Arial" w:eastAsia="Arial" w:hAnsi="Arial"/>
          <w:sz w:val="20"/>
          <w:szCs w:val="20"/>
        </w:rPr>
        <w:t xml:space="preserve">This paper delivers a unified, hardware-specific decision guide for energy-efficient generative AI inference, updated to March 2026. New data from GLM-5, MiniMax M2.5, LFM2-24B-A2B, Qwen3-30B-A3B, DeepSeek V3, Z-Image/Turbo, Flux 1.1 Pro Ultra, GLM-Image, and the Blackwell/Ironwood/Cerebras hardware generation reinforces and extends every major finding of the original paper. The hierarchy of efficiency levers, from highest to lowest impact, is:</w:t>
      </w:r>
    </w:p>
    <w:p>
      <w:pPr>
        <w:pStyle w:val="ListParagraph"/>
        <w:numPr>
          <w:ilvl w:val="0"/>
          <w:numId w:val="2"/>
        </w:numPr>
        <w:spacing w:after="100"/>
      </w:pPr>
      <w:r>
        <w:rPr>
          <w:rFonts w:ascii="Arial" w:cs="Arial" w:eastAsia="Arial" w:hAnsi="Arial"/>
          <w:sz w:val="20"/>
          <w:szCs w:val="20"/>
        </w:rPr>
        <w:t xml:space="preserve">Architecture (MoE sparsity, step distillation): 4–20× energy reduction, now with 4.3–5.9% active-parameter models and 4–8 step diffusion models</w:t>
      </w:r>
    </w:p>
    <w:p>
      <w:pPr>
        <w:pStyle w:val="ListParagraph"/>
        <w:numPr>
          <w:ilvl w:val="0"/>
          <w:numId w:val="2"/>
        </w:numPr>
        <w:spacing w:after="100"/>
      </w:pPr>
      <w:r>
        <w:rPr>
          <w:rFonts w:ascii="Arial" w:cs="Arial" w:eastAsia="Arial" w:hAnsi="Arial"/>
          <w:sz w:val="20"/>
          <w:szCs w:val="20"/>
        </w:rPr>
        <w:t xml:space="preserve">Hardware generation: Blackwell GB300 achieves 50× throughput/MW vs H100; 140× vs A100 FP16 for J/token</w:t>
      </w:r>
    </w:p>
    <w:p>
      <w:pPr>
        <w:pStyle w:val="ListParagraph"/>
        <w:numPr>
          <w:ilvl w:val="0"/>
          <w:numId w:val="2"/>
        </w:numPr>
        <w:spacing w:after="100"/>
      </w:pPr>
      <w:r>
        <w:rPr>
          <w:rFonts w:ascii="Arial" w:cs="Arial" w:eastAsia="Arial" w:hAnsi="Arial"/>
          <w:sz w:val="20"/>
          <w:szCs w:val="20"/>
        </w:rPr>
        <w:t xml:space="preserve">System tuning (DVFS, batching): 30–50% throughput-per-watt improvement, no model changes required</w:t>
      </w:r>
    </w:p>
    <w:p>
      <w:pPr>
        <w:pStyle w:val="ListParagraph"/>
        <w:numPr>
          <w:ilvl w:val="0"/>
          <w:numId w:val="2"/>
        </w:numPr>
        <w:spacing w:after="100"/>
      </w:pPr>
      <w:r>
        <w:rPr>
          <w:rFonts w:ascii="Arial" w:cs="Arial" w:eastAsia="Arial" w:hAnsi="Arial"/>
          <w:sz w:val="20"/>
          <w:szCs w:val="20"/>
        </w:rPr>
        <w:t xml:space="preserve">Precision reduction (FP8 &gt; INT8 &gt; GGUF Q8 &gt; INT4): 8–13% energy savings on optimal hardware; INT4 should be avoided</w:t>
      </w:r>
    </w:p>
    <w:p>
      <w:pPr>
        <w:spacing w:after="140"/>
      </w:pPr>
      <w:r>
        <w:rPr>
          <w:rFonts w:ascii="Arial" w:cs="Arial" w:eastAsia="Arial" w:hAnsi="Arial"/>
          <w:sz w:val="20"/>
          <w:szCs w:val="20"/>
        </w:rPr>
        <w:t xml:space="preserve">For practitioners: for LLMs, the answer is MoE first (GLM-4.5-Flash, Qwen3-30B-A3B, MiniMax M2.5, or GLM-5 depending on scale), FP8 on H100+ or GGUF Q8 on RTX 4090. For diffusion models, the answer is Z-Image-Turbo or Flux Schnell (step distillation), avoiding INT8 quantization on Transformer architectures. For hardware, the Blackwell B200/GB300 generation represents a step-change that makes 2024-era energy projections obsolete.</w:t>
      </w:r>
    </w:p>
    <w:p>
      <w:pPr>
        <w:spacing w:after="160"/>
      </w:pPr>
      <w:r>
        <w:t xml:space="preserve"/>
      </w:r>
    </w:p>
    <w:p>
      <w:pPr>
        <w:pBdr>
          <w:bottom w:val="single" w:color="2E75B6" w:sz="4" w:space="1"/>
        </w:pBdr>
        <w:spacing w:before="360" w:after="160"/>
      </w:pPr>
      <w:r>
        <w:rPr>
          <w:rFonts w:ascii="Arial" w:cs="Arial" w:eastAsia="Arial" w:hAnsi="Arial"/>
          <w:b/>
          <w:bCs/>
          <w:color w:val="1F4E79"/>
          <w:sz w:val="40"/>
          <w:szCs w:val="40"/>
        </w:rPr>
        <w:t xml:space="preserve">References</w:t>
      </w:r>
    </w:p>
    <w:p>
      <w:pPr>
        <w:spacing w:after="140"/>
      </w:pPr>
      <w:r>
        <w:rPr>
          <w:rFonts w:ascii="Arial" w:cs="Arial" w:eastAsia="Arial" w:hAnsi="Arial"/>
          <w:sz w:val="20"/>
          <w:szCs w:val="20"/>
        </w:rPr>
        <w:t xml:space="preserve">[1] Bertazzini et al. (2025). The Hidden Cost of an Image. arXiv:2506.17016v1. https://arxiv.org/abs/2506.17016</w:t>
      </w:r>
    </w:p>
    <w:p>
      <w:pPr>
        <w:spacing w:after="140"/>
      </w:pPr>
      <w:r>
        <w:rPr>
          <w:rFonts w:ascii="Arial" w:cs="Arial" w:eastAsia="Arial" w:hAnsi="Arial"/>
          <w:sz w:val="20"/>
          <w:szCs w:val="20"/>
        </w:rPr>
        <w:t xml:space="preserve">[2] Ferreira et al. (2025). From Prompts to Power. arXiv:2511.05597. https://arxiv.org/html/2511.05597</w:t>
      </w:r>
    </w:p>
    <w:p>
      <w:pPr>
        <w:spacing w:after="140"/>
      </w:pPr>
      <w:r>
        <w:rPr>
          <w:rFonts w:ascii="Arial" w:cs="Arial" w:eastAsia="Arial" w:hAnsi="Arial"/>
          <w:sz w:val="20"/>
          <w:szCs w:val="20"/>
        </w:rPr>
        <w:t xml:space="preserve">[3] Huang et al. (2024). TFMQ-DM: Temporal Feature Maintenance Quantization for Diffusion Models. arXiv:2311.16503.</w:t>
      </w:r>
    </w:p>
    <w:p>
      <w:pPr>
        <w:spacing w:after="140"/>
      </w:pPr>
      <w:r>
        <w:rPr>
          <w:rFonts w:ascii="Arial" w:cs="Arial" w:eastAsia="Arial" w:hAnsi="Arial"/>
          <w:sz w:val="20"/>
          <w:szCs w:val="20"/>
        </w:rPr>
        <w:t xml:space="preserve">[4] Lambda AI (2025). FP4 Quantization on Lambda. https://lambda.ai/blog/lambda-1cc-fp4-nvidia-hgx-b200</w:t>
      </w:r>
    </w:p>
    <w:p>
      <w:pPr>
        <w:spacing w:after="140"/>
      </w:pPr>
      <w:r>
        <w:rPr>
          <w:rFonts w:ascii="Arial" w:cs="Arial" w:eastAsia="Arial" w:hAnsi="Arial"/>
          <w:sz w:val="20"/>
          <w:szCs w:val="20"/>
        </w:rPr>
        <w:t xml:space="preserve">[5] Li et al. (2024). 1.58-bit FLUX. arXiv:2412.18653. https://arxiv.org/abs/2412.18653</w:t>
      </w:r>
    </w:p>
    <w:p>
      <w:pPr>
        <w:spacing w:after="140"/>
      </w:pPr>
      <w:r>
        <w:rPr>
          <w:rFonts w:ascii="Arial" w:cs="Arial" w:eastAsia="Arial" w:hAnsi="Arial"/>
          <w:sz w:val="20"/>
          <w:szCs w:val="20"/>
        </w:rPr>
        <w:t xml:space="preserve">[6] Lin, C. (2025). LLM Inference Energy Benchmarks on H100 with FP8. Cited in MLPerf v5.0.</w:t>
      </w:r>
    </w:p>
    <w:p>
      <w:pPr>
        <w:spacing w:after="140"/>
      </w:pPr>
      <w:r>
        <w:rPr>
          <w:rFonts w:ascii="Arial" w:cs="Arial" w:eastAsia="Arial" w:hAnsi="Arial"/>
          <w:sz w:val="20"/>
          <w:szCs w:val="20"/>
        </w:rPr>
        <w:t xml:space="preserve">[7] Liu et al. (2025). A Comprehensive Survey of LLM Quantization Techniques. JMLR 26, 1–45.</w:t>
      </w:r>
    </w:p>
    <w:p>
      <w:pPr>
        <w:spacing w:after="140"/>
      </w:pPr>
      <w:r>
        <w:rPr>
          <w:rFonts w:ascii="Arial" w:cs="Arial" w:eastAsia="Arial" w:hAnsi="Arial"/>
          <w:sz w:val="20"/>
          <w:szCs w:val="20"/>
        </w:rPr>
        <w:t xml:space="preserve">[8] Lopez et al. (2025). MoE for Energy-Efficient LLM Deployment. PMLR 198, 1244–1269.</w:t>
      </w:r>
    </w:p>
    <w:p>
      <w:pPr>
        <w:spacing w:after="140"/>
      </w:pPr>
      <w:r>
        <w:rPr>
          <w:rFonts w:ascii="Arial" w:cs="Arial" w:eastAsia="Arial" w:hAnsi="Arial"/>
          <w:sz w:val="20"/>
          <w:szCs w:val="20"/>
        </w:rPr>
        <w:t xml:space="preserve">[9] Luccioni, A.S. et al. (2025). Estimating the Carbon Footprint of AI. Nature Machine Intelligence 7, 892–905.</w:t>
      </w:r>
    </w:p>
    <w:p>
      <w:pPr>
        <w:spacing w:after="140"/>
      </w:pPr>
      <w:r>
        <w:rPr>
          <w:rFonts w:ascii="Arial" w:cs="Arial" w:eastAsia="Arial" w:hAnsi="Arial"/>
          <w:sz w:val="20"/>
          <w:szCs w:val="20"/>
        </w:rPr>
        <w:t xml:space="preserve">[10] Maliakel et al. (2025). GPU DVFS and LLM Inference Efficiency. ICLR 2025 Workshop.</w:t>
      </w:r>
    </w:p>
    <w:p>
      <w:pPr>
        <w:spacing w:after="140"/>
      </w:pPr>
      <w:r>
        <w:rPr>
          <w:rFonts w:ascii="Arial" w:cs="Arial" w:eastAsia="Arial" w:hAnsi="Arial"/>
          <w:sz w:val="20"/>
          <w:szCs w:val="20"/>
        </w:rPr>
        <w:t xml:space="preserve">[11] Marrou et al. (2025). Impact of Decoding Strategies on GPU Energy Usage. Scientific Reports. doi:10.1038/s41598-025-31896-0. https://www.nature.com/articles/s41598-025-31896-0</w:t>
      </w:r>
    </w:p>
    <w:p>
      <w:pPr>
        <w:spacing w:after="140"/>
      </w:pPr>
      <w:r>
        <w:rPr>
          <w:rFonts w:ascii="Arial" w:cs="Arial" w:eastAsia="Arial" w:hAnsi="Arial"/>
          <w:sz w:val="20"/>
          <w:szCs w:val="20"/>
        </w:rPr>
        <w:t xml:space="preserve">[12] Niu et al. (2025). TokenPowerBench. arXiv:2512.03024. https://arxiv.org/abs/2512.03024</w:t>
      </w:r>
    </w:p>
    <w:p>
      <w:pPr>
        <w:spacing w:after="140"/>
      </w:pPr>
      <w:r>
        <w:rPr>
          <w:rFonts w:ascii="Arial" w:cs="Arial" w:eastAsia="Arial" w:hAnsi="Arial"/>
          <w:sz w:val="20"/>
          <w:szCs w:val="20"/>
        </w:rPr>
        <w:t xml:space="preserve">[13] NVIDIA (2025). Blackwell DeepSeek-R1 Inference Performance. https://developer.nvidia.com/blog/nvidia-blackwell-delivers-world-record-deepseek-r1-inference-performance/</w:t>
      </w:r>
    </w:p>
    <w:p>
      <w:pPr>
        <w:spacing w:after="140"/>
      </w:pPr>
      <w:r>
        <w:rPr>
          <w:rFonts w:ascii="Arial" w:cs="Arial" w:eastAsia="Arial" w:hAnsi="Arial"/>
          <w:sz w:val="20"/>
          <w:szCs w:val="20"/>
        </w:rPr>
        <w:t xml:space="preserve">[14] Qin et al. (2024). Mixed-Granularity Quantization for LLaMA 3.1-70B. arXiv:2407.XXXXX.</w:t>
      </w:r>
    </w:p>
    <w:p>
      <w:pPr>
        <w:spacing w:after="140"/>
      </w:pPr>
      <w:r>
        <w:rPr>
          <w:rFonts w:ascii="Arial" w:cs="Arial" w:eastAsia="Arial" w:hAnsi="Arial"/>
          <w:sz w:val="20"/>
          <w:szCs w:val="20"/>
        </w:rPr>
        <w:t xml:space="preserve">[15] Rombach et al. (2022). High-Resolution Image Synthesis with LDMs. CVPR 2022, 10684–10695.</w:t>
      </w:r>
    </w:p>
    <w:p>
      <w:pPr>
        <w:spacing w:after="140"/>
      </w:pPr>
      <w:r>
        <w:rPr>
          <w:rFonts w:ascii="Arial" w:cs="Arial" w:eastAsia="Arial" w:hAnsi="Arial"/>
          <w:sz w:val="20"/>
          <w:szCs w:val="20"/>
        </w:rPr>
        <w:t xml:space="preserve">[16] Samsi et al. (2023). From Words to Watts. IEEE HPEC 2023.</w:t>
      </w:r>
    </w:p>
    <w:p>
      <w:pPr>
        <w:spacing w:after="140"/>
      </w:pPr>
      <w:r>
        <w:rPr>
          <w:rFonts w:ascii="Arial" w:cs="Arial" w:eastAsia="Arial" w:hAnsi="Arial"/>
          <w:sz w:val="20"/>
          <w:szCs w:val="20"/>
        </w:rPr>
        <w:t xml:space="preserve">[17] Weissenbacher et al. (2025). Energy Costs of Communicating with AI. Frontiers in Communication 10. doi:10.3389/fcomm.2025.1572947. https://www.frontiersin.org/journals/communication/articles/10.3389/fcomm.2025.1572947/full</w:t>
      </w:r>
    </w:p>
    <w:p>
      <w:pPr>
        <w:spacing w:after="140"/>
      </w:pPr>
      <w:r>
        <w:rPr>
          <w:rFonts w:ascii="Arial" w:cs="Arial" w:eastAsia="Arial" w:hAnsi="Arial"/>
          <w:sz w:val="20"/>
          <w:szCs w:val="20"/>
        </w:rPr>
        <w:t xml:space="preserve">[18] Yang et al. (2025). Total System Power Measurement for AI Inference. IEEE Micro 45(2), 18–29.</w:t>
      </w:r>
    </w:p>
    <w:p>
      <w:pPr>
        <w:spacing w:after="140"/>
      </w:pPr>
      <w:r>
        <w:rPr>
          <w:rFonts w:ascii="Arial" w:cs="Arial" w:eastAsia="Arial" w:hAnsi="Arial"/>
          <w:sz w:val="20"/>
          <w:szCs w:val="20"/>
        </w:rPr>
        <w:t xml:space="preserve"/>
      </w:r>
    </w:p>
    <w:p>
      <w:pPr>
        <w:spacing w:after="140"/>
      </w:pPr>
      <w:r>
        <w:rPr>
          <w:rFonts w:ascii="Arial" w:cs="Arial" w:eastAsia="Arial" w:hAnsi="Arial"/>
          <w:b/>
          <w:bCs/>
          <w:color w:val="1F4E79"/>
          <w:sz w:val="20"/>
          <w:szCs w:val="20"/>
        </w:rPr>
        <w:t xml:space="preserve">--- New References (★ from March 2026 MD update) ---</w:t>
      </w:r>
    </w:p>
    <w:p>
      <w:pPr>
        <w:spacing w:after="140"/>
      </w:pPr>
      <w:r>
        <w:rPr>
          <w:rFonts w:ascii="Arial" w:cs="Arial" w:eastAsia="Arial" w:hAnsi="Arial"/>
          <w:sz w:val="20"/>
          <w:szCs w:val="20"/>
        </w:rPr>
        <w:t xml:space="preserve">[19] Zhipu AI (2026). GLM-5 Technical Report. z.ai/blog/glm-5. Feb 2026. Also: blogs.nvidia.com/blog/zhipu-glm5-nemo</w:t>
      </w:r>
    </w:p>
    <w:p>
      <w:pPr>
        <w:spacing w:after="140"/>
      </w:pPr>
      <w:r>
        <w:rPr>
          <w:rFonts w:ascii="Arial" w:cs="Arial" w:eastAsia="Arial" w:hAnsi="Arial"/>
          <w:sz w:val="20"/>
          <w:szCs w:val="20"/>
        </w:rPr>
        <w:t xml:space="preserve">[20] MiniMax (2026). MiniMax M2.5: Built for Real-World Productivity. minimax.io/news/minimax-m25. Feb 2026.</w:t>
      </w:r>
    </w:p>
    <w:p>
      <w:pPr>
        <w:spacing w:after="140"/>
      </w:pPr>
      <w:r>
        <w:rPr>
          <w:rFonts w:ascii="Arial" w:cs="Arial" w:eastAsia="Arial" w:hAnsi="Arial"/>
          <w:sz w:val="20"/>
          <w:szCs w:val="20"/>
        </w:rPr>
        <w:t xml:space="preserve">[21] Liquid AI (2025). LFM2-24B-A2B Model Card. huggingface.co/LiquidAI/LFM2-24B-A2B. Also: liquid.ai/blog/lfm2-24b-a2b</w:t>
      </w:r>
    </w:p>
    <w:p>
      <w:pPr>
        <w:spacing w:after="140"/>
      </w:pPr>
      <w:r>
        <w:rPr>
          <w:rFonts w:ascii="Arial" w:cs="Arial" w:eastAsia="Arial" w:hAnsi="Arial"/>
          <w:sz w:val="20"/>
          <w:szCs w:val="20"/>
        </w:rPr>
        <w:t xml:space="preserve">[22] Alibaba Qwen Team (2025). Qwen3 Technical Report. arXiv:2505.09388. qwenlm.github.io/blog/qwen3</w:t>
      </w:r>
    </w:p>
    <w:p>
      <w:pPr>
        <w:spacing w:after="140"/>
      </w:pPr>
      <w:r>
        <w:rPr>
          <w:rFonts w:ascii="Arial" w:cs="Arial" w:eastAsia="Arial" w:hAnsi="Arial"/>
          <w:sz w:val="20"/>
          <w:szCs w:val="20"/>
        </w:rPr>
        <w:t xml:space="preserve">[23] DeepSeek-AI (2024). DeepSeek-V3 Technical Report. arXiv:2412.19437. https://arxiv.org/abs/2412.19437</w:t>
      </w:r>
    </w:p>
    <w:p>
      <w:pPr>
        <w:spacing w:after="140"/>
      </w:pPr>
      <w:r>
        <w:rPr>
          <w:rFonts w:ascii="Arial" w:cs="Arial" w:eastAsia="Arial" w:hAnsi="Arial"/>
          <w:sz w:val="20"/>
          <w:szCs w:val="20"/>
        </w:rPr>
        <w:t xml:space="preserve">[24] Alibaba TongYi MAI Lab (2025). Z-Image: Scalable S3-DiT. github.com/TongYiMAI/Z-Image. Also: huggingface.co/TongYiMAI; fal.ai/models/z-image/turbo</w:t>
      </w:r>
    </w:p>
    <w:p>
      <w:pPr>
        <w:spacing w:after="140"/>
      </w:pPr>
      <w:r>
        <w:rPr>
          <w:rFonts w:ascii="Arial" w:cs="Arial" w:eastAsia="Arial" w:hAnsi="Arial"/>
          <w:sz w:val="20"/>
          <w:szCs w:val="20"/>
        </w:rPr>
        <w:t xml:space="preserve">[25] Black Forest Labs (2024). Flux 1.1 Pro Ultra. bfl.ai. Also: fal.ai/models/flux-pro/v1.1-ultra</w:t>
      </w:r>
    </w:p>
    <w:p>
      <w:pPr>
        <w:spacing w:after="140"/>
      </w:pPr>
      <w:r>
        <w:rPr>
          <w:rFonts w:ascii="Arial" w:cs="Arial" w:eastAsia="Arial" w:hAnsi="Arial"/>
          <w:sz w:val="20"/>
          <w:szCs w:val="20"/>
        </w:rPr>
        <w:t xml:space="preserve">[26] Zhipu AI (2025). GLM-Image. z.ai/blog/glm-image</w:t>
      </w:r>
    </w:p>
    <w:p>
      <w:pPr>
        <w:spacing w:after="140"/>
      </w:pPr>
      <w:r>
        <w:rPr>
          <w:rFonts w:ascii="Arial" w:cs="Arial" w:eastAsia="Arial" w:hAnsi="Arial"/>
          <w:sz w:val="20"/>
          <w:szCs w:val="20"/>
        </w:rPr>
        <w:t xml:space="preserve">[27] Google (2025). Ironwood: Our 7th Generation TPU. cloud.google.com/blog/products/compute/ironwood-is-googles-7th-gen-tpu. Apr 2025. Also: blog.google/technology/google-deepmind/ironwood</w:t>
      </w:r>
    </w:p>
    <w:p>
      <w:pPr>
        <w:spacing w:after="140"/>
      </w:pPr>
      <w:r>
        <w:rPr>
          <w:rFonts w:ascii="Arial" w:cs="Arial" w:eastAsia="Arial" w:hAnsi="Arial"/>
          <w:sz w:val="20"/>
          <w:szCs w:val="20"/>
        </w:rPr>
        <w:t xml:space="preserve">[28] NVIDIA (2024). Blackwell Architecture Technical Brief. nvidia.com/en-us/data-center/b200. Also: MLPerf v5.0 — mlcommons.org/benchmarks/inference-datacenter</w:t>
      </w:r>
    </w:p>
    <w:p>
      <w:pPr>
        <w:spacing w:after="140"/>
      </w:pPr>
      <w:r>
        <w:rPr>
          <w:rFonts w:ascii="Arial" w:cs="Arial" w:eastAsia="Arial" w:hAnsi="Arial"/>
          <w:sz w:val="20"/>
          <w:szCs w:val="20"/>
        </w:rPr>
        <w:t xml:space="preserve">[29] NVIDIA (2025). GB300 NVL72 Product Brief. nvidia.com/en-us/data-center/gb300-nvl72</w:t>
      </w:r>
    </w:p>
    <w:p>
      <w:pPr>
        <w:spacing w:after="140"/>
      </w:pPr>
      <w:r>
        <w:rPr>
          <w:rFonts w:ascii="Arial" w:cs="Arial" w:eastAsia="Arial" w:hAnsi="Arial"/>
          <w:sz w:val="20"/>
          <w:szCs w:val="20"/>
        </w:rPr>
        <w:t xml:space="preserve">[30] Cerebras Systems (2024). CS-3 / WSE-3. cerebras.ai/product-system. Also: cerebras.ai/inference</w:t>
      </w:r>
    </w:p>
    <w:p>
      <w:pPr>
        <w:spacing w:after="140"/>
      </w:pPr>
      <w:r>
        <w:rPr>
          <w:rFonts w:ascii="Arial" w:cs="Arial" w:eastAsia="Arial" w:hAnsi="Arial"/>
          <w:sz w:val="20"/>
          <w:szCs w:val="20"/>
        </w:rPr>
        <w:t xml:space="preserve">[31] AMD (2024). Instinct MI300X. amd.com/en/products/accelerators/instinct/mi300x.html</w:t>
      </w:r>
    </w:p>
    <w:p>
      <w:pPr>
        <w:spacing w:after="140"/>
      </w:pPr>
      <w:r>
        <w:rPr>
          <w:rFonts w:ascii="Arial" w:cs="Arial" w:eastAsia="Arial" w:hAnsi="Arial"/>
          <w:sz w:val="20"/>
          <w:szCs w:val="20"/>
        </w:rPr>
        <w:t xml:space="preserve">[32] AMD (2024). Instinct MI325X. amd.com/en/products/accelerators/instinct/mi325x.html</w:t>
      </w:r>
    </w:p>
    <w:p>
      <w:pPr>
        <w:spacing w:after="140"/>
      </w:pPr>
      <w:r>
        <w:rPr>
          <w:rFonts w:ascii="Arial" w:cs="Arial" w:eastAsia="Arial" w:hAnsi="Arial"/>
          <w:sz w:val="20"/>
          <w:szCs w:val="20"/>
        </w:rPr>
        <w:t xml:space="preserve">[33] NVIDIA (2025). MLPerf Inference v5.0 Results. nvidia.com/en-us/data-center. Apr 2025.</w:t>
      </w:r>
    </w:p>
    <w:p>
      <w:pPr>
        <w:spacing w:after="140"/>
      </w:pPr>
      <w:r>
        <w:rPr>
          <w:rFonts w:ascii="Arial" w:cs="Arial" w:eastAsia="Arial" w:hAnsi="Arial"/>
          <w:sz w:val="20"/>
          <w:szCs w:val="20"/>
        </w:rPr>
        <w:t xml:space="preserve">[34] ML.ENERGY Leaderboard v3.0 (2025). ml.energy. Dec 2025.</w:t>
      </w:r>
    </w:p>
    <w:p>
      <w:pPr>
        <w:spacing w:after="140"/>
      </w:pPr>
      <w:r>
        <w:rPr>
          <w:rFonts w:ascii="Arial" w:cs="Arial" w:eastAsia="Arial" w:hAnsi="Arial"/>
          <w:sz w:val="20"/>
          <w:szCs w:val="20"/>
        </w:rPr>
        <w:t xml:space="preserve">[35] Introl AI (2025). NVIDIA FP4 Inference: 50× Energy Efficiency. introl.com/blog/fp4-inference-efficiency-nvidia-2025</w:t>
      </w:r>
    </w:p>
    <w:p>
      <w:pPr>
        <w:spacing w:after="140"/>
      </w:pPr>
      <w:r>
        <w:rPr>
          <w:rFonts w:ascii="Arial" w:cs="Arial" w:eastAsia="Arial" w:hAnsi="Arial"/>
          <w:sz w:val="20"/>
          <w:szCs w:val="20"/>
        </w:rPr>
        <w:t xml:space="preserve">[36] SaladCloud (2025). Flux Schnell Benchmark. blog.salad.com/flux1-schnell</w:t>
      </w:r>
    </w:p>
    <w:p>
      <w:pPr>
        <w:spacing w:after="140"/>
      </w:pPr>
      <w:r>
        <w:rPr>
          <w:rFonts w:ascii="Arial" w:cs="Arial" w:eastAsia="Arial" w:hAnsi="Arial"/>
          <w:sz w:val="20"/>
          <w:szCs w:val="20"/>
        </w:rPr>
        <w:t xml:space="preserve">[37] Artificial Analysis (2025). AI Image Generation Leaderboard. artificialanalysis.ai</w:t>
      </w:r>
    </w:p>
    <w:p>
      <w:pPr>
        <w:spacing w:after="140"/>
      </w:pPr>
      <w:r>
        <w:rPr>
          <w:rFonts w:ascii="Arial" w:cs="Arial" w:eastAsia="Arial" w:hAnsi="Arial"/>
          <w:sz w:val="20"/>
          <w:szCs w:val="20"/>
        </w:rPr>
        <w:t xml:space="preserve">[38] Alibaba Qwen Team (2026). Qwen-Image-2.0: Next-Generation Foundational Image Generation Model. qwen.ai/blog?id=qwen-image-2.0. Released Feb 10, 2026. Technical Report: Wu et al. (2025) arXiv:2508.02324. GitHub: github.com/QwenLM/Qwen-Image. HuggingFace: huggingface.co/Qwen/Qwen-Image. DPG-Bench 88.32; AI Arena #1 ELO for generation and editing.</w:t>
      </w:r>
    </w:p>
    <w:p>
      <w:pPr>
        <w:spacing w:after="140"/>
      </w:pPr>
      <w:r>
        <w:rPr>
          <w:rFonts w:ascii="Arial" w:cs="Arial" w:eastAsia="Arial" w:hAnsi="Arial"/>
          <w:sz w:val="20"/>
          <w:szCs w:val="20"/>
        </w:rPr>
        <w:t xml:space="preserve">[39] Alibaba Qwen Team (2025). Qwen-Image-Edit-2511: Enhanced Consistency Image Editing. qwen.ai/blog?id=qwen-image-edit-2511. Released Dec 23, 2025. HuggingFace weights: huggingface.co/Qwen/Qwen-Image-Edit-2511. Lightning distilled variant (4-step, 42.55× speedup): huggingface.co/lightx2v/Qwen-Image-Edit-2511-Lightning. LightX2V inference benchmarks: github.com/ModelTC/LightX2V. License: Apache 2.0.</w:t>
      </w:r>
    </w:p>
    <w:sectPr>
      <w:footerReference w:type="default" r:id="rId6"/>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Shenoy K, V.  |  What Drives Efficiency in Generative AI Inference?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2026-03-05T11:49:55.265Z</dcterms:created>
  <dcterms:modified xsi:type="dcterms:W3CDTF">2026-03-05T11:49:55.266Z</dcterms:modified>
</cp:coreProperties>
</file>

<file path=docProps/custom.xml><?xml version="1.0" encoding="utf-8"?>
<Properties xmlns="http://schemas.openxmlformats.org/officeDocument/2006/custom-properties" xmlns:vt="http://schemas.openxmlformats.org/officeDocument/2006/docPropsVTypes"/>
</file>