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20" w:after="0" w:line="240"/>
        <w:ind w:right="0" w:left="0" w:firstLine="0"/>
        <w:jc w:val="left"/>
        <w:rPr>
          <w:rFonts w:ascii="Proxima Nova" w:hAnsi="Proxima Nova" w:cs="Proxima Nova" w:eastAsia="Proxima Nova"/>
          <w:b/>
          <w:color w:val="4A86E8"/>
          <w:spacing w:val="0"/>
          <w:position w:val="0"/>
          <w:sz w:val="60"/>
          <w:shd w:fill="auto" w:val="clear"/>
        </w:rPr>
      </w:pPr>
      <w:r>
        <w:rPr>
          <w:rFonts w:ascii="Google Sans" w:hAnsi="Google Sans" w:cs="Google Sans" w:eastAsia="Google Sans"/>
          <w:b/>
          <w:color w:val="4A86E8"/>
          <w:spacing w:val="0"/>
          <w:position w:val="0"/>
          <w:sz w:val="60"/>
          <w:shd w:fill="auto" w:val="clear"/>
        </w:rPr>
        <w:t xml:space="preserve">Vulnerability Assessment Report</w:t>
      </w:r>
    </w:p>
    <w:p>
      <w:pPr>
        <w:spacing w:before="0" w:after="0" w:line="240"/>
        <w:ind w:right="0" w:left="0" w:firstLine="0"/>
        <w:jc w:val="left"/>
        <w:rPr>
          <w:rFonts w:ascii="Google Sans" w:hAnsi="Google Sans" w:cs="Google Sans" w:eastAsia="Google Sans"/>
          <w:b/>
          <w:color w:val="666666"/>
          <w:spacing w:val="0"/>
          <w:position w:val="0"/>
          <w:sz w:val="28"/>
          <w:shd w:fill="auto" w:val="clear"/>
        </w:rPr>
      </w:pPr>
      <w:r>
        <w:rPr>
          <w:rFonts w:ascii="Google Sans" w:hAnsi="Google Sans" w:cs="Google Sans" w:eastAsia="Google Sans"/>
          <w:b/>
          <w:color w:val="666666"/>
          <w:spacing w:val="0"/>
          <w:position w:val="0"/>
          <w:sz w:val="28"/>
          <w:shd w:fill="auto" w:val="clear"/>
        </w:rPr>
        <w:t xml:space="preserve">1</w:t>
      </w:r>
      <w:r>
        <w:rPr>
          <w:rFonts w:ascii="Google Sans" w:hAnsi="Google Sans" w:cs="Google Sans" w:eastAsia="Google Sans"/>
          <w:b/>
          <w:color w:val="666666"/>
          <w:spacing w:val="0"/>
          <w:position w:val="0"/>
          <w:sz w:val="28"/>
          <w:shd w:fill="auto" w:val="clear"/>
          <w:vertAlign w:val="superscript"/>
        </w:rPr>
        <w:t xml:space="preserve">st</w:t>
      </w:r>
      <w:r>
        <w:rPr>
          <w:rFonts w:ascii="Google Sans" w:hAnsi="Google Sans" w:cs="Google Sans" w:eastAsia="Google Sans"/>
          <w:b/>
          <w:color w:val="666666"/>
          <w:spacing w:val="0"/>
          <w:position w:val="0"/>
          <w:sz w:val="28"/>
          <w:shd w:fill="auto" w:val="clear"/>
        </w:rPr>
        <w:t xml:space="preserve"> MAY 2024</w:t>
      </w:r>
    </w:p>
    <w:p>
      <w:pPr>
        <w:spacing w:before="0" w:after="0" w:line="240"/>
        <w:ind w:right="0" w:left="0" w:firstLine="0"/>
        <w:jc w:val="left"/>
        <w:rPr>
          <w:rFonts w:ascii="Google Sans" w:hAnsi="Google Sans" w:cs="Google Sans" w:eastAsia="Google Sans"/>
          <w:b/>
          <w:color w:val="666666"/>
          <w:spacing w:val="0"/>
          <w:position w:val="0"/>
          <w:sz w:val="28"/>
          <w:shd w:fill="auto" w:val="clear"/>
        </w:rPr>
      </w:pPr>
    </w:p>
    <w:p>
      <w:pPr>
        <w:spacing w:before="480" w:after="0" w:line="240"/>
        <w:ind w:right="0" w:left="0" w:firstLine="0"/>
        <w:jc w:val="left"/>
        <w:rPr>
          <w:rFonts w:ascii="Proxima Nova" w:hAnsi="Proxima Nova" w:cs="Proxima Nova" w:eastAsia="Proxima Nova"/>
          <w:b/>
          <w:color w:val="353744"/>
          <w:spacing w:val="0"/>
          <w:position w:val="0"/>
          <w:sz w:val="28"/>
          <w:shd w:fill="auto" w:val="clear"/>
        </w:rPr>
      </w:pPr>
      <w:r>
        <w:rPr>
          <w:rFonts w:ascii="Proxima Nova" w:hAnsi="Proxima Nova" w:cs="Proxima Nova" w:eastAsia="Proxima Nova"/>
          <w:b/>
          <w:color w:val="353744"/>
          <w:spacing w:val="0"/>
          <w:position w:val="0"/>
          <w:sz w:val="28"/>
          <w:shd w:fill="auto" w:val="clear"/>
        </w:rPr>
        <w:t xml:space="preserve">System Description</w:t>
      </w:r>
    </w:p>
    <w:p>
      <w:pPr>
        <w:spacing w:before="200" w:after="0" w:line="312"/>
        <w:ind w:right="0" w:left="0" w:firstLine="0"/>
        <w:jc w:val="left"/>
        <w:rPr>
          <w:rFonts w:ascii="Google Sans" w:hAnsi="Google Sans" w:cs="Google Sans" w:eastAsia="Google Sans"/>
          <w:color w:val="353744"/>
          <w:spacing w:val="0"/>
          <w:position w:val="0"/>
          <w:sz w:val="22"/>
          <w:shd w:fill="auto" w:val="clear"/>
        </w:rPr>
      </w:pPr>
      <w:r>
        <w:rPr>
          <w:rFonts w:ascii="Google Sans" w:hAnsi="Google Sans" w:cs="Google Sans" w:eastAsia="Google Sans"/>
          <w:color w:val="353744"/>
          <w:spacing w:val="0"/>
          <w:position w:val="0"/>
          <w:sz w:val="22"/>
          <w:shd w:fill="auto" w:val="clear"/>
        </w:rPr>
        <w:t xml:space="preserve">The server hardware consists of a powerful CPU processor and 128GB of memory. It runs on the latest version of Linux operating system and hosts a MySQL database management system. It is configured with a stable network connection using IPv4 addresses and interacts with other servers on the network. Security measures include SSL/TLS encrypted connections.</w:t>
      </w:r>
    </w:p>
    <w:p>
      <w:pPr>
        <w:spacing w:before="480" w:after="0" w:line="240"/>
        <w:ind w:right="0" w:left="0" w:firstLine="0"/>
        <w:jc w:val="left"/>
        <w:rPr>
          <w:rFonts w:ascii="Proxima Nova" w:hAnsi="Proxima Nova" w:cs="Proxima Nova" w:eastAsia="Proxima Nova"/>
          <w:b/>
          <w:color w:val="353744"/>
          <w:spacing w:val="0"/>
          <w:position w:val="0"/>
          <w:sz w:val="28"/>
          <w:shd w:fill="auto" w:val="clear"/>
        </w:rPr>
      </w:pPr>
      <w:r>
        <w:rPr>
          <w:rFonts w:ascii="Proxima Nova" w:hAnsi="Proxima Nova" w:cs="Proxima Nova" w:eastAsia="Proxima Nova"/>
          <w:b/>
          <w:color w:val="353744"/>
          <w:spacing w:val="0"/>
          <w:position w:val="0"/>
          <w:sz w:val="28"/>
          <w:shd w:fill="auto" w:val="clear"/>
        </w:rPr>
        <w:t xml:space="preserve">Scope</w:t>
      </w:r>
    </w:p>
    <w:p>
      <w:pPr>
        <w:spacing w:before="200" w:after="0" w:line="312"/>
        <w:ind w:right="0" w:left="0" w:firstLine="0"/>
        <w:jc w:val="left"/>
        <w:rPr>
          <w:rFonts w:ascii="Google Sans" w:hAnsi="Google Sans" w:cs="Google Sans" w:eastAsia="Google Sans"/>
          <w:color w:val="353744"/>
          <w:spacing w:val="0"/>
          <w:position w:val="0"/>
          <w:sz w:val="22"/>
          <w:shd w:fill="auto" w:val="clear"/>
        </w:rPr>
      </w:pPr>
      <w:r>
        <w:rPr>
          <w:rFonts w:ascii="Google Sans" w:hAnsi="Google Sans" w:cs="Google Sans" w:eastAsia="Google Sans"/>
          <w:color w:val="353744"/>
          <w:spacing w:val="0"/>
          <w:position w:val="0"/>
          <w:sz w:val="22"/>
          <w:shd w:fill="auto" w:val="clear"/>
        </w:rPr>
        <w:t xml:space="preserve">The scope of this vulnerability assessment relates to the current access controls of the system. The assessment will cover a period of three months, from June 20XX to August 20XX. </w:t>
      </w:r>
      <w:hyperlink xmlns:r="http://schemas.openxmlformats.org/officeDocument/2006/relationships" r:id="docRId0">
        <w:r>
          <w:rPr>
            <w:rFonts w:ascii="Google Sans" w:hAnsi="Google Sans" w:cs="Google Sans" w:eastAsia="Google Sans"/>
            <w:color w:val="1155CC"/>
            <w:spacing w:val="0"/>
            <w:position w:val="0"/>
            <w:sz w:val="22"/>
            <w:u w:val="single"/>
            <w:shd w:fill="auto" w:val="clear"/>
          </w:rPr>
          <w:t xml:space="preserve">NIST SP 800-30 Rev. 1</w:t>
        </w:r>
      </w:hyperlink>
      <w:r>
        <w:rPr>
          <w:rFonts w:ascii="Google Sans" w:hAnsi="Google Sans" w:cs="Google Sans" w:eastAsia="Google Sans"/>
          <w:color w:val="353744"/>
          <w:spacing w:val="0"/>
          <w:position w:val="0"/>
          <w:sz w:val="22"/>
          <w:shd w:fill="auto" w:val="clear"/>
        </w:rPr>
        <w:t xml:space="preserve"> is used to guide the risk analysis of the information system.</w:t>
      </w:r>
    </w:p>
    <w:p>
      <w:pPr>
        <w:spacing w:before="480" w:after="0" w:line="240"/>
        <w:ind w:right="0" w:left="0" w:firstLine="0"/>
        <w:jc w:val="left"/>
        <w:rPr>
          <w:rFonts w:ascii="Proxima Nova" w:hAnsi="Proxima Nova" w:cs="Proxima Nova" w:eastAsia="Proxima Nova"/>
          <w:b/>
          <w:color w:val="353744"/>
          <w:spacing w:val="0"/>
          <w:position w:val="0"/>
          <w:sz w:val="28"/>
          <w:shd w:fill="auto" w:val="clear"/>
        </w:rPr>
      </w:pPr>
      <w:r>
        <w:rPr>
          <w:rFonts w:ascii="Proxima Nova" w:hAnsi="Proxima Nova" w:cs="Proxima Nova" w:eastAsia="Proxima Nova"/>
          <w:b/>
          <w:color w:val="353744"/>
          <w:spacing w:val="0"/>
          <w:position w:val="0"/>
          <w:sz w:val="28"/>
          <w:shd w:fill="auto" w:val="clear"/>
        </w:rPr>
        <w:t xml:space="preserve">Purpose</w:t>
      </w:r>
    </w:p>
    <w:p>
      <w:pPr>
        <w:spacing w:before="200" w:after="0" w:line="312"/>
        <w:ind w:right="0" w:left="0" w:firstLine="0"/>
        <w:jc w:val="left"/>
        <w:rPr>
          <w:rFonts w:ascii="Google Sans" w:hAnsi="Google Sans" w:cs="Google Sans" w:eastAsia="Google Sans"/>
          <w:color w:val="353744"/>
          <w:spacing w:val="0"/>
          <w:position w:val="0"/>
          <w:sz w:val="22"/>
          <w:shd w:fill="auto" w:val="clear"/>
        </w:rPr>
      </w:pPr>
      <w:r>
        <w:rPr>
          <w:rFonts w:ascii="Google Sans" w:hAnsi="Google Sans" w:cs="Google Sans" w:eastAsia="Google Sans"/>
          <w:color w:val="353744"/>
          <w:spacing w:val="0"/>
          <w:position w:val="0"/>
          <w:sz w:val="22"/>
          <w:shd w:fill="auto" w:val="clear"/>
        </w:rPr>
        <w:t xml:space="preserve">The database server is a centralized computer system that stores and manages large amounts of data. The server is used to store customer, campaign, and analytic data that can later be analyzed to track performance and personalize marketing efforts. It is critical to secure the system because of its regular use for marketing operations.</w:t>
      </w:r>
    </w:p>
    <w:p>
      <w:pPr>
        <w:spacing w:before="480" w:after="0" w:line="240"/>
        <w:ind w:right="0" w:left="0" w:firstLine="0"/>
        <w:jc w:val="left"/>
        <w:rPr>
          <w:rFonts w:ascii="Proxima Nova" w:hAnsi="Proxima Nova" w:cs="Proxima Nova" w:eastAsia="Proxima Nova"/>
          <w:b/>
          <w:color w:val="353744"/>
          <w:spacing w:val="0"/>
          <w:position w:val="0"/>
          <w:sz w:val="28"/>
          <w:shd w:fill="auto" w:val="clear"/>
        </w:rPr>
      </w:pPr>
      <w:r>
        <w:rPr>
          <w:rFonts w:ascii="Proxima Nova" w:hAnsi="Proxima Nova" w:cs="Proxima Nova" w:eastAsia="Proxima Nova"/>
          <w:b/>
          <w:color w:val="353744"/>
          <w:spacing w:val="0"/>
          <w:position w:val="0"/>
          <w:sz w:val="28"/>
          <w:shd w:fill="auto" w:val="clear"/>
        </w:rPr>
        <w:t xml:space="preserve">Risk Assessment</w:t>
      </w:r>
    </w:p>
    <w:p>
      <w:pPr>
        <w:spacing w:before="200" w:after="0" w:line="312"/>
        <w:ind w:right="0" w:left="0" w:firstLine="0"/>
        <w:jc w:val="left"/>
        <w:rPr>
          <w:rFonts w:ascii="Google Sans" w:hAnsi="Google Sans" w:cs="Google Sans" w:eastAsia="Google Sans"/>
          <w:color w:val="353744"/>
          <w:spacing w:val="0"/>
          <w:position w:val="0"/>
          <w:sz w:val="22"/>
          <w:shd w:fill="auto" w:val="clear"/>
        </w:rPr>
      </w:pPr>
    </w:p>
    <w:tbl>
      <w:tblPr/>
      <w:tblGrid>
        <w:gridCol w:w="1860"/>
        <w:gridCol w:w="3615"/>
        <w:gridCol w:w="1395"/>
        <w:gridCol w:w="1320"/>
        <w:gridCol w:w="1110"/>
      </w:tblGrid>
      <w:tr>
        <w:trPr>
          <w:trHeight w:val="1" w:hRule="atLeast"/>
          <w:jc w:val="left"/>
        </w:trPr>
        <w:tc>
          <w:tcPr>
            <w:tcW w:w="1860" w:type="dxa"/>
            <w:tcBorders>
              <w:top w:val="single" w:color="000000" w:sz="8"/>
              <w:left w:val="single" w:color="000000" w:sz="8"/>
              <w:bottom w:val="single" w:color="000000" w:sz="8"/>
              <w:right w:val="single" w:color="000000" w:sz="8"/>
            </w:tcBorders>
            <w:shd w:color="000000" w:fill="c9daf8"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Google Sans" w:hAnsi="Google Sans" w:cs="Google Sans" w:eastAsia="Google Sans"/>
                <w:b/>
                <w:color w:val="353744"/>
                <w:spacing w:val="0"/>
                <w:position w:val="0"/>
                <w:sz w:val="22"/>
                <w:shd w:fill="auto" w:val="clear"/>
              </w:rPr>
              <w:t xml:space="preserve">Threat source</w:t>
            </w:r>
          </w:p>
        </w:tc>
        <w:tc>
          <w:tcPr>
            <w:tcW w:w="3615" w:type="dxa"/>
            <w:tcBorders>
              <w:top w:val="single" w:color="000000" w:sz="8"/>
              <w:left w:val="single" w:color="000000" w:sz="8"/>
              <w:bottom w:val="single" w:color="000000" w:sz="8"/>
              <w:right w:val="single" w:color="000000" w:sz="8"/>
            </w:tcBorders>
            <w:shd w:color="000000" w:fill="c9daf8"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Google Sans" w:hAnsi="Google Sans" w:cs="Google Sans" w:eastAsia="Google Sans"/>
                <w:b/>
                <w:color w:val="353744"/>
                <w:spacing w:val="0"/>
                <w:position w:val="0"/>
                <w:sz w:val="22"/>
                <w:shd w:fill="auto" w:val="clear"/>
              </w:rPr>
              <w:t xml:space="preserve">Threat event</w:t>
            </w:r>
          </w:p>
        </w:tc>
        <w:tc>
          <w:tcPr>
            <w:tcW w:w="1395" w:type="dxa"/>
            <w:tcBorders>
              <w:top w:val="single" w:color="000000" w:sz="8"/>
              <w:left w:val="single" w:color="000000" w:sz="8"/>
              <w:bottom w:val="single" w:color="000000" w:sz="8"/>
              <w:right w:val="single" w:color="000000" w:sz="8"/>
            </w:tcBorders>
            <w:shd w:color="000000" w:fill="c9daf8"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Google Sans" w:hAnsi="Google Sans" w:cs="Google Sans" w:eastAsia="Google Sans"/>
                <w:b/>
                <w:color w:val="353744"/>
                <w:spacing w:val="0"/>
                <w:position w:val="0"/>
                <w:sz w:val="22"/>
                <w:shd w:fill="auto" w:val="clear"/>
              </w:rPr>
              <w:t xml:space="preserve">Likelihood</w:t>
            </w:r>
          </w:p>
        </w:tc>
        <w:tc>
          <w:tcPr>
            <w:tcW w:w="1320" w:type="dxa"/>
            <w:tcBorders>
              <w:top w:val="single" w:color="000000" w:sz="8"/>
              <w:left w:val="single" w:color="000000" w:sz="8"/>
              <w:bottom w:val="single" w:color="000000" w:sz="8"/>
              <w:right w:val="single" w:color="000000" w:sz="8"/>
            </w:tcBorders>
            <w:shd w:color="000000" w:fill="c9daf8"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Google Sans" w:hAnsi="Google Sans" w:cs="Google Sans" w:eastAsia="Google Sans"/>
                <w:b/>
                <w:color w:val="353744"/>
                <w:spacing w:val="0"/>
                <w:position w:val="0"/>
                <w:sz w:val="22"/>
                <w:shd w:fill="auto" w:val="clear"/>
              </w:rPr>
              <w:t xml:space="preserve">Severity</w:t>
            </w:r>
          </w:p>
        </w:tc>
        <w:tc>
          <w:tcPr>
            <w:tcW w:w="1110" w:type="dxa"/>
            <w:tcBorders>
              <w:top w:val="single" w:color="000000" w:sz="8"/>
              <w:left w:val="single" w:color="000000" w:sz="8"/>
              <w:bottom w:val="single" w:color="000000" w:sz="8"/>
              <w:right w:val="single" w:color="000000" w:sz="8"/>
            </w:tcBorders>
            <w:shd w:color="000000" w:fill="c9daf8"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Google Sans" w:hAnsi="Google Sans" w:cs="Google Sans" w:eastAsia="Google Sans"/>
                <w:b/>
                <w:color w:val="353744"/>
                <w:spacing w:val="0"/>
                <w:position w:val="0"/>
                <w:sz w:val="22"/>
                <w:shd w:fill="auto" w:val="clear"/>
              </w:rPr>
              <w:t xml:space="preserve">Risk</w:t>
            </w:r>
          </w:p>
        </w:tc>
      </w:tr>
      <w:tr>
        <w:trPr>
          <w:trHeight w:val="1" w:hRule="atLeast"/>
          <w:jc w:val="left"/>
        </w:trPr>
        <w:tc>
          <w:tcPr>
            <w:tcW w:w="18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Google Sans" w:hAnsi="Google Sans" w:cs="Google Sans" w:eastAsia="Google Sans"/>
                <w:i/>
                <w:color w:val="353744"/>
                <w:spacing w:val="0"/>
                <w:position w:val="0"/>
                <w:sz w:val="22"/>
                <w:shd w:fill="auto" w:val="clear"/>
              </w:rPr>
              <w:t xml:space="preserve">Hacker</w:t>
            </w:r>
          </w:p>
        </w:tc>
        <w:tc>
          <w:tcPr>
            <w:tcW w:w="36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Google Sans" w:hAnsi="Google Sans" w:cs="Google Sans" w:eastAsia="Google Sans"/>
                <w:i/>
                <w:color w:val="353744"/>
                <w:spacing w:val="0"/>
                <w:position w:val="0"/>
                <w:sz w:val="22"/>
                <w:shd w:fill="auto" w:val="clear"/>
              </w:rPr>
              <w:t xml:space="preserve">Obtain sensitive information via exfiltration</w:t>
            </w:r>
          </w:p>
        </w:tc>
        <w:tc>
          <w:tcPr>
            <w:tcW w:w="13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Google Sans" w:hAnsi="Google Sans" w:cs="Google Sans" w:eastAsia="Google Sans"/>
                <w:i/>
                <w:color w:val="353744"/>
                <w:spacing w:val="0"/>
                <w:position w:val="0"/>
                <w:sz w:val="22"/>
                <w:shd w:fill="auto" w:val="clear"/>
              </w:rPr>
              <w:t xml:space="preserve">3</w:t>
            </w:r>
          </w:p>
        </w:tc>
        <w:tc>
          <w:tcPr>
            <w:tcW w:w="13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Google Sans" w:hAnsi="Google Sans" w:cs="Google Sans" w:eastAsia="Google Sans"/>
                <w:i/>
                <w:color w:val="353744"/>
                <w:spacing w:val="0"/>
                <w:position w:val="0"/>
                <w:sz w:val="22"/>
                <w:shd w:fill="auto" w:val="clear"/>
              </w:rPr>
              <w:t xml:space="preserve">3</w:t>
            </w:r>
          </w:p>
        </w:tc>
        <w:tc>
          <w:tcPr>
            <w:tcW w:w="111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Google Sans" w:hAnsi="Google Sans" w:cs="Google Sans" w:eastAsia="Google Sans"/>
                <w:i/>
                <w:color w:val="353744"/>
                <w:spacing w:val="0"/>
                <w:position w:val="0"/>
                <w:sz w:val="22"/>
                <w:shd w:fill="auto" w:val="clear"/>
              </w:rPr>
              <w:t xml:space="preserve">9</w:t>
            </w:r>
          </w:p>
        </w:tc>
      </w:tr>
      <w:tr>
        <w:trPr>
          <w:trHeight w:val="1" w:hRule="atLeast"/>
          <w:jc w:val="left"/>
        </w:trPr>
        <w:tc>
          <w:tcPr>
            <w:tcW w:w="18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Google Sans" w:hAnsi="Google Sans" w:cs="Google Sans" w:eastAsia="Google Sans"/>
                <w:i/>
                <w:color w:val="353744"/>
                <w:spacing w:val="0"/>
                <w:position w:val="0"/>
                <w:sz w:val="22"/>
                <w:shd w:fill="auto" w:val="clear"/>
              </w:rPr>
              <w:t xml:space="preserve">Employee</w:t>
            </w:r>
          </w:p>
        </w:tc>
        <w:tc>
          <w:tcPr>
            <w:tcW w:w="36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Google Sans" w:hAnsi="Google Sans" w:cs="Google Sans" w:eastAsia="Google Sans"/>
                <w:i/>
                <w:color w:val="353744"/>
                <w:spacing w:val="0"/>
                <w:position w:val="0"/>
                <w:sz w:val="22"/>
                <w:shd w:fill="auto" w:val="clear"/>
              </w:rPr>
              <w:t xml:space="preserve">Disrupt mission-critical operations</w:t>
            </w:r>
          </w:p>
        </w:tc>
        <w:tc>
          <w:tcPr>
            <w:tcW w:w="13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Google Sans" w:hAnsi="Google Sans" w:cs="Google Sans" w:eastAsia="Google Sans"/>
                <w:i/>
                <w:color w:val="353744"/>
                <w:spacing w:val="0"/>
                <w:position w:val="0"/>
                <w:sz w:val="22"/>
                <w:shd w:fill="auto" w:val="clear"/>
              </w:rPr>
              <w:t xml:space="preserve">2</w:t>
            </w:r>
          </w:p>
        </w:tc>
        <w:tc>
          <w:tcPr>
            <w:tcW w:w="13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Google Sans" w:hAnsi="Google Sans" w:cs="Google Sans" w:eastAsia="Google Sans"/>
                <w:i/>
                <w:color w:val="353744"/>
                <w:spacing w:val="0"/>
                <w:position w:val="0"/>
                <w:sz w:val="22"/>
                <w:shd w:fill="auto" w:val="clear"/>
              </w:rPr>
              <w:t xml:space="preserve">3</w:t>
            </w:r>
          </w:p>
        </w:tc>
        <w:tc>
          <w:tcPr>
            <w:tcW w:w="111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Google Sans" w:hAnsi="Google Sans" w:cs="Google Sans" w:eastAsia="Google Sans"/>
                <w:i/>
                <w:color w:val="353744"/>
                <w:spacing w:val="0"/>
                <w:position w:val="0"/>
                <w:sz w:val="22"/>
                <w:shd w:fill="auto" w:val="clear"/>
              </w:rPr>
              <w:t xml:space="preserve">6</w:t>
            </w:r>
          </w:p>
        </w:tc>
      </w:tr>
      <w:tr>
        <w:trPr>
          <w:trHeight w:val="1" w:hRule="atLeast"/>
          <w:jc w:val="left"/>
        </w:trPr>
        <w:tc>
          <w:tcPr>
            <w:tcW w:w="18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Google Sans" w:hAnsi="Google Sans" w:cs="Google Sans" w:eastAsia="Google Sans"/>
                <w:i/>
                <w:color w:val="353744"/>
                <w:spacing w:val="0"/>
                <w:position w:val="0"/>
                <w:sz w:val="22"/>
                <w:shd w:fill="auto" w:val="clear"/>
              </w:rPr>
              <w:t xml:space="preserve">Customer</w:t>
            </w:r>
          </w:p>
        </w:tc>
        <w:tc>
          <w:tcPr>
            <w:tcW w:w="36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Google Sans" w:hAnsi="Google Sans" w:cs="Google Sans" w:eastAsia="Google Sans"/>
                <w:i/>
                <w:color w:val="353744"/>
                <w:spacing w:val="0"/>
                <w:position w:val="0"/>
                <w:sz w:val="22"/>
                <w:shd w:fill="auto" w:val="clear"/>
              </w:rPr>
              <w:t xml:space="preserve">Alter/Delete critical information</w:t>
            </w:r>
          </w:p>
        </w:tc>
        <w:tc>
          <w:tcPr>
            <w:tcW w:w="13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Google Sans" w:hAnsi="Google Sans" w:cs="Google Sans" w:eastAsia="Google Sans"/>
                <w:i/>
                <w:color w:val="353744"/>
                <w:spacing w:val="0"/>
                <w:position w:val="0"/>
                <w:sz w:val="22"/>
                <w:shd w:fill="auto" w:val="clear"/>
              </w:rPr>
              <w:t xml:space="preserve">1</w:t>
            </w:r>
          </w:p>
        </w:tc>
        <w:tc>
          <w:tcPr>
            <w:tcW w:w="13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Google Sans" w:hAnsi="Google Sans" w:cs="Google Sans" w:eastAsia="Google Sans"/>
                <w:i/>
                <w:color w:val="353744"/>
                <w:spacing w:val="0"/>
                <w:position w:val="0"/>
                <w:sz w:val="22"/>
                <w:shd w:fill="auto" w:val="clear"/>
              </w:rPr>
              <w:t xml:space="preserve">3</w:t>
            </w:r>
          </w:p>
        </w:tc>
        <w:tc>
          <w:tcPr>
            <w:tcW w:w="111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Google Sans" w:hAnsi="Google Sans" w:cs="Google Sans" w:eastAsia="Google Sans"/>
                <w:i/>
                <w:color w:val="353744"/>
                <w:spacing w:val="0"/>
                <w:position w:val="0"/>
                <w:sz w:val="22"/>
                <w:shd w:fill="auto" w:val="clear"/>
              </w:rPr>
              <w:t xml:space="preserve">3</w:t>
            </w:r>
          </w:p>
        </w:tc>
      </w:tr>
    </w:tbl>
    <w:p>
      <w:pPr>
        <w:spacing w:before="200" w:after="0" w:line="312"/>
        <w:ind w:right="0" w:left="0" w:firstLine="0"/>
        <w:jc w:val="left"/>
        <w:rPr>
          <w:rFonts w:ascii="Google Sans" w:hAnsi="Google Sans" w:cs="Google Sans" w:eastAsia="Google Sans"/>
          <w:color w:val="353744"/>
          <w:spacing w:val="0"/>
          <w:position w:val="0"/>
          <w:sz w:val="22"/>
          <w:shd w:fill="auto" w:val="clear"/>
        </w:rPr>
      </w:pPr>
    </w:p>
    <w:p>
      <w:pPr>
        <w:spacing w:before="480" w:after="0" w:line="240"/>
        <w:ind w:right="0" w:left="0" w:firstLine="0"/>
        <w:jc w:val="left"/>
        <w:rPr>
          <w:rFonts w:ascii="Proxima Nova" w:hAnsi="Proxima Nova" w:cs="Proxima Nova" w:eastAsia="Proxima Nova"/>
          <w:b/>
          <w:color w:val="353744"/>
          <w:spacing w:val="0"/>
          <w:position w:val="0"/>
          <w:sz w:val="28"/>
          <w:shd w:fill="auto" w:val="clear"/>
        </w:rPr>
      </w:pPr>
      <w:r>
        <w:rPr>
          <w:rFonts w:ascii="Proxima Nova" w:hAnsi="Proxima Nova" w:cs="Proxima Nova" w:eastAsia="Proxima Nova"/>
          <w:b/>
          <w:color w:val="353744"/>
          <w:spacing w:val="0"/>
          <w:position w:val="0"/>
          <w:sz w:val="28"/>
          <w:shd w:fill="auto" w:val="clear"/>
        </w:rPr>
        <w:t xml:space="preserve">Approach</w:t>
      </w:r>
    </w:p>
    <w:p>
      <w:pPr>
        <w:spacing w:before="200" w:after="0" w:line="312"/>
        <w:ind w:right="0" w:left="0" w:firstLine="0"/>
        <w:jc w:val="left"/>
        <w:rPr>
          <w:rFonts w:ascii="Google Sans" w:hAnsi="Google Sans" w:cs="Google Sans" w:eastAsia="Google Sans"/>
          <w:color w:val="353744"/>
          <w:spacing w:val="0"/>
          <w:position w:val="0"/>
          <w:sz w:val="22"/>
          <w:shd w:fill="auto" w:val="clear"/>
        </w:rPr>
      </w:pPr>
      <w:r>
        <w:rPr>
          <w:rFonts w:ascii="Google Sans" w:hAnsi="Google Sans" w:cs="Google Sans" w:eastAsia="Google Sans"/>
          <w:color w:val="353744"/>
          <w:spacing w:val="0"/>
          <w:position w:val="0"/>
          <w:sz w:val="22"/>
          <w:shd w:fill="auto" w:val="clear"/>
        </w:rPr>
        <w:t xml:space="preserve">Risks that were measured considered the data storage and management procedures of the business. Potential threat sources and events were determined using the likelihood of a security incident given the open access permissions of the information system. The severity of potential incidents were weighed against the impact on day-to-day operational needs.</w:t>
      </w:r>
    </w:p>
    <w:p>
      <w:pPr>
        <w:spacing w:before="480" w:after="0" w:line="240"/>
        <w:ind w:right="0" w:left="0" w:firstLine="0"/>
        <w:jc w:val="left"/>
        <w:rPr>
          <w:rFonts w:ascii="Proxima Nova" w:hAnsi="Proxima Nova" w:cs="Proxima Nova" w:eastAsia="Proxima Nova"/>
          <w:b/>
          <w:color w:val="353744"/>
          <w:spacing w:val="0"/>
          <w:position w:val="0"/>
          <w:sz w:val="28"/>
          <w:shd w:fill="auto" w:val="clear"/>
        </w:rPr>
      </w:pPr>
      <w:r>
        <w:rPr>
          <w:rFonts w:ascii="Proxima Nova" w:hAnsi="Proxima Nova" w:cs="Proxima Nova" w:eastAsia="Proxima Nova"/>
          <w:b/>
          <w:color w:val="353744"/>
          <w:spacing w:val="0"/>
          <w:position w:val="0"/>
          <w:sz w:val="28"/>
          <w:shd w:fill="auto" w:val="clear"/>
        </w:rPr>
        <w:t xml:space="preserve">Remediation Strategy</w:t>
      </w:r>
    </w:p>
    <w:p>
      <w:pPr>
        <w:spacing w:before="200" w:after="0" w:line="312"/>
        <w:ind w:right="0" w:left="0" w:firstLine="0"/>
        <w:jc w:val="left"/>
        <w:rPr>
          <w:rFonts w:ascii="Google Sans" w:hAnsi="Google Sans" w:cs="Google Sans" w:eastAsia="Google Sans"/>
          <w:color w:val="353744"/>
          <w:spacing w:val="0"/>
          <w:position w:val="0"/>
          <w:sz w:val="22"/>
          <w:shd w:fill="auto" w:val="clear"/>
        </w:rPr>
      </w:pPr>
      <w:r>
        <w:rPr>
          <w:rFonts w:ascii="Google Sans" w:hAnsi="Google Sans" w:cs="Google Sans" w:eastAsia="Google Sans"/>
          <w:color w:val="353744"/>
          <w:spacing w:val="0"/>
          <w:position w:val="0"/>
          <w:sz w:val="22"/>
          <w:shd w:fill="auto" w:val="clear"/>
        </w:rPr>
        <w:t xml:space="preserve">Implementation of authentication, authorization, and auditing mechanisms to ensure that only authorized users access the database server. This includes using strong passwords, role-based access controls, and multi-factor authentication to limit user privileges. Encryption of data in motion using TLS instead of SSL. IP allow-listing to corporate offices to prevent random users from the internet from connecting to the database.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ocs.google.com/document/d/1pRpdpQMEWskxSkwqEMv8W7A7x8GXQlcn0hEcDzWet3Y/template/preview?resourcekey=0-3GRRWAd8HryVgof-Jc33yA"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