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2"/>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R-3.8</w:t>
            </w:r>
          </w:p>
        </w:tc>
        <w:tc>
          <w:tcPr>
            <w:tcBorders>
              <w:bottom w:color="000000" w:space="0" w:sz="4" w:val="single"/>
            </w:tcBorders>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3.8</w:t>
            </w:r>
          </w:p>
        </w:tc>
        <w:tc>
          <w:tcPr>
            <w:gridSpan w:val="2"/>
            <w:tcBorders>
              <w:bottom w:color="000000" w:space="0" w:sz="4" w:val="single"/>
            </w:tcBorders>
          </w:tcPr>
          <w:p w:rsidR="00000000" w:rsidDel="00000000" w:rsidP="00000000" w:rsidRDefault="00000000" w:rsidRPr="00000000" w14:paraId="0000000E">
            <w:pPr>
              <w:widowControl w:val="1"/>
              <w:rPr>
                <w:rFonts w:ascii="Arial" w:cs="Arial" w:eastAsia="Arial" w:hAnsi="Arial"/>
              </w:rPr>
            </w:pPr>
            <w:r w:rsidDel="00000000" w:rsidR="00000000" w:rsidRPr="00000000">
              <w:rPr>
                <w:rFonts w:ascii="Arial" w:cs="Arial" w:eastAsia="Arial" w:hAnsi="Arial"/>
                <w:rtl w:val="0"/>
              </w:rPr>
              <w:t xml:space="preserve">Novena reunión del Proyecto de la fase 3</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Felipe Vega</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Arial" w:cs="Arial" w:eastAsia="Arial" w:hAnsi="Arial"/>
              </w:rPr>
            </w:pPr>
            <w:r w:rsidDel="00000000" w:rsidR="00000000" w:rsidRPr="00000000">
              <w:rPr>
                <w:rFonts w:ascii="Tahoma" w:cs="Tahoma" w:eastAsia="Tahoma" w:hAnsi="Tahoma"/>
                <w:rtl w:val="0"/>
              </w:rPr>
              <w:t xml:space="preserve">04/12/2024</w:t>
            </w: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RescateSoft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10.000000000002" w:type="dxa"/>
        <w:jc w:val="left"/>
        <w:tblInd w:w="-127.0" w:type="dxa"/>
        <w:tblLayout w:type="fixed"/>
        <w:tblLook w:val="0000"/>
      </w:tblPr>
      <w:tblGrid>
        <w:gridCol w:w="3470.0000000000005"/>
        <w:gridCol w:w="3470.0000000000005"/>
        <w:gridCol w:w="3470.0000000000005"/>
        <w:tblGridChange w:id="0">
          <w:tblGrid>
            <w:gridCol w:w="3470.0000000000005"/>
            <w:gridCol w:w="3470.0000000000005"/>
            <w:gridCol w:w="3470.0000000000005"/>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F">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2">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3">
            <w:pPr>
              <w:numPr>
                <w:ilvl w:val="5"/>
                <w:numId w:val="2"/>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4">
            <w:pPr>
              <w:rPr>
                <w:rFonts w:ascii="Tahoma" w:cs="Tahoma" w:eastAsia="Tahoma" w:hAnsi="Tahoma"/>
                <w:color w:val="0000ff"/>
                <w:u w:val="single"/>
              </w:rPr>
            </w:pPr>
            <w:r w:rsidDel="00000000" w:rsidR="00000000" w:rsidRPr="00000000">
              <w:rPr>
                <w:rtl w:val="0"/>
              </w:rPr>
            </w:r>
          </w:p>
        </w:tc>
      </w:tr>
      <w:tr>
        <w:trPr>
          <w:cantSplit w:val="0"/>
          <w:trHeight w:val="374.94140624999994"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Luis Valenzuela</w:t>
            </w:r>
          </w:p>
          <w:p w:rsidR="00000000" w:rsidDel="00000000" w:rsidP="00000000" w:rsidRDefault="00000000" w:rsidRPr="00000000" w14:paraId="00000026">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Víctor Reyes</w:t>
            </w:r>
          </w:p>
          <w:p w:rsidR="00000000" w:rsidDel="00000000" w:rsidP="00000000" w:rsidRDefault="00000000" w:rsidRPr="00000000" w14:paraId="00000027">
            <w:pPr>
              <w:numPr>
                <w:ilvl w:val="5"/>
                <w:numId w:val="2"/>
              </w:numPr>
              <w:ind w:left="0" w:firstLine="0"/>
              <w:jc w:val="center"/>
              <w:rPr>
                <w:rFonts w:ascii="Arial" w:cs="Arial" w:eastAsia="Arial" w:hAnsi="Arial"/>
              </w:rPr>
            </w:pPr>
            <w:r w:rsidDel="00000000" w:rsidR="00000000" w:rsidRPr="00000000">
              <w:rPr>
                <w:rFonts w:ascii="Arial" w:cs="Arial" w:eastAsia="Arial" w:hAnsi="Arial"/>
                <w:rtl w:val="0"/>
              </w:rPr>
              <w:t xml:space="preserve">Felipe Vega</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8">
            <w:pPr>
              <w:numPr>
                <w:ilvl w:val="5"/>
                <w:numId w:val="2"/>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6.5 Labs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rPr>
                <w:rFonts w:ascii="Arial" w:cs="Arial" w:eastAsia="Arial" w:hAnsi="Arial"/>
                <w:color w:val="0000ff"/>
                <w:u w:val="single"/>
              </w:rPr>
            </w:pPr>
            <w:hyperlink r:id="rId7">
              <w:r w:rsidDel="00000000" w:rsidR="00000000" w:rsidRPr="00000000">
                <w:rPr>
                  <w:rFonts w:ascii="Arial" w:cs="Arial" w:eastAsia="Arial" w:hAnsi="Arial"/>
                  <w:color w:val="1155cc"/>
                  <w:u w:val="single"/>
                  <w:rtl w:val="0"/>
                </w:rPr>
                <w:t xml:space="preserve">lur.valenzuela@duocuc.cl</w:t>
              </w:r>
            </w:hyperlink>
            <w:r w:rsidDel="00000000" w:rsidR="00000000" w:rsidRPr="00000000">
              <w:rPr>
                <w:rtl w:val="0"/>
              </w:rPr>
            </w:r>
          </w:p>
          <w:p w:rsidR="00000000" w:rsidDel="00000000" w:rsidP="00000000" w:rsidRDefault="00000000" w:rsidRPr="00000000" w14:paraId="0000002A">
            <w:pPr>
              <w:rPr>
                <w:rFonts w:ascii="Arial" w:cs="Arial" w:eastAsia="Arial" w:hAnsi="Arial"/>
                <w:color w:val="0000ff"/>
                <w:u w:val="single"/>
              </w:rPr>
            </w:pPr>
            <w:hyperlink r:id="rId8">
              <w:r w:rsidDel="00000000" w:rsidR="00000000" w:rsidRPr="00000000">
                <w:rPr>
                  <w:rFonts w:ascii="Arial" w:cs="Arial" w:eastAsia="Arial" w:hAnsi="Arial"/>
                  <w:color w:val="1155cc"/>
                  <w:u w:val="single"/>
                  <w:rtl w:val="0"/>
                </w:rPr>
                <w:t xml:space="preserve">vi.reyesp@duocuc.cl</w:t>
              </w:r>
            </w:hyperlink>
            <w:r w:rsidDel="00000000" w:rsidR="00000000" w:rsidRPr="00000000">
              <w:rPr>
                <w:rtl w:val="0"/>
              </w:rPr>
            </w:r>
          </w:p>
          <w:p w:rsidR="00000000" w:rsidDel="00000000" w:rsidP="00000000" w:rsidRDefault="00000000" w:rsidRPr="00000000" w14:paraId="0000002B">
            <w:pPr>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fel.vegag@duouc.cl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2"/>
              </w:numPr>
              <w:ind w:left="0" w:firstLine="0"/>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F">
            <w:pPr>
              <w:numPr>
                <w:ilvl w:val="5"/>
                <w:numId w:val="2"/>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2"/>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10.0" w:type="dxa"/>
        <w:jc w:val="left"/>
        <w:tblInd w:w="-9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10"/>
        <w:tblGridChange w:id="0">
          <w:tblGrid>
            <w:gridCol w:w="10410"/>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3">
            <w:pPr>
              <w:numPr>
                <w:ilvl w:val="5"/>
                <w:numId w:val="2"/>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4">
            <w:pPr>
              <w:numPr>
                <w:ilvl w:val="0"/>
                <w:numId w:val="1"/>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Finalización del plan de pruebas, abarcando todos los escenarios previstos.</w:t>
            </w:r>
          </w:p>
          <w:p w:rsidR="00000000" w:rsidDel="00000000" w:rsidP="00000000" w:rsidRDefault="00000000" w:rsidRPr="00000000" w14:paraId="00000035">
            <w:pPr>
              <w:numPr>
                <w:ilvl w:val="0"/>
                <w:numId w:val="1"/>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Continuación con la elaboración y ajuste de la documentación grupal: manual de usuario, informe final y demás documentos.</w:t>
            </w:r>
          </w:p>
          <w:p w:rsidR="00000000" w:rsidDel="00000000" w:rsidP="00000000" w:rsidRDefault="00000000" w:rsidRPr="00000000" w14:paraId="00000036">
            <w:pPr>
              <w:numPr>
                <w:ilvl w:val="0"/>
                <w:numId w:val="1"/>
              </w:numPr>
              <w:tabs>
                <w:tab w:val="center" w:leader="none" w:pos="4320"/>
                <w:tab w:val="right" w:leader="none" w:pos="8640"/>
              </w:tabs>
              <w:spacing w:after="12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Planificación de la validación general de los entregables del proyecto.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A">
            <w:pPr>
              <w:spacing w:after="240" w:before="240" w:lineRule="auto"/>
              <w:rPr>
                <w:rFonts w:ascii="Arial" w:cs="Arial" w:eastAsia="Arial" w:hAnsi="Arial"/>
              </w:rPr>
            </w:pPr>
            <w:r w:rsidDel="00000000" w:rsidR="00000000" w:rsidRPr="00000000">
              <w:rPr>
                <w:rFonts w:ascii="Arial" w:cs="Arial" w:eastAsia="Arial" w:hAnsi="Arial"/>
                <w:rtl w:val="0"/>
              </w:rPr>
              <w:t xml:space="preserve">Durante esta sesión se logró completar exitosamente el plan de pruebas del sistema, incluyendo la validación de todos los casos de uso definidos y asegurando la funcionalidad completa de los módulos implementados.</w:t>
            </w:r>
          </w:p>
          <w:p w:rsidR="00000000" w:rsidDel="00000000" w:rsidP="00000000" w:rsidRDefault="00000000" w:rsidRPr="00000000" w14:paraId="0000003B">
            <w:pPr>
              <w:spacing w:after="240" w:before="240" w:lineRule="auto"/>
              <w:rPr>
                <w:rFonts w:ascii="Arial" w:cs="Arial" w:eastAsia="Arial" w:hAnsi="Arial"/>
              </w:rPr>
            </w:pPr>
            <w:r w:rsidDel="00000000" w:rsidR="00000000" w:rsidRPr="00000000">
              <w:rPr>
                <w:rFonts w:ascii="Arial" w:cs="Arial" w:eastAsia="Arial" w:hAnsi="Arial"/>
                <w:rtl w:val="0"/>
              </w:rPr>
              <w:t xml:space="preserve">El equipo también avanzó en la creación y corrección de la documentación grupal pendiente, enfocándose en asegurar que cumpla con los estándares de calidad establecidos para la entrega de la fase 3. Se discutieron plazos específicos para la finalización del manual de usuario y el informe final del proyecto.</w:t>
            </w:r>
          </w:p>
          <w:p w:rsidR="00000000" w:rsidDel="00000000" w:rsidP="00000000" w:rsidRDefault="00000000" w:rsidRPr="00000000" w14:paraId="0000003C">
            <w:pPr>
              <w:spacing w:after="240" w:before="240" w:lineRule="auto"/>
              <w:rPr>
                <w:rFonts w:ascii="Arial" w:cs="Arial" w:eastAsia="Arial" w:hAnsi="Arial"/>
              </w:rPr>
            </w:pPr>
            <w:r w:rsidDel="00000000" w:rsidR="00000000" w:rsidRPr="00000000">
              <w:rPr>
                <w:rFonts w:ascii="Arial" w:cs="Arial" w:eastAsia="Arial" w:hAnsi="Arial"/>
                <w:rtl w:val="0"/>
              </w:rPr>
              <w:t xml:space="preserve">Además, se definió un cronograma para la validación de los entregables, a fin de garantizar que todo esté alineado con los objetivos del proyecto antes de la presentación final.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3">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4">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5">
            <w:pPr>
              <w:numPr>
                <w:ilvl w:val="5"/>
                <w:numId w:val="2"/>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6">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Plan de pruebas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7">
            <w:pPr>
              <w:spacing w:after="120" w:lineRule="auto"/>
              <w:rPr>
                <w:rFonts w:ascii="Arial" w:cs="Arial" w:eastAsia="Arial" w:hAnsi="Arial"/>
              </w:rPr>
            </w:pPr>
            <w:r w:rsidDel="00000000" w:rsidR="00000000" w:rsidRPr="00000000">
              <w:rPr>
                <w:rFonts w:ascii="Arial" w:cs="Arial" w:eastAsia="Arial" w:hAnsi="Arial"/>
                <w:rtl w:val="0"/>
              </w:rPr>
              <w:t xml:space="preserve">Documentar los resultados finales del plan de pruebas y su impacto.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Manual de usuario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9">
            <w:pPr>
              <w:spacing w:after="120" w:lineRule="auto"/>
              <w:rPr>
                <w:rFonts w:ascii="Tahoma" w:cs="Tahoma" w:eastAsia="Tahoma" w:hAnsi="Tahoma"/>
              </w:rPr>
            </w:pPr>
            <w:r w:rsidDel="00000000" w:rsidR="00000000" w:rsidRPr="00000000">
              <w:rPr>
                <w:rFonts w:ascii="Tahoma" w:cs="Tahoma" w:eastAsia="Tahoma" w:hAnsi="Tahoma"/>
                <w:rtl w:val="0"/>
              </w:rPr>
              <w:t xml:space="preserve">Completar el contenido y realizar las revisiones finales.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A">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Documentación general</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B">
            <w:pPr>
              <w:spacing w:after="120" w:lineRule="auto"/>
              <w:rPr>
                <w:rFonts w:ascii="Tahoma" w:cs="Tahoma" w:eastAsia="Tahoma" w:hAnsi="Tahoma"/>
              </w:rPr>
            </w:pPr>
            <w:r w:rsidDel="00000000" w:rsidR="00000000" w:rsidRPr="00000000">
              <w:rPr>
                <w:rFonts w:ascii="Tahoma" w:cs="Tahoma" w:eastAsia="Tahoma" w:hAnsi="Tahoma"/>
                <w:rtl w:val="0"/>
              </w:rPr>
              <w:t xml:space="preserve">Validar y ajustar los documentos restantes según los estándares.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2">
            <w:pPr>
              <w:numPr>
                <w:ilvl w:val="5"/>
                <w:numId w:val="2"/>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3">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4">
            <w:pPr>
              <w:numPr>
                <w:ilvl w:val="5"/>
                <w:numId w:val="2"/>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Consolidar resultados del plan de pruebas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06/12/2024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Felipe Vega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ind w:right="-15"/>
              <w:rPr>
                <w:rFonts w:ascii="Arial" w:cs="Arial" w:eastAsia="Arial" w:hAnsi="Arial"/>
              </w:rPr>
            </w:pPr>
            <w:r w:rsidDel="00000000" w:rsidR="00000000" w:rsidRPr="00000000">
              <w:rPr>
                <w:rFonts w:ascii="Arial" w:cs="Arial" w:eastAsia="Arial" w:hAnsi="Arial"/>
                <w:rtl w:val="0"/>
              </w:rPr>
              <w:t xml:space="preserve">Finalizar la revisión del manual de usuario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06/12/2024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Luis Valenzuela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B">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Validar consistencia en la documentación general</w:t>
            </w:r>
          </w:p>
        </w:tc>
        <w:tc>
          <w:tcPr>
            <w:tcBorders>
              <w:top w:color="000000" w:space="0" w:sz="5" w:val="single"/>
              <w:left w:color="000000" w:space="0" w:sz="5" w:val="single"/>
              <w:bottom w:color="000000" w:space="0" w:sz="5" w:val="single"/>
              <w:right w:color="000000" w:space="0" w:sz="5" w:val="single"/>
            </w:tcBorders>
            <w:tcMar>
              <w:top w:w="20.0" w:type="dxa"/>
              <w:left w:w="20.0" w:type="dxa"/>
              <w:bottom w:w="0.0" w:type="dxa"/>
              <w:right w:w="20.0" w:type="dxa"/>
            </w:tcMar>
            <w:vAlign w:val="bottom"/>
          </w:tcPr>
          <w:p w:rsidR="00000000" w:rsidDel="00000000" w:rsidP="00000000" w:rsidRDefault="00000000" w:rsidRPr="00000000" w14:paraId="0000005C">
            <w:pPr>
              <w:numPr>
                <w:ilvl w:val="5"/>
                <w:numId w:val="2"/>
              </w:numPr>
              <w:ind w:left="0" w:firstLine="0"/>
              <w:rPr>
                <w:rFonts w:ascii="Arial" w:cs="Arial" w:eastAsia="Arial" w:hAnsi="Arial"/>
              </w:rPr>
            </w:pPr>
            <w:r w:rsidDel="00000000" w:rsidR="00000000" w:rsidRPr="00000000">
              <w:rPr>
                <w:rFonts w:ascii="Arial" w:cs="Arial" w:eastAsia="Arial" w:hAnsi="Arial"/>
                <w:rtl w:val="0"/>
              </w:rPr>
              <w:t xml:space="preserve">06/12/2024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D">
            <w:pPr>
              <w:numPr>
                <w:ilvl w:val="5"/>
                <w:numId w:val="2"/>
              </w:numPr>
              <w:ind w:left="0" w:right="-15" w:firstLine="0"/>
              <w:rPr>
                <w:rFonts w:ascii="Arial" w:cs="Arial" w:eastAsia="Arial" w:hAnsi="Arial"/>
              </w:rPr>
            </w:pPr>
            <w:r w:rsidDel="00000000" w:rsidR="00000000" w:rsidRPr="00000000">
              <w:rPr>
                <w:rFonts w:ascii="Arial" w:cs="Arial" w:eastAsia="Arial" w:hAnsi="Arial"/>
                <w:rtl w:val="0"/>
              </w:rPr>
              <w:t xml:space="preserve">Víctor Reyes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0">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1">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El equipo continúa cumpliendo con el cronograma establecido, logrando completar etapas clave como el plan de pruebas. Se destacó la importancia de entregar una documentación consistente y alineada con los objetivos del proyecto, garantizando una presentación final de calidad.</w:t>
            </w:r>
          </w:p>
        </w:tc>
      </w:tr>
    </w:tbl>
    <w:p w:rsidR="00000000" w:rsidDel="00000000" w:rsidP="00000000" w:rsidRDefault="00000000" w:rsidRPr="00000000" w14:paraId="00000062">
      <w:pPr>
        <w:numPr>
          <w:ilvl w:val="5"/>
          <w:numId w:val="2"/>
        </w:numPr>
        <w:ind w:left="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5">
          <w:pPr>
            <w:numPr>
              <w:ilvl w:val="5"/>
              <w:numId w:val="2"/>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6">
          <w:pPr>
            <w:numPr>
              <w:ilvl w:val="5"/>
              <w:numId w:val="2"/>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numPr>
        <w:ilvl w:val="5"/>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numPr>
        <w:ilvl w:val="5"/>
        <w:numId w:val="2"/>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r.valenzuela@duocuc.cl" TargetMode="External"/><Relationship Id="rId8" Type="http://schemas.openxmlformats.org/officeDocument/2006/relationships/hyperlink" Target="mailto:vi.reyesp@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in2vABvo9lD2D/aqSiwkP2pqjA==">CgMxLjA4AHIhMVBGbjhYbVc2eExKbWloeHdvYXZ3Nk1uWm9yN2Z5dlBt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