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Décima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la revisión y ajustes finales del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Manual de Usuario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Progreso en la elaboración del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Plan de Capacitación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Ajuste y validación de documentos restantes: informe de cierre del proyecto y matriz de control de cambio.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Preparación del documento de avance del sprint según metodología utilizada.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sesión se discutieron los avances en la documentación grupal, con un enfoque particular en completar el Manual de Usuario y el Plan de Capacitación. Se validaron las revisiones realizadas hasta el momento, asegurando que cumplan con los estándares establecidos.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se revisaron los puntos clave del informe de cierre del proyecto y la matriz de control de cambio, con el objetivo de garantizar su alineación con los objetivos del proyecto y su claridad. También se acordó comenzar con el desarrollo del documento de avance del sprint y verificar que refleje los entregables finales del proyecto de forma precisa.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establecieron tareas específicas y plazos para finalizar todos los documentos a tiempo y con la calidad esperada para su presentación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ajustar los contenidos para garantizar su alineación con los objetivos.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 de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el diseño del plan de capacitación con contenidos claros y bien estructurados.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Validar y ajustar todos los documentos restantes antes de la presentación final.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ajustes en el Manual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el Plan de Capacitación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documentos finales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continúa avanzando de manera consistente en la elaboración de la documentación pendiente. Se destacó la importancia de entregar documentos completos y alineados con los objetivos del proyecto para garantizar una presentación final de calidad.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q1d31rYWAcA81yuQ6MjinskqA==">CgMxLjA4AHIhMVZiVURBSUlGbHlrUFZudk5XSkNaWTFncGNFRGIxaXZX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