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Cuarta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24/11/2024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Evaluación del progreso realizado en las tareas asignadas en la reunión del 22/11/2024.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Identificación de mejoras en minería de datos y ajustes en el diseño avanzado de formularios.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estrategias para finalizar las personalizaciones en los roles de usuarios.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esta reunión, se analizaron los avances logrados desde la reunión anterior, enfatizando el trabajo realizado en proyecciones de minería de datos y ajustes en la interfaz de usuario. Se discutieron propuestas para garantizar que las personalizaciones de roles sean consistentes con las necesidades del sistema y cumplan los requisitos establecidos. Además, se estableció un cronograma para realizar pruebas finales que aseguren la calidad antes de la entrega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Minería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la precisión de las proyecciones generadas en diferentes escenarios de prueba.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Diseño y funcionalidad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Validar la precisión de las proyecciones generadas en diferentes escenarios de prueba.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Módulo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Asegurar que las personalizaciones de roles estén alineadas con los requisitos del sistema.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adicionales en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ajustes en el diseño avanzado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26/11/2024</w:t>
            </w:r>
          </w:p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configuraciones finales de roles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26/11/2024</w:t>
            </w:r>
          </w:p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ha logrado un progreso significativo y está enfocado en completar las tareas restantes. Se destacó la importancia de las pruebas finales y ajustes detallados para garantizar un producto de alta calidad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HoeSO13w1wL/wuKbzcW/S/xxZA==">CgMxLjA4AHIhMWtwR2pTdWxnTWMtam9SUFFubDhLaTNnVmVPZUFnM1Bl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