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eastAsia="Arial"/>
          <w:b/>
          <w:sz w:val="32"/>
        </w:rPr>
        <w:t>Vladimir Rezin</w:t>
      </w:r>
    </w:p>
    <w:p>
      <w:pPr>
        <w:spacing w:before="0" w:after="0" w:line="240" w:lineRule="auto"/>
        <w:jc w:val="center"/>
      </w:pPr>
      <w:r>
        <w:rPr>
          <w:rFonts w:ascii="Arial" w:hAnsi="Arial" w:eastAsia="Arial"/>
          <w:b w:val="0"/>
          <w:sz w:val="20"/>
        </w:rPr>
        <w:t>Phone: +7 913 928 2900 | Email: v.rezin@gmail.com</w:t>
      </w:r>
    </w:p>
    <w:p>
      <w:pPr>
        <w:spacing w:before="0" w:after="0" w:line="240" w:lineRule="auto"/>
        <w:jc w:val="center"/>
      </w:pPr>
      <w:r>
        <w:rPr>
          <w:rFonts w:ascii="Arial" w:hAnsi="Arial" w:eastAsia="Arial"/>
          <w:b w:val="0"/>
          <w:sz w:val="20"/>
        </w:rPr>
        <w:t>Novosibirsk, Russia | Open to relocation | Remote / Hybrid</w:t>
      </w:r>
    </w:p>
    <w:p>
      <w:pPr>
        <w:spacing w:before="0" w:after="0" w:line="240" w:lineRule="auto"/>
      </w:pPr>
      <w:r>
        <w:rPr>
          <w:rFonts w:ascii="Arial" w:hAnsi="Arial" w:eastAsia="Arial"/>
          <w:b/>
          <w:sz w:val="20"/>
        </w:rPr>
        <w:t>Professional Summary:</w:t>
      </w:r>
    </w:p>
    <w:p>
      <w:pPr>
        <w:spacing w:before="0" w:after="0" w:line="240" w:lineRule="auto"/>
      </w:pPr>
      <w:r>
        <w:t>AI Transformation Lead / AI Automation Architect building production AI systems that turn voice, chat, and documents into structured memory, decisions, tasks, and reusable workflows.</w:t>
      </w:r>
    </w:p>
    <w:p>
      <w:pPr>
        <w:spacing w:before="0" w:after="0" w:line="240" w:lineRule="auto"/>
      </w:pPr>
      <w:r>
        <w:t>I design human-in-the-loop AI products with orchestration, retrieval, guardrails, and measurable business impact. My edge is the ability to convert messy human input into owned context and next actions, which maps well to AI coaching, accountability, and long-term user behavior change.</w:t>
      </w:r>
    </w:p>
    <w:p>
      <w:pPr>
        <w:spacing w:before="0" w:after="0" w:line="240" w:lineRule="auto"/>
      </w:pPr>
    </w:p>
    <w:p>
      <w:pPr>
        <w:spacing w:before="0" w:after="0" w:line="240" w:lineRule="auto"/>
      </w:pPr>
      <w:r>
        <w:rPr>
          <w:rFonts w:ascii="Arial" w:hAnsi="Arial" w:eastAsia="Arial"/>
          <w:b/>
          <w:sz w:val="20"/>
        </w:rPr>
        <w:t>Skills:</w:t>
      </w:r>
    </w:p>
    <w:p>
      <w:pPr>
        <w:spacing w:before="0" w:after="0" w:line="240" w:lineRule="auto"/>
      </w:pPr>
      <w:r>
        <w:rPr>
          <w:rFonts w:ascii="Arial" w:hAnsi="Arial" w:eastAsia="Arial"/>
          <w:b/>
          <w:sz w:val="20"/>
        </w:rPr>
        <w:t>AI &amp; Automation Leadership</w:t>
      </w:r>
    </w:p>
    <w:p>
      <w:pPr>
        <w:pStyle w:val="ListParagraph"/>
        <w:spacing w:before="0" w:after="0" w:line="240" w:lineRule="auto"/>
        <w:ind w:left="317"/>
      </w:pPr>
      <w:r>
        <w:rPr>
          <w:rFonts w:ascii="Arial" w:hAnsi="Arial" w:eastAsia="Arial"/>
          <w:sz w:val="20"/>
        </w:rPr>
        <w:t>AI Transformation Strategy</w:t>
      </w:r>
    </w:p>
    <w:p>
      <w:pPr>
        <w:pStyle w:val="ListParagraph"/>
        <w:spacing w:before="0" w:after="0" w:line="240" w:lineRule="auto"/>
        <w:ind w:left="317"/>
      </w:pPr>
      <w:r>
        <w:rPr>
          <w:rFonts w:ascii="Arial" w:hAnsi="Arial" w:eastAsia="Arial"/>
          <w:sz w:val="20"/>
        </w:rPr>
        <w:t>AI / GenAI Product Discovery</w:t>
      </w:r>
    </w:p>
    <w:p>
      <w:pPr>
        <w:pStyle w:val="ListParagraph"/>
        <w:spacing w:before="0" w:after="0" w:line="240" w:lineRule="auto"/>
        <w:ind w:left="317"/>
      </w:pPr>
      <w:r>
        <w:rPr>
          <w:rFonts w:ascii="Arial" w:hAnsi="Arial" w:eastAsia="Arial"/>
          <w:sz w:val="20"/>
        </w:rPr>
        <w:t>LLM Orchestration</w:t>
      </w:r>
    </w:p>
    <w:p>
      <w:pPr>
        <w:pStyle w:val="ListParagraph"/>
        <w:spacing w:before="0" w:after="0" w:line="240" w:lineRule="auto"/>
        <w:ind w:left="317"/>
      </w:pPr>
      <w:r>
        <w:rPr>
          <w:rFonts w:ascii="Arial" w:hAnsi="Arial" w:eastAsia="Arial"/>
          <w:sz w:val="20"/>
        </w:rPr>
        <w:t>AI Workflow Automation</w:t>
      </w:r>
    </w:p>
    <w:p>
      <w:pPr>
        <w:pStyle w:val="ListParagraph"/>
        <w:spacing w:before="0" w:after="0" w:line="240" w:lineRule="auto"/>
        <w:ind w:left="317"/>
      </w:pPr>
      <w:r>
        <w:rPr>
          <w:rFonts w:ascii="Arial" w:hAnsi="Arial" w:eastAsia="Arial"/>
          <w:sz w:val="20"/>
        </w:rPr>
        <w:t>Human-in-the-Loop Design</w:t>
      </w:r>
    </w:p>
    <w:p>
      <w:pPr>
        <w:pStyle w:val="ListParagraph"/>
        <w:spacing w:before="0" w:after="0" w:line="240" w:lineRule="auto"/>
        <w:ind w:left="317"/>
      </w:pPr>
      <w:r>
        <w:rPr>
          <w:rFonts w:ascii="Arial" w:hAnsi="Arial" w:eastAsia="Arial"/>
          <w:sz w:val="20"/>
        </w:rPr>
        <w:t>AI-Native SDLC</w:t>
      </w:r>
    </w:p>
    <w:p>
      <w:pPr>
        <w:pStyle w:val="ListParagraph"/>
        <w:spacing w:before="0" w:after="0" w:line="240" w:lineRule="auto"/>
        <w:ind w:left="317"/>
      </w:pPr>
      <w:r>
        <w:rPr>
          <w:rFonts w:ascii="Arial" w:hAnsi="Arial" w:eastAsia="Arial"/>
          <w:sz w:val="20"/>
        </w:rPr>
        <w:t>RAG &amp; Knowledge Retrieval</w:t>
      </w:r>
    </w:p>
    <w:p>
      <w:pPr>
        <w:pStyle w:val="ListParagraph"/>
        <w:spacing w:before="0" w:after="0" w:line="240" w:lineRule="auto"/>
        <w:ind w:left="317"/>
      </w:pPr>
      <w:r>
        <w:rPr>
          <w:rFonts w:ascii="Arial" w:hAnsi="Arial" w:eastAsia="Arial"/>
          <w:sz w:val="20"/>
        </w:rPr>
        <w:t>Prompt Engineering &amp; Guardrails</w:t>
      </w:r>
    </w:p>
    <w:p>
      <w:pPr>
        <w:spacing w:before="0" w:after="0" w:line="240" w:lineRule="auto"/>
      </w:pPr>
      <w:r>
        <w:rPr>
          <w:rFonts w:ascii="Arial" w:hAnsi="Arial" w:eastAsia="Arial"/>
          <w:b/>
          <w:sz w:val="20"/>
        </w:rPr>
        <w:t>Architecture &amp; Delivery</w:t>
      </w:r>
    </w:p>
    <w:p>
      <w:pPr>
        <w:pStyle w:val="ListParagraph"/>
        <w:spacing w:before="0" w:after="0" w:line="240" w:lineRule="auto"/>
        <w:ind w:left="317"/>
      </w:pPr>
      <w:r>
        <w:rPr>
          <w:rFonts w:ascii="Arial" w:hAnsi="Arial" w:eastAsia="Arial"/>
          <w:sz w:val="20"/>
        </w:rPr>
        <w:t>Enterprise Integration</w:t>
      </w:r>
    </w:p>
    <w:p>
      <w:pPr>
        <w:pStyle w:val="ListParagraph"/>
        <w:spacing w:before="0" w:after="0" w:line="240" w:lineRule="auto"/>
        <w:ind w:left="317"/>
      </w:pPr>
      <w:r>
        <w:rPr>
          <w:rFonts w:ascii="Arial" w:hAnsi="Arial" w:eastAsia="Arial"/>
          <w:sz w:val="20"/>
        </w:rPr>
        <w:t>API &amp; Platform Architecture</w:t>
      </w:r>
    </w:p>
    <w:p>
      <w:pPr>
        <w:pStyle w:val="ListParagraph"/>
        <w:spacing w:before="0" w:after="0" w:line="240" w:lineRule="auto"/>
        <w:ind w:left="317"/>
      </w:pPr>
      <w:r>
        <w:rPr>
          <w:rFonts w:ascii="Arial" w:hAnsi="Arial" w:eastAsia="Arial"/>
          <w:sz w:val="20"/>
        </w:rPr>
        <w:t>Cloud Infrastructure Foundations</w:t>
      </w:r>
    </w:p>
    <w:p>
      <w:pPr>
        <w:pStyle w:val="ListParagraph"/>
        <w:spacing w:before="0" w:after="0" w:line="240" w:lineRule="auto"/>
        <w:ind w:left="317"/>
      </w:pPr>
      <w:r>
        <w:rPr>
          <w:rFonts w:ascii="Arial" w:hAnsi="Arial" w:eastAsia="Arial"/>
          <w:sz w:val="20"/>
        </w:rPr>
        <w:t>Release Governance</w:t>
      </w:r>
    </w:p>
    <w:p>
      <w:pPr>
        <w:pStyle w:val="ListParagraph"/>
        <w:spacing w:before="0" w:after="0" w:line="240" w:lineRule="auto"/>
        <w:ind w:left="317"/>
      </w:pPr>
      <w:r>
        <w:rPr>
          <w:rFonts w:ascii="Arial" w:hAnsi="Arial" w:eastAsia="Arial"/>
          <w:sz w:val="20"/>
        </w:rPr>
        <w:t>CI/CD &amp; Quality Gates</w:t>
      </w:r>
    </w:p>
    <w:p>
      <w:pPr>
        <w:pStyle w:val="ListParagraph"/>
        <w:spacing w:before="0" w:after="0" w:line="240" w:lineRule="auto"/>
        <w:ind w:left="317"/>
      </w:pPr>
      <w:r>
        <w:rPr>
          <w:rFonts w:ascii="Arial" w:hAnsi="Arial" w:eastAsia="Arial"/>
          <w:sz w:val="20"/>
        </w:rPr>
        <w:t>LLMOps &amp; Observability</w:t>
      </w:r>
    </w:p>
    <w:p>
      <w:pPr>
        <w:pStyle w:val="ListParagraph"/>
        <w:spacing w:before="0" w:after="0" w:line="240" w:lineRule="auto"/>
        <w:ind w:left="317"/>
      </w:pPr>
      <w:r>
        <w:rPr>
          <w:rFonts w:ascii="Arial" w:hAnsi="Arial" w:eastAsia="Arial"/>
          <w:sz w:val="20"/>
        </w:rPr>
        <w:t>Delivery Planning &amp; Portfolio Governance</w:t>
      </w:r>
    </w:p>
    <w:p>
      <w:pPr>
        <w:spacing w:before="0" w:after="0" w:line="240" w:lineRule="auto"/>
      </w:pPr>
      <w:r>
        <w:rPr>
          <w:rFonts w:ascii="Arial" w:hAnsi="Arial" w:eastAsia="Arial"/>
          <w:b/>
          <w:sz w:val="20"/>
        </w:rPr>
        <w:t>Leadership &amp; Operations</w:t>
      </w:r>
    </w:p>
    <w:p>
      <w:pPr>
        <w:pStyle w:val="ListParagraph"/>
        <w:spacing w:before="0" w:after="0" w:line="240" w:lineRule="auto"/>
        <w:ind w:left="317"/>
      </w:pPr>
      <w:r>
        <w:rPr>
          <w:rFonts w:ascii="Arial" w:hAnsi="Arial" w:eastAsia="Arial"/>
          <w:sz w:val="20"/>
        </w:rPr>
        <w:t>Engineering Organization Leadership</w:t>
      </w:r>
    </w:p>
    <w:p>
      <w:pPr>
        <w:pStyle w:val="ListParagraph"/>
        <w:spacing w:before="0" w:after="0" w:line="240" w:lineRule="auto"/>
        <w:ind w:left="317"/>
      </w:pPr>
      <w:r>
        <w:rPr>
          <w:rFonts w:ascii="Arial" w:hAnsi="Arial" w:eastAsia="Arial"/>
          <w:sz w:val="20"/>
        </w:rPr>
        <w:t>Cross-Functional Alignment</w:t>
      </w:r>
    </w:p>
    <w:p>
      <w:pPr>
        <w:pStyle w:val="ListParagraph"/>
        <w:spacing w:before="0" w:after="0" w:line="240" w:lineRule="auto"/>
        <w:ind w:left="317"/>
      </w:pPr>
      <w:r>
        <w:rPr>
          <w:rFonts w:ascii="Arial" w:hAnsi="Arial" w:eastAsia="Arial"/>
          <w:sz w:val="20"/>
        </w:rPr>
        <w:t>Stakeholder Management</w:t>
      </w:r>
    </w:p>
    <w:p>
      <w:pPr>
        <w:pStyle w:val="ListParagraph"/>
        <w:spacing w:before="0" w:after="0" w:line="240" w:lineRule="auto"/>
        <w:ind w:left="317"/>
      </w:pPr>
      <w:r>
        <w:rPr>
          <w:rFonts w:ascii="Arial" w:hAnsi="Arial" w:eastAsia="Arial"/>
          <w:sz w:val="20"/>
        </w:rPr>
        <w:t>Risk &amp; Capacity Management</w:t>
      </w:r>
    </w:p>
    <w:p>
      <w:pPr>
        <w:pStyle w:val="ListParagraph"/>
        <w:spacing w:before="0" w:after="0" w:line="240" w:lineRule="auto"/>
        <w:ind w:left="317"/>
      </w:pPr>
      <w:r>
        <w:rPr>
          <w:rFonts w:ascii="Arial" w:hAnsi="Arial" w:eastAsia="Arial"/>
          <w:sz w:val="20"/>
        </w:rPr>
        <w:t>Executive Reporting &amp; KPI Tracking</w:t>
      </w:r>
    </w:p>
    <w:p>
      <w:pPr>
        <w:pStyle w:val="ListParagraph"/>
        <w:spacing w:before="0" w:after="0" w:line="240" w:lineRule="auto"/>
        <w:ind w:left="317"/>
      </w:pPr>
      <w:r>
        <w:rPr>
          <w:rFonts w:ascii="Arial" w:hAnsi="Arial" w:eastAsia="Arial"/>
          <w:sz w:val="20"/>
        </w:rPr>
        <w:t>Cost Discipline</w:t>
      </w:r>
    </w:p>
    <w:p>
      <w:pPr>
        <w:spacing w:before="0" w:after="0" w:line="240" w:lineRule="auto"/>
      </w:pPr>
      <w:r>
        <w:rPr>
          <w:rFonts w:ascii="Arial" w:hAnsi="Arial" w:eastAsia="Arial"/>
          <w:b/>
          <w:sz w:val="20"/>
        </w:rPr>
        <w:t>Professional Experience:</w:t>
      </w:r>
    </w:p>
    <w:p>
      <w:pPr>
        <w:spacing w:before="0" w:after="0" w:line="240" w:lineRule="auto"/>
      </w:pPr>
      <w:r>
        <w:rPr>
          <w:rFonts w:ascii="Arial" w:hAnsi="Arial" w:eastAsia="Arial"/>
          <w:b/>
          <w:sz w:val="20"/>
        </w:rPr>
        <w:t>CTO &amp; Co-founder</w:t>
        <w:br/>
        <w:t>Fincomtech — 2023 - Present</w:t>
      </w:r>
    </w:p>
    <w:p>
      <w:pPr>
        <w:pStyle w:val="ListParagraph"/>
        <w:spacing w:before="0" w:after="0" w:line="240" w:lineRule="auto"/>
        <w:ind w:left="317"/>
      </w:pPr>
      <w:r>
        <w:rPr>
          <w:rFonts w:ascii="Arial" w:hAnsi="Arial" w:eastAsia="Arial"/>
          <w:sz w:val="20"/>
        </w:rPr>
        <w:t>Lead AI and automation initiatives from discovery and use-case selection through architecture, pilot delivery, integration, and enterprise rollout.</w:t>
      </w:r>
    </w:p>
    <w:p>
      <w:pPr>
        <w:pStyle w:val="ListParagraph"/>
        <w:spacing w:before="0" w:after="0" w:line="240" w:lineRule="auto"/>
        <w:ind w:left="317"/>
      </w:pPr>
      <w:r>
        <w:rPr>
          <w:rFonts w:ascii="Arial" w:hAnsi="Arial" w:eastAsia="Arial"/>
          <w:sz w:val="20"/>
        </w:rPr>
        <w:t>Designed the first version of the platform, cloud setup, DevOps foundation, and release control.</w:t>
      </w:r>
    </w:p>
    <w:p>
      <w:pPr>
        <w:pStyle w:val="ListParagraph"/>
        <w:spacing w:before="0" w:after="0" w:line="240" w:lineRule="auto"/>
        <w:ind w:left="317"/>
      </w:pPr>
      <w:r>
        <w:rPr>
          <w:rFonts w:ascii="Arial" w:hAnsi="Arial" w:eastAsia="Arial"/>
          <w:sz w:val="20"/>
        </w:rPr>
        <w:t>Worked directly with customers and enterprise presales to translate business needs into roadmap, pilot scope, and implementation model.</w:t>
      </w:r>
    </w:p>
    <w:p>
      <w:pPr>
        <w:pStyle w:val="ListParagraph"/>
        <w:spacing w:before="0" w:after="0" w:line="240" w:lineRule="auto"/>
        <w:ind w:left="317"/>
      </w:pPr>
      <w:r>
        <w:rPr>
          <w:rFonts w:ascii="Arial" w:hAnsi="Arial" w:eastAsia="Arial"/>
          <w:sz w:val="20"/>
        </w:rPr>
        <w:t>Brought the product from concept to pilot deployments, validating technical and commercial feasibility.</w:t>
      </w:r>
    </w:p>
    <w:p>
      <w:pPr>
        <w:spacing w:before="0" w:after="0" w:line="240" w:lineRule="auto"/>
      </w:pPr>
      <w:r>
        <w:rPr>
          <w:rFonts w:ascii="Arial" w:hAnsi="Arial" w:eastAsia="Arial"/>
          <w:b/>
          <w:sz w:val="20"/>
        </w:rPr>
        <w:t>Deputy CTO</w:t>
        <w:br/>
        <w:t>Arameem / ToYou — 2018 - 2025</w:t>
      </w:r>
    </w:p>
    <w:p>
      <w:pPr>
        <w:pStyle w:val="ListParagraph"/>
        <w:spacing w:before="0" w:after="0" w:line="240" w:lineRule="auto"/>
        <w:ind w:left="317"/>
      </w:pPr>
      <w:r>
        <w:rPr>
          <w:rFonts w:ascii="Arial" w:hAnsi="Arial" w:eastAsia="Arial"/>
          <w:sz w:val="20"/>
        </w:rPr>
        <w:t>Led a distributed technology organization of 200+ people across engineering, QA, and DevOps.</w:t>
      </w:r>
    </w:p>
    <w:p>
      <w:pPr>
        <w:pStyle w:val="ListParagraph"/>
        <w:spacing w:before="0" w:after="0" w:line="240" w:lineRule="auto"/>
        <w:ind w:left="317"/>
      </w:pPr>
      <w:r>
        <w:rPr>
          <w:rFonts w:ascii="Arial" w:hAnsi="Arial" w:eastAsia="Arial"/>
          <w:sz w:val="20"/>
        </w:rPr>
        <w:t>Managed 14 team leads and functional heads.</w:t>
      </w:r>
    </w:p>
    <w:p>
      <w:pPr>
        <w:pStyle w:val="ListParagraph"/>
        <w:spacing w:before="0" w:after="0" w:line="240" w:lineRule="auto"/>
        <w:ind w:left="317"/>
      </w:pPr>
      <w:r>
        <w:rPr>
          <w:rFonts w:ascii="Arial" w:hAnsi="Arial" w:eastAsia="Arial"/>
          <w:sz w:val="20"/>
        </w:rPr>
        <w:t>Led production GenAI / LLM support automation where models orchestrate internal APIs and business workflows.</w:t>
      </w:r>
    </w:p>
    <w:p>
      <w:pPr>
        <w:pStyle w:val="ListParagraph"/>
        <w:spacing w:before="0" w:after="0" w:line="240" w:lineRule="auto"/>
        <w:ind w:left="317"/>
      </w:pPr>
      <w:r>
        <w:rPr>
          <w:rFonts w:ascii="Arial" w:hAnsi="Arial" w:eastAsia="Arial"/>
          <w:sz w:val="20"/>
        </w:rPr>
        <w:t>Introduced portfolio visibility and prioritization discipline aligned with business growth and operational constraints.</w:t>
      </w:r>
    </w:p>
    <w:p>
      <w:pPr>
        <w:pStyle w:val="ListParagraph"/>
        <w:spacing w:before="0" w:after="0" w:line="240" w:lineRule="auto"/>
        <w:ind w:left="317"/>
      </w:pPr>
      <w:r>
        <w:rPr>
          <w:rFonts w:ascii="Arial" w:hAnsi="Arial" w:eastAsia="Arial"/>
          <w:sz w:val="20"/>
        </w:rPr>
        <w:t>Established release governance, quality controls, and performance tracking.</w:t>
      </w:r>
    </w:p>
    <w:p>
      <w:pPr>
        <w:pStyle w:val="ListParagraph"/>
        <w:spacing w:before="0" w:after="0" w:line="240" w:lineRule="auto"/>
        <w:ind w:left="317"/>
      </w:pPr>
      <w:r>
        <w:rPr>
          <w:rFonts w:ascii="Arial" w:hAnsi="Arial" w:eastAsia="Arial"/>
          <w:sz w:val="20"/>
        </w:rPr>
        <w:t>Reduced critical production incidents through systematic testing policies and ownership clarity.</w:t>
      </w:r>
    </w:p>
    <w:p>
      <w:pPr>
        <w:pStyle w:val="ListParagraph"/>
        <w:spacing w:before="0" w:after="0" w:line="240" w:lineRule="auto"/>
        <w:ind w:left="317"/>
      </w:pPr>
      <w:r>
        <w:rPr>
          <w:rFonts w:ascii="Arial" w:hAnsi="Arial" w:eastAsia="Arial"/>
          <w:sz w:val="20"/>
        </w:rPr>
        <w:t>Established infrastructure governance and capacity planning, cutting cloud cost by more than 50% while supporting growth from 30K to 300K active users.</w:t>
      </w:r>
    </w:p>
    <w:p>
      <w:pPr>
        <w:spacing w:before="0" w:after="0" w:line="240" w:lineRule="auto"/>
      </w:pPr>
      <w:r>
        <w:rPr>
          <w:rFonts w:ascii="Arial" w:hAnsi="Arial" w:eastAsia="Arial"/>
          <w:b/>
          <w:sz w:val="20"/>
        </w:rPr>
        <w:t>CEO &amp; Key Shareholder</w:t>
        <w:br/>
        <w:t>Sobit — 2015 - 2018</w:t>
      </w:r>
    </w:p>
    <w:p>
      <w:pPr>
        <w:pStyle w:val="ListParagraph"/>
        <w:spacing w:before="0" w:after="0" w:line="240" w:lineRule="auto"/>
        <w:ind w:left="317"/>
      </w:pPr>
      <w:r>
        <w:rPr>
          <w:rFonts w:ascii="Arial" w:hAnsi="Arial" w:eastAsia="Arial"/>
          <w:sz w:val="20"/>
        </w:rPr>
        <w:t>Stabilized the company after a commercial downturn and restructured the operating model to restore financial control.</w:t>
      </w:r>
    </w:p>
    <w:p>
      <w:pPr>
        <w:pStyle w:val="ListParagraph"/>
        <w:spacing w:before="0" w:after="0" w:line="240" w:lineRule="auto"/>
        <w:ind w:left="317"/>
      </w:pPr>
      <w:r>
        <w:rPr>
          <w:rFonts w:ascii="Arial" w:hAnsi="Arial" w:eastAsia="Arial"/>
          <w:sz w:val="20"/>
        </w:rPr>
        <w:t>Rebuilt the client base through direct commercial engagement and disciplined cost management.</w:t>
      </w:r>
    </w:p>
    <w:p>
      <w:pPr>
        <w:pStyle w:val="ListParagraph"/>
        <w:spacing w:before="0" w:after="0" w:line="240" w:lineRule="auto"/>
        <w:ind w:left="317"/>
      </w:pPr>
      <w:r>
        <w:rPr>
          <w:rFonts w:ascii="Arial" w:hAnsi="Arial" w:eastAsia="Arial"/>
          <w:sz w:val="20"/>
        </w:rPr>
        <w:t>Introduced delivery governance and project control mechanisms.</w:t>
      </w:r>
    </w:p>
    <w:p>
      <w:pPr>
        <w:pStyle w:val="ListParagraph"/>
        <w:spacing w:before="0" w:after="0" w:line="240" w:lineRule="auto"/>
        <w:ind w:left="317"/>
      </w:pPr>
      <w:r>
        <w:rPr>
          <w:rFonts w:ascii="Arial" w:hAnsi="Arial" w:eastAsia="Arial"/>
          <w:sz w:val="20"/>
        </w:rPr>
        <w:t>Negotiated national and municipal digital contracts.</w:t>
      </w:r>
    </w:p>
    <w:p>
      <w:pPr>
        <w:pStyle w:val="ListParagraph"/>
        <w:spacing w:before="0" w:after="0" w:line="240" w:lineRule="auto"/>
        <w:ind w:left="317"/>
      </w:pPr>
      <w:r>
        <w:rPr>
          <w:rFonts w:ascii="Arial" w:hAnsi="Arial" w:eastAsia="Arial"/>
          <w:sz w:val="20"/>
        </w:rPr>
        <w:t>Reduced operating costs by more than 30%.</w:t>
      </w:r>
    </w:p>
    <w:p>
      <w:pPr>
        <w:spacing w:before="0" w:after="0" w:line="240" w:lineRule="auto"/>
      </w:pPr>
      <w:r>
        <w:rPr>
          <w:rFonts w:ascii="Arial" w:hAnsi="Arial" w:eastAsia="Arial"/>
          <w:b/>
          <w:sz w:val="20"/>
        </w:rPr>
        <w:t>Director of IT Department</w:t>
        <w:br/>
        <w:t>CDEK — 2014 - 2017</w:t>
      </w:r>
    </w:p>
    <w:p>
      <w:pPr>
        <w:pStyle w:val="ListParagraph"/>
        <w:spacing w:before="0" w:after="0" w:line="240" w:lineRule="auto"/>
        <w:ind w:left="317"/>
      </w:pPr>
      <w:r>
        <w:rPr>
          <w:rFonts w:ascii="Arial" w:hAnsi="Arial" w:eastAsia="Arial"/>
          <w:sz w:val="20"/>
        </w:rPr>
        <w:t>Stabilized and modernized the core logistics platform, which had accumulated over a decade of technical debt.</w:t>
      </w:r>
    </w:p>
    <w:p>
      <w:pPr>
        <w:pStyle w:val="ListParagraph"/>
        <w:spacing w:before="0" w:after="0" w:line="240" w:lineRule="auto"/>
        <w:ind w:left="317"/>
      </w:pPr>
      <w:r>
        <w:rPr>
          <w:rFonts w:ascii="Arial" w:hAnsi="Arial" w:eastAsia="Arial"/>
          <w:sz w:val="20"/>
        </w:rPr>
        <w:t>Improved system performance by more than 50% through architectural redesign and database optimization.</w:t>
      </w:r>
    </w:p>
    <w:p>
      <w:pPr>
        <w:pStyle w:val="ListParagraph"/>
        <w:spacing w:before="0" w:after="0" w:line="240" w:lineRule="auto"/>
        <w:ind w:left="317"/>
      </w:pPr>
      <w:r>
        <w:rPr>
          <w:rFonts w:ascii="Arial" w:hAnsi="Arial" w:eastAsia="Arial"/>
          <w:sz w:val="20"/>
        </w:rPr>
        <w:t>Reduced outages by redefining ownership and support functions.</w:t>
      </w:r>
    </w:p>
    <w:p>
      <w:pPr>
        <w:pStyle w:val="ListParagraph"/>
        <w:spacing w:before="0" w:after="0" w:line="240" w:lineRule="auto"/>
        <w:ind w:left="317"/>
      </w:pPr>
      <w:r>
        <w:rPr>
          <w:rFonts w:ascii="Arial" w:hAnsi="Arial" w:eastAsia="Arial"/>
          <w:sz w:val="20"/>
        </w:rPr>
        <w:t>Shifted the platform toward a more modular, service-oriented structure.</w:t>
      </w:r>
    </w:p>
    <w:p>
      <w:pPr>
        <w:spacing w:before="0" w:after="0" w:line="240" w:lineRule="auto"/>
      </w:pPr>
      <w:r>
        <w:rPr>
          <w:rFonts w:ascii="Arial" w:hAnsi="Arial" w:eastAsia="Arial"/>
          <w:b/>
          <w:sz w:val="20"/>
        </w:rPr>
        <w:t>CTO</w:t>
        <w:br/>
        <w:t>RTK Engineering — 2013 - 2014</w:t>
      </w:r>
    </w:p>
    <w:p>
      <w:pPr>
        <w:pStyle w:val="ListParagraph"/>
        <w:spacing w:before="0" w:after="0" w:line="240" w:lineRule="auto"/>
        <w:ind w:left="317"/>
      </w:pPr>
      <w:r>
        <w:rPr>
          <w:rFonts w:ascii="Arial" w:hAnsi="Arial" w:eastAsia="Arial"/>
          <w:sz w:val="20"/>
        </w:rPr>
        <w:t>Built and led a small team to develop a payment platform from inception.</w:t>
      </w:r>
    </w:p>
    <w:p>
      <w:pPr>
        <w:pStyle w:val="ListParagraph"/>
        <w:spacing w:before="0" w:after="0" w:line="240" w:lineRule="auto"/>
        <w:ind w:left="317"/>
      </w:pPr>
      <w:r>
        <w:rPr>
          <w:rFonts w:ascii="Arial" w:hAnsi="Arial" w:eastAsia="Arial"/>
          <w:sz w:val="20"/>
        </w:rPr>
        <w:t>Defined architecture, compliance alignment, and release control in a regulated environment.</w:t>
      </w:r>
    </w:p>
    <w:p>
      <w:pPr>
        <w:spacing w:before="0" w:after="0" w:line="240" w:lineRule="auto"/>
      </w:pPr>
      <w:r>
        <w:rPr>
          <w:rFonts w:ascii="Arial" w:hAnsi="Arial" w:eastAsia="Arial"/>
          <w:b/>
          <w:sz w:val="20"/>
        </w:rPr>
        <w:t>Director of Software Development</w:t>
        <w:br/>
        <w:t>CFT — 2001 - 2013</w:t>
      </w:r>
    </w:p>
    <w:p>
      <w:pPr>
        <w:pStyle w:val="ListParagraph"/>
        <w:spacing w:before="0" w:after="0" w:line="240" w:lineRule="auto"/>
        <w:ind w:left="317"/>
      </w:pPr>
      <w:r>
        <w:rPr>
          <w:rFonts w:ascii="Arial" w:hAnsi="Arial" w:eastAsia="Arial"/>
          <w:sz w:val="20"/>
        </w:rPr>
        <w:t>Led a 60+ engineering department delivering enterprise transaction platforms for major financial institutions.</w:t>
      </w:r>
    </w:p>
    <w:p>
      <w:pPr>
        <w:pStyle w:val="ListParagraph"/>
        <w:spacing w:before="0" w:after="0" w:line="240" w:lineRule="auto"/>
        <w:ind w:left="317"/>
      </w:pPr>
      <w:r>
        <w:rPr>
          <w:rFonts w:ascii="Arial" w:hAnsi="Arial" w:eastAsia="Arial"/>
          <w:sz w:val="20"/>
        </w:rPr>
        <w:t>Managed multi-year implementations, deployment, and long-term support in a regulated environment.</w:t>
      </w:r>
    </w:p>
    <w:p>
      <w:pPr>
        <w:pStyle w:val="ListParagraph"/>
        <w:spacing w:before="0" w:after="0" w:line="240" w:lineRule="auto"/>
        <w:ind w:left="317"/>
      </w:pPr>
      <w:r>
        <w:rPr>
          <w:rFonts w:ascii="Arial" w:hAnsi="Arial" w:eastAsia="Arial"/>
          <w:sz w:val="20"/>
        </w:rPr>
        <w:t>Turned client servicing into a recurring revenue model exceeding $10M annually.</w:t>
      </w:r>
    </w:p>
    <w:p>
      <w:pPr>
        <w:pStyle w:val="ListParagraph"/>
        <w:spacing w:before="0" w:after="0" w:line="240" w:lineRule="auto"/>
        <w:ind w:left="317"/>
      </w:pPr>
      <w:r>
        <w:rPr>
          <w:rFonts w:ascii="Arial" w:hAnsi="Arial" w:eastAsia="Arial"/>
          <w:sz w:val="20"/>
        </w:rPr>
        <w:t>Worked with bank executives, compliance, and operations teams on presales and rollouts.</w:t>
      </w:r>
    </w:p>
    <w:p>
      <w:pPr>
        <w:pStyle w:val="ListParagraph"/>
        <w:spacing w:before="0" w:after="0" w:line="240" w:lineRule="auto"/>
        <w:ind w:left="317"/>
      </w:pPr>
      <w:r>
        <w:rPr>
          <w:rFonts w:ascii="Arial" w:hAnsi="Arial" w:eastAsia="Arial"/>
          <w:sz w:val="20"/>
        </w:rPr>
        <w:t>Delivered sustained commercial growth of 20% YoY through disciplined portfolio management and controlled execution.</w:t>
      </w:r>
    </w:p>
    <w:p>
      <w:pPr>
        <w:spacing w:before="0" w:after="0" w:line="240" w:lineRule="auto"/>
      </w:pPr>
      <w:r>
        <w:rPr>
          <w:rFonts w:ascii="Arial" w:hAnsi="Arial" w:eastAsia="Arial"/>
          <w:b/>
          <w:sz w:val="20"/>
        </w:rPr>
        <w:t>Co-Founder / Technical Advisor (AI Products)</w:t>
        <w:br/>
        <w:t>AI Product Studio — 2025 - Present</w:t>
      </w:r>
    </w:p>
    <w:p>
      <w:pPr>
        <w:pStyle w:val="ListParagraph"/>
        <w:spacing w:before="0" w:after="0" w:line="240" w:lineRule="auto"/>
        <w:ind w:left="317"/>
      </w:pPr>
      <w:r>
        <w:rPr>
          <w:rFonts w:ascii="Arial" w:hAnsi="Arial" w:eastAsia="Arial"/>
          <w:sz w:val="20"/>
        </w:rPr>
        <w:t>Advising early-stage AI product teams on architecture, delivery structure, and quality control for workflow automation initiatives.</w:t>
      </w:r>
    </w:p>
    <w:p>
      <w:pPr>
        <w:spacing w:before="0" w:after="0" w:line="240" w:lineRule="auto"/>
      </w:pPr>
      <w:r>
        <w:rPr>
          <w:rFonts w:ascii="Arial" w:hAnsi="Arial" w:eastAsia="Arial"/>
          <w:b/>
          <w:sz w:val="20"/>
        </w:rPr>
        <w:t>Certificates:</w:t>
      </w:r>
    </w:p>
    <w:p>
      <w:pPr>
        <w:spacing w:before="0" w:after="0" w:line="240" w:lineRule="auto"/>
      </w:pPr>
      <w:r>
        <w:rPr>
          <w:rFonts w:ascii="Arial" w:hAnsi="Arial" w:eastAsia="Arial"/>
          <w:sz w:val="20"/>
        </w:rPr>
        <w:t>Yandex Cloud Engineer, Yandex Practicum — 2024</w:t>
      </w:r>
    </w:p>
    <w:p>
      <w:pPr>
        <w:spacing w:before="0" w:after="0" w:line="240" w:lineRule="auto"/>
      </w:pPr>
      <w:r>
        <w:rPr>
          <w:rFonts w:ascii="Arial" w:hAnsi="Arial" w:eastAsia="Arial"/>
          <w:sz w:val="20"/>
        </w:rPr>
        <w:t>ICAgile Certified Professional, ICAgile — 2013</w:t>
      </w:r>
    </w:p>
    <w:p>
      <w:pPr>
        <w:spacing w:before="0" w:after="0" w:line="240" w:lineRule="auto"/>
      </w:pPr>
      <w:r>
        <w:rPr>
          <w:rFonts w:ascii="Arial" w:hAnsi="Arial" w:eastAsia="Arial"/>
          <w:b/>
          <w:sz w:val="20"/>
        </w:rPr>
        <w:t>Education:</w:t>
      </w:r>
    </w:p>
    <w:p>
      <w:pPr>
        <w:spacing w:before="0" w:after="0" w:line="240" w:lineRule="auto"/>
      </w:pPr>
      <w:r>
        <w:rPr>
          <w:rFonts w:ascii="Arial" w:hAnsi="Arial" w:eastAsia="Arial"/>
          <w:sz w:val="20"/>
        </w:rPr>
        <w:t>BSc in Physics</w:t>
      </w:r>
    </w:p>
    <w:p>
      <w:pPr>
        <w:spacing w:before="0" w:after="0" w:line="240" w:lineRule="auto"/>
      </w:pPr>
      <w:r>
        <w:rPr>
          <w:rFonts w:ascii="Arial" w:hAnsi="Arial" w:eastAsia="Arial"/>
          <w:sz w:val="20"/>
        </w:rPr>
        <w:t>Novosibirsk State University — 1994 - 1999</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