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CloudWatch EC2 Metrics Dashboard</w:t>
      </w:r>
    </w:p>
    <w:p>
      <w:pPr>
        <w:spacing w:after="80"/>
        <w:jc w:val="center"/>
      </w:pPr>
      <w:r>
        <w:rPr>
          <w:rFonts w:ascii="Arial" w:hAnsi="Arial"/>
          <w:i/>
          <w:sz w:val="19"/>
        </w:rPr>
        <w:t>Topic: Open CloudWatch Classic Metrics and locate EC2 monitoring metrics.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750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sz w:val="18"/>
        </w:rPr>
        <w:t>Action: CloudWatch Classic metrics is opened in the N. Virginia region. The EC2 metric category is visible with 546 available metrics, ready for selecting per-instance monitoring data.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Select EC2 CPU Utilization Metric</w:t>
      </w:r>
    </w:p>
    <w:p>
      <w:pPr>
        <w:spacing w:after="80"/>
        <w:jc w:val="center"/>
      </w:pPr>
      <w:r>
        <w:rPr>
          <w:rFonts w:ascii="Arial" w:hAnsi="Arial"/>
          <w:i/>
          <w:sz w:val="19"/>
        </w:rPr>
        <w:t>Topic: Choose an EC2 instance and its CPUUtilization metric.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750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sz w:val="18"/>
        </w:rPr>
        <w:t>Action: The EC2 metric list is filtered to per-instance metrics. The instance named “ec2” is selected, CPUUtilization is chosen, and the CPU utilization graph is displayed for monitoring.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Create CloudWatch Alarm from CPUUtilization</w:t>
      </w:r>
    </w:p>
    <w:p>
      <w:pPr>
        <w:spacing w:after="80"/>
        <w:jc w:val="center"/>
      </w:pPr>
      <w:r>
        <w:rPr>
          <w:rFonts w:ascii="Arial" w:hAnsi="Arial"/>
          <w:i/>
          <w:sz w:val="19"/>
        </w:rPr>
        <w:t>Topic: Review the CPUUtilization graph and start alarm creation.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750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sz w:val="18"/>
        </w:rPr>
        <w:t>Action: CPUUtilization is shown as a graphed metric with Average statistic and a 5-minute period. The alarm creation workflow is opened and the first step, “Specify metric and conditions,” is selected.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Configure CPU Utilization Alarm Threshold</w:t>
      </w:r>
    </w:p>
    <w:p>
      <w:pPr>
        <w:spacing w:after="80"/>
        <w:jc w:val="center"/>
      </w:pPr>
      <w:r>
        <w:rPr>
          <w:rFonts w:ascii="Arial" w:hAnsi="Arial"/>
          <w:i/>
          <w:sz w:val="19"/>
        </w:rPr>
        <w:t>Topic: Define the alarm condition and notification action.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750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sz w:val="18"/>
        </w:rPr>
        <w:t>Action: The alarm uses AWS/EC2 CPUUtilization for instance “ec2”, Average statistic and a 5-minute period. A static Lower-than threshold is configured with value 1, then the workflow moves to Configure actions and selects the SNS notification topic.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Create and Verify EC2 High-Low Alarm</w:t>
      </w:r>
    </w:p>
    <w:p>
      <w:pPr>
        <w:spacing w:after="80"/>
        <w:jc w:val="center"/>
      </w:pPr>
      <w:r>
        <w:rPr>
          <w:rFonts w:ascii="Arial" w:hAnsi="Arial"/>
          <w:i/>
          <w:sz w:val="19"/>
        </w:rPr>
        <w:t>Topic: Add alarm details and verify the resulting alarm state.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750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sz w:val="18"/>
        </w:rPr>
        <w:t>Action: An email notification endpoint is shown, the alarm is named “EC2-High-low-Alarm”, and the alarm is created. The EC2 status-and-alarms view then shows the alarm in ALARM state because the CPUUtilization threshold was crossed.</w:t>
      </w:r>
    </w:p>
    <w:sectPr w:rsidR="00FC693F" w:rsidRPr="0006063C" w:rsidSect="00034616">
      <w:pgSz w:w="12240" w:h="15840"/>
      <w:pgMar w:top="504" w:right="936" w:bottom="50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