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pPr>
      <w:r>
        <w:rPr>
          <w:rFonts w:ascii="Calibri" w:hAnsi="Calibri"/>
          <w:b/>
          <w:color w:val="2E74B5"/>
          <w:sz w:val="20"/>
        </w:rPr>
        <w:t>SITE SELECTION OPERATING GUIDE</w:t>
      </w:r>
    </w:p>
    <w:p>
      <w:pPr>
        <w:spacing w:after="320"/>
      </w:pPr>
      <w:r>
        <w:rPr>
          <w:rFonts w:ascii="Calibri" w:hAnsi="Calibri"/>
          <w:b/>
          <w:color w:val="17202A"/>
          <w:sz w:val="56"/>
        </w:rPr>
        <w:t>How development teams move from a business need to a defensible site decision</w:t>
      </w:r>
    </w:p>
    <w:p>
      <w:pPr>
        <w:spacing w:after="480"/>
      </w:pPr>
      <w:r>
        <w:rPr>
          <w:color w:val="5E6A73"/>
          <w:sz w:val="28"/>
        </w:rPr>
        <w:t>A practical process for large commercial, industrial, infrastructure, and data-center projects</w:t>
      </w:r>
    </w:p>
    <w:tbl>
      <w:tblPr>
        <w:tblW w:type="dxa" w:w="9360"/>
        <w:jc w:val="left"/>
        <w:tblLayout w:type="fixed"/>
        <w:tblLook w:firstColumn="1" w:firstRow="1" w:lastColumn="0" w:lastRow="0" w:noHBand="0" w:noVBand="1" w:val="04A0"/>
        <w:tblInd w:w="120" w:type="dxa"/>
      </w:tblPr>
      <w:tblGrid>
        <w:gridCol w:w="9360"/>
      </w:tblGrid>
      <w:tr>
        <w:tc>
          <w:tcPr>
            <w:tcW w:type="dxa" w:w="9360"/>
            <w:shd w:fill="F2F4F7"/>
            <w:tcMar>
              <w:top w:w="80" w:type="dxa"/>
              <w:start w:w="120" w:type="dxa"/>
              <w:bottom w:w="80" w:type="dxa"/>
              <w:end w:w="120" w:type="dxa"/>
            </w:tcMar>
            <w:vAlign w:val="top"/>
          </w:tcPr>
          <w:p>
            <w:pPr>
              <w:spacing w:after="40" w:line="252" w:lineRule="auto"/>
            </w:pPr>
            <w:r>
              <w:rPr>
                <w:b/>
                <w:color w:val="1F4D78"/>
                <w:sz w:val="18"/>
              </w:rPr>
              <w:t xml:space="preserve">Core idea  </w:t>
            </w:r>
            <w:r>
              <w:rPr>
                <w:sz w:val="18"/>
              </w:rPr>
              <w:t>Site selection is not a map search. It is a sequence of decisions that converts a business requirement into a controlled, buildable, serviceable, approvable, and economically viable site—with evidence retained at every step.</w:t>
            </w:r>
          </w:p>
        </w:tc>
        <w:trPr>
          <w:tblHeader/>
        </w:trPr>
      </w:tr>
    </w:tbl>
    <w:p>
      <w:pPr>
        <w:spacing w:after="0"/>
      </w:pPr>
    </w:p>
    <w:p>
      <w:pPr>
        <w:pStyle w:val="Smallnote"/>
      </w:pPr>
      <w:r>
        <w:t>Prepared July 18, 2026</w:t>
      </w:r>
    </w:p>
    <w:p>
      <w:pPr>
        <w:pStyle w:val="Smallnote"/>
      </w:pPr>
      <w:r>
        <w:t>Scope: United States; examples emphasize large-scale industrial and data-center development.</w:t>
      </w:r>
    </w:p>
    <w:p>
      <w:pPr>
        <w:pStyle w:val="Heading1"/>
      </w:pPr>
      <w:r>
        <w:t>How to use this guide</w:t>
      </w:r>
    </w:p>
    <w:p>
      <w:pPr>
        <w:pStyle w:val="ListBullet"/>
      </w:pPr>
      <w:r>
        <w:t>Use Sections 1–3 to establish the project brief and the first two weeks of work.</w:t>
      </w:r>
    </w:p>
    <w:p>
      <w:pPr>
        <w:pStyle w:val="ListBullet"/>
      </w:pPr>
      <w:r>
        <w:t>Use Sections 4–11 as the stage-gate operating process.</w:t>
      </w:r>
    </w:p>
    <w:p>
      <w:pPr>
        <w:pStyle w:val="ListBullet"/>
      </w:pPr>
      <w:r>
        <w:t>Use Sections 12–14 as the data sourcing, scoring, and evidence standard.</w:t>
      </w:r>
    </w:p>
    <w:p>
      <w:pPr>
        <w:pStyle w:val="ListBullet"/>
      </w:pPr>
      <w:r>
        <w:t>Use the final checklists to run a project or define product requirements for a site-selection platform.</w:t>
      </w:r>
    </w:p>
    <w:p>
      <w:r>
        <w:br w:type="page"/>
      </w:r>
    </w:p>
    <w:p>
      <w:pPr>
        <w:pStyle w:val="Heading1"/>
      </w:pPr>
      <w:r>
        <w:t>Executive summary</w:t>
      </w:r>
    </w:p>
    <w:p>
      <w:r>
        <w:t>A good site-selection process answers five questions in order:</w:t>
      </w:r>
    </w:p>
    <w:p>
      <w:pPr>
        <w:pStyle w:val="ListNumber"/>
      </w:pPr>
      <w:r>
        <w:t>Where should the project compete? — market and jurisdiction screening.</w:t>
      </w:r>
    </w:p>
    <w:p>
      <w:pPr>
        <w:pStyle w:val="ListNumber"/>
      </w:pPr>
      <w:r>
        <w:t>Which actual parcels could support the program? — parcel discovery and hard filters.</w:t>
      </w:r>
    </w:p>
    <w:p>
      <w:pPr>
        <w:pStyle w:val="ListNumber"/>
      </w:pPr>
      <w:r>
        <w:t>What could prevent development? — constraints, infrastructure, legal control, and entitlement path.</w:t>
      </w:r>
    </w:p>
    <w:p>
      <w:pPr>
        <w:pStyle w:val="ListNumber"/>
      </w:pPr>
      <w:r>
        <w:t>What would it cost and how long would it take? — test fit, off-site work, utility schedule, approvals, and risk-adjusted economics.</w:t>
      </w:r>
    </w:p>
    <w:p>
      <w:pPr>
        <w:pStyle w:val="ListNumber"/>
      </w:pPr>
      <w:r>
        <w:t>What evidence is strong enough to commit capital? — source provenance, professional diligence, agency/utility confirmation, and decision approval.</w:t>
      </w:r>
    </w:p>
    <w:p>
      <w:r>
        <w:t>The process should be stage-gated. Early stages use fast, inexpensive screening data. Later stages replace proxies with site-specific evidence. The team should not spend diligence money on a parcel that already fails a hard business requirement, but it should also never treat a national GIS layer, vendor score, or estimated utility distance as final proof.</w:t>
      </w:r>
    </w:p>
    <w:tbl>
      <w:tblPr>
        <w:tblW w:type="dxa" w:w="9360"/>
        <w:jc w:val="left"/>
        <w:tblLayout w:type="fixed"/>
        <w:tblLook w:firstColumn="1" w:firstRow="1" w:lastColumn="0" w:lastRow="0" w:noHBand="0" w:noVBand="1" w:val="04A0"/>
        <w:tblInd w:w="120" w:type="dxa"/>
      </w:tblPr>
      <w:tblGrid>
        <w:gridCol w:w="9360"/>
      </w:tblGrid>
      <w:tr>
        <w:tc>
          <w:tcPr>
            <w:tcW w:type="dxa" w:w="9360"/>
            <w:shd w:fill="F2F4F7"/>
            <w:tcMar>
              <w:top w:w="80" w:type="dxa"/>
              <w:start w:w="120" w:type="dxa"/>
              <w:bottom w:w="80" w:type="dxa"/>
              <w:end w:w="120" w:type="dxa"/>
            </w:tcMar>
            <w:vAlign w:val="top"/>
          </w:tcPr>
          <w:p>
            <w:pPr>
              <w:spacing w:after="40" w:line="252" w:lineRule="auto"/>
            </w:pPr>
            <w:r>
              <w:rPr>
                <w:b/>
                <w:color w:val="1F4D78"/>
                <w:sz w:val="18"/>
              </w:rPr>
              <w:t xml:space="preserve">The key operating distinction  </w:t>
            </w:r>
            <w:r>
              <w:rPr>
                <w:sz w:val="18"/>
              </w:rPr>
              <w:t>Screening answers ‘where should we look?’ Diligence answers ‘can we build this project here on these terms?’ The data standard must become stricter as the project advances.</w:t>
            </w:r>
          </w:p>
        </w:tc>
        <w:trPr>
          <w:tblHeader/>
        </w:trPr>
      </w:tr>
    </w:tbl>
    <w:p>
      <w:pPr>
        <w:spacing w:after="0"/>
      </w:pPr>
    </w:p>
    <w:p>
      <w:pPr>
        <w:pStyle w:val="Heading2"/>
      </w:pPr>
      <w:r>
        <w:t>Typical decision funnel</w:t>
      </w:r>
    </w:p>
    <w:tbl>
      <w:tblPr>
        <w:tblStyle w:val="TableGrid"/>
        <w:tblW w:type="dxa" w:w="9360"/>
        <w:jc w:val="left"/>
        <w:tblLayout w:type="fixed"/>
        <w:tblLook w:firstColumn="1" w:firstRow="1" w:lastColumn="0" w:lastRow="0" w:noHBand="0" w:noVBand="1" w:val="04A0"/>
        <w:tblInd w:w="120" w:type="dxa"/>
      </w:tblPr>
      <w:tblGrid>
        <w:gridCol w:w="1900"/>
        <w:gridCol w:w="2200"/>
        <w:gridCol w:w="5260"/>
      </w:tblGrid>
      <w:tr>
        <w:tc>
          <w:tcPr>
            <w:tcW w:type="dxa" w:w="1900"/>
            <w:tcMar>
              <w:top w:w="80" w:type="dxa"/>
              <w:start w:w="120" w:type="dxa"/>
              <w:bottom w:w="80" w:type="dxa"/>
              <w:end w:w="120" w:type="dxa"/>
            </w:tcMar>
            <w:vAlign w:val="top"/>
            <w:shd w:fill="F2F4F7"/>
          </w:tcPr>
          <w:p>
            <w:pPr>
              <w:spacing w:after="0"/>
            </w:pPr>
            <w:r>
              <w:rPr>
                <w:b/>
                <w:color w:val="1F4D78"/>
                <w:sz w:val="18"/>
              </w:rPr>
              <w:t>Stage</w:t>
            </w:r>
          </w:p>
        </w:tc>
        <w:tc>
          <w:tcPr>
            <w:tcW w:type="dxa" w:w="2200"/>
            <w:tcMar>
              <w:top w:w="80" w:type="dxa"/>
              <w:start w:w="120" w:type="dxa"/>
              <w:bottom w:w="80" w:type="dxa"/>
              <w:end w:w="120" w:type="dxa"/>
            </w:tcMar>
            <w:vAlign w:val="top"/>
            <w:shd w:fill="F2F4F7"/>
          </w:tcPr>
          <w:p>
            <w:pPr>
              <w:spacing w:after="0"/>
            </w:pPr>
            <w:r>
              <w:rPr>
                <w:b/>
                <w:color w:val="1F4D78"/>
                <w:sz w:val="18"/>
              </w:rPr>
              <w:t>Typical population</w:t>
            </w:r>
          </w:p>
        </w:tc>
        <w:tc>
          <w:tcPr>
            <w:tcW w:type="dxa" w:w="5260"/>
            <w:tcMar>
              <w:top w:w="80" w:type="dxa"/>
              <w:start w:w="120" w:type="dxa"/>
              <w:bottom w:w="80" w:type="dxa"/>
              <w:end w:w="120" w:type="dxa"/>
            </w:tcMar>
            <w:vAlign w:val="top"/>
            <w:shd w:fill="F2F4F7"/>
          </w:tcPr>
          <w:p>
            <w:pPr>
              <w:spacing w:after="0"/>
            </w:pPr>
            <w:r>
              <w:rPr>
                <w:b/>
                <w:color w:val="1F4D78"/>
                <w:sz w:val="18"/>
              </w:rPr>
              <w:t>Decision</w:t>
            </w:r>
          </w:p>
        </w:tc>
        <w:trPr>
          <w:tblHeader/>
        </w:trPr>
      </w:tr>
      <w:tr>
        <w:tc>
          <w:tcPr>
            <w:tcW w:type="dxa" w:w="1900"/>
            <w:tcMar>
              <w:top w:w="80" w:type="dxa"/>
              <w:start w:w="120" w:type="dxa"/>
              <w:bottom w:w="80" w:type="dxa"/>
              <w:end w:w="120" w:type="dxa"/>
            </w:tcMar>
            <w:vAlign w:val="top"/>
          </w:tcPr>
          <w:p>
            <w:pPr>
              <w:spacing w:after="40" w:line="252" w:lineRule="auto"/>
            </w:pPr>
            <w:r>
              <w:rPr>
                <w:sz w:val="18"/>
              </w:rPr>
              <w:t>Market universe</w:t>
            </w:r>
          </w:p>
        </w:tc>
        <w:tc>
          <w:tcPr>
            <w:tcW w:type="dxa" w:w="2200"/>
            <w:tcMar>
              <w:top w:w="80" w:type="dxa"/>
              <w:start w:w="120" w:type="dxa"/>
              <w:bottom w:w="80" w:type="dxa"/>
              <w:end w:w="120" w:type="dxa"/>
            </w:tcMar>
            <w:vAlign w:val="top"/>
          </w:tcPr>
          <w:p>
            <w:pPr>
              <w:spacing w:after="40" w:line="252" w:lineRule="auto"/>
            </w:pPr>
            <w:r>
              <w:rPr>
                <w:sz w:val="18"/>
              </w:rPr>
              <w:t>50–500 markets / jurisdictions</w:t>
            </w:r>
          </w:p>
        </w:tc>
        <w:tc>
          <w:tcPr>
            <w:tcW w:type="dxa" w:w="5260"/>
            <w:tcMar>
              <w:top w:w="80" w:type="dxa"/>
              <w:start w:w="120" w:type="dxa"/>
              <w:bottom w:w="80" w:type="dxa"/>
              <w:end w:w="120" w:type="dxa"/>
            </w:tcMar>
            <w:vAlign w:val="top"/>
          </w:tcPr>
          <w:p>
            <w:pPr>
              <w:spacing w:after="40" w:line="252" w:lineRule="auto"/>
            </w:pPr>
            <w:r>
              <w:rPr>
                <w:sz w:val="18"/>
              </w:rPr>
              <w:t>Where should the search concentrate?</w:t>
            </w:r>
          </w:p>
        </w:tc>
      </w:tr>
      <w:tr>
        <w:tc>
          <w:tcPr>
            <w:tcW w:type="dxa" w:w="1900"/>
            <w:tcMar>
              <w:top w:w="80" w:type="dxa"/>
              <w:start w:w="120" w:type="dxa"/>
              <w:bottom w:w="80" w:type="dxa"/>
              <w:end w:w="120" w:type="dxa"/>
            </w:tcMar>
            <w:vAlign w:val="top"/>
          </w:tcPr>
          <w:p>
            <w:pPr>
              <w:spacing w:after="40" w:line="252" w:lineRule="auto"/>
            </w:pPr>
            <w:r>
              <w:rPr>
                <w:sz w:val="18"/>
              </w:rPr>
              <w:t>Parcel longlist</w:t>
            </w:r>
          </w:p>
        </w:tc>
        <w:tc>
          <w:tcPr>
            <w:tcW w:type="dxa" w:w="2200"/>
            <w:tcMar>
              <w:top w:w="80" w:type="dxa"/>
              <w:start w:w="120" w:type="dxa"/>
              <w:bottom w:w="80" w:type="dxa"/>
              <w:end w:w="120" w:type="dxa"/>
            </w:tcMar>
            <w:vAlign w:val="top"/>
          </w:tcPr>
          <w:p>
            <w:pPr>
              <w:spacing w:after="40" w:line="252" w:lineRule="auto"/>
            </w:pPr>
            <w:r>
              <w:rPr>
                <w:sz w:val="18"/>
              </w:rPr>
              <w:t>100–10,000 parcels</w:t>
            </w:r>
          </w:p>
        </w:tc>
        <w:tc>
          <w:tcPr>
            <w:tcW w:type="dxa" w:w="5260"/>
            <w:tcMar>
              <w:top w:w="80" w:type="dxa"/>
              <w:start w:w="120" w:type="dxa"/>
              <w:bottom w:w="80" w:type="dxa"/>
              <w:end w:w="120" w:type="dxa"/>
            </w:tcMar>
            <w:vAlign w:val="top"/>
          </w:tcPr>
          <w:p>
            <w:pPr>
              <w:spacing w:after="40" w:line="252" w:lineRule="auto"/>
            </w:pPr>
            <w:r>
              <w:rPr>
                <w:sz w:val="18"/>
              </w:rPr>
              <w:t>Which parcels survive hard filters?</w:t>
            </w:r>
          </w:p>
        </w:tc>
      </w:tr>
      <w:tr>
        <w:tc>
          <w:tcPr>
            <w:tcW w:type="dxa" w:w="1900"/>
            <w:tcMar>
              <w:top w:w="80" w:type="dxa"/>
              <w:start w:w="120" w:type="dxa"/>
              <w:bottom w:w="80" w:type="dxa"/>
              <w:end w:w="120" w:type="dxa"/>
            </w:tcMar>
            <w:vAlign w:val="top"/>
          </w:tcPr>
          <w:p>
            <w:pPr>
              <w:spacing w:after="40" w:line="252" w:lineRule="auto"/>
            </w:pPr>
            <w:r>
              <w:rPr>
                <w:sz w:val="18"/>
              </w:rPr>
              <w:t>Desktop shortlist</w:t>
            </w:r>
          </w:p>
        </w:tc>
        <w:tc>
          <w:tcPr>
            <w:tcW w:type="dxa" w:w="2200"/>
            <w:tcMar>
              <w:top w:w="80" w:type="dxa"/>
              <w:start w:w="120" w:type="dxa"/>
              <w:bottom w:w="80" w:type="dxa"/>
              <w:end w:w="120" w:type="dxa"/>
            </w:tcMar>
            <w:vAlign w:val="top"/>
          </w:tcPr>
          <w:p>
            <w:pPr>
              <w:spacing w:after="40" w:line="252" w:lineRule="auto"/>
            </w:pPr>
            <w:r>
              <w:rPr>
                <w:sz w:val="18"/>
              </w:rPr>
              <w:t>10–50 sites</w:t>
            </w:r>
          </w:p>
        </w:tc>
        <w:tc>
          <w:tcPr>
            <w:tcW w:type="dxa" w:w="5260"/>
            <w:tcMar>
              <w:top w:w="80" w:type="dxa"/>
              <w:start w:w="120" w:type="dxa"/>
              <w:bottom w:w="80" w:type="dxa"/>
              <w:end w:w="120" w:type="dxa"/>
            </w:tcMar>
            <w:vAlign w:val="top"/>
          </w:tcPr>
          <w:p>
            <w:pPr>
              <w:spacing w:after="40" w:line="252" w:lineRule="auto"/>
            </w:pPr>
            <w:r>
              <w:rPr>
                <w:sz w:val="18"/>
              </w:rPr>
              <w:t>Which sites merit owner, utility, and agency outreach?</w:t>
            </w:r>
          </w:p>
        </w:tc>
      </w:tr>
      <w:tr>
        <w:tc>
          <w:tcPr>
            <w:tcW w:type="dxa" w:w="1900"/>
            <w:tcMar>
              <w:top w:w="80" w:type="dxa"/>
              <w:start w:w="120" w:type="dxa"/>
              <w:bottom w:w="80" w:type="dxa"/>
              <w:end w:w="120" w:type="dxa"/>
            </w:tcMar>
            <w:vAlign w:val="top"/>
          </w:tcPr>
          <w:p>
            <w:pPr>
              <w:spacing w:after="40" w:line="252" w:lineRule="auto"/>
            </w:pPr>
            <w:r>
              <w:rPr>
                <w:sz w:val="18"/>
              </w:rPr>
              <w:t>Active candidates</w:t>
            </w:r>
          </w:p>
        </w:tc>
        <w:tc>
          <w:tcPr>
            <w:tcW w:type="dxa" w:w="2200"/>
            <w:tcMar>
              <w:top w:w="80" w:type="dxa"/>
              <w:start w:w="120" w:type="dxa"/>
              <w:bottom w:w="80" w:type="dxa"/>
              <w:end w:w="120" w:type="dxa"/>
            </w:tcMar>
            <w:vAlign w:val="top"/>
          </w:tcPr>
          <w:p>
            <w:pPr>
              <w:spacing w:after="40" w:line="252" w:lineRule="auto"/>
            </w:pPr>
            <w:r>
              <w:rPr>
                <w:sz w:val="18"/>
              </w:rPr>
              <w:t>3–10 sites</w:t>
            </w:r>
          </w:p>
        </w:tc>
        <w:tc>
          <w:tcPr>
            <w:tcW w:type="dxa" w:w="5260"/>
            <w:tcMar>
              <w:top w:w="80" w:type="dxa"/>
              <w:start w:w="120" w:type="dxa"/>
              <w:bottom w:w="80" w:type="dxa"/>
              <w:end w:w="120" w:type="dxa"/>
            </w:tcMar>
            <w:vAlign w:val="top"/>
          </w:tcPr>
          <w:p>
            <w:pPr>
              <w:spacing w:after="40" w:line="252" w:lineRule="auto"/>
            </w:pPr>
            <w:r>
              <w:rPr>
                <w:sz w:val="18"/>
              </w:rPr>
              <w:t>Which sites merit test fit, diligence, and site control?</w:t>
            </w:r>
          </w:p>
        </w:tc>
      </w:tr>
      <w:tr>
        <w:tc>
          <w:tcPr>
            <w:tcW w:type="dxa" w:w="1900"/>
            <w:tcMar>
              <w:top w:w="80" w:type="dxa"/>
              <w:start w:w="120" w:type="dxa"/>
              <w:bottom w:w="80" w:type="dxa"/>
              <w:end w:w="120" w:type="dxa"/>
            </w:tcMar>
            <w:vAlign w:val="top"/>
          </w:tcPr>
          <w:p>
            <w:pPr>
              <w:spacing w:after="40" w:line="252" w:lineRule="auto"/>
            </w:pPr>
            <w:r>
              <w:rPr>
                <w:sz w:val="18"/>
              </w:rPr>
              <w:t>Preferred site + backup</w:t>
            </w:r>
          </w:p>
        </w:tc>
        <w:tc>
          <w:tcPr>
            <w:tcW w:type="dxa" w:w="2200"/>
            <w:tcMar>
              <w:top w:w="80" w:type="dxa"/>
              <w:start w:w="120" w:type="dxa"/>
              <w:bottom w:w="80" w:type="dxa"/>
              <w:end w:w="120" w:type="dxa"/>
            </w:tcMar>
            <w:vAlign w:val="top"/>
          </w:tcPr>
          <w:p>
            <w:pPr>
              <w:spacing w:after="40" w:line="252" w:lineRule="auto"/>
            </w:pPr>
            <w:r>
              <w:rPr>
                <w:sz w:val="18"/>
              </w:rPr>
              <w:t>1–2 sites</w:t>
            </w:r>
          </w:p>
        </w:tc>
        <w:tc>
          <w:tcPr>
            <w:tcW w:type="dxa" w:w="5260"/>
            <w:tcMar>
              <w:top w:w="80" w:type="dxa"/>
              <w:start w:w="120" w:type="dxa"/>
              <w:bottom w:w="80" w:type="dxa"/>
              <w:end w:w="120" w:type="dxa"/>
            </w:tcMar>
            <w:vAlign w:val="top"/>
          </w:tcPr>
          <w:p>
            <w:pPr>
              <w:spacing w:after="40" w:line="252" w:lineRule="auto"/>
            </w:pPr>
            <w:r>
              <w:rPr>
                <w:sz w:val="18"/>
              </w:rPr>
              <w:t>Where should capital and negotiation attention concentrate?</w:t>
            </w:r>
          </w:p>
        </w:tc>
      </w:tr>
    </w:tbl>
    <w:p>
      <w:pPr>
        <w:pStyle w:val="Heading2"/>
      </w:pPr>
      <w:r>
        <w:t>What the final recommendation should contain</w:t>
      </w:r>
    </w:p>
    <w:p>
      <w:pPr>
        <w:pStyle w:val="ListBullet"/>
      </w:pPr>
      <w:r>
        <w:t>A preferred site and at least one credible backup.</w:t>
      </w:r>
    </w:p>
    <w:p>
      <w:pPr>
        <w:pStyle w:val="ListBullet"/>
      </w:pPr>
      <w:r>
        <w:t>A plain-language explanation of why each losing alternative was eliminated.</w:t>
      </w:r>
    </w:p>
    <w:p>
      <w:pPr>
        <w:pStyle w:val="ListBullet"/>
      </w:pPr>
      <w:r>
        <w:t>A site plan or test fit tied to the actual parcel boundary.</w:t>
      </w:r>
    </w:p>
    <w:p>
      <w:pPr>
        <w:pStyle w:val="ListBullet"/>
      </w:pPr>
      <w:r>
        <w:t>Utility, access, water, wastewater, and telecom assumptions with confirmation status.</w:t>
      </w:r>
    </w:p>
    <w:p>
      <w:pPr>
        <w:pStyle w:val="ListBullet"/>
      </w:pPr>
      <w:r>
        <w:t>Entitlement and permit path with dependencies, decision makers, and realistic schedule ranges.</w:t>
      </w:r>
    </w:p>
    <w:p>
      <w:pPr>
        <w:pStyle w:val="ListBullet"/>
      </w:pPr>
      <w:r>
        <w:t>A risk register that separates fatal flaws, mitigable risks, open questions, and accepted assumptions.</w:t>
      </w:r>
    </w:p>
    <w:p>
      <w:pPr>
        <w:pStyle w:val="ListBullet"/>
      </w:pPr>
      <w:r>
        <w:t>A source register so every material claim can be traced to an official record, document page, map layer, or named confirmation.</w:t>
      </w:r>
    </w:p>
    <w:p>
      <w:pPr>
        <w:pStyle w:val="Heading1"/>
      </w:pPr>
      <w:r>
        <w:t>1. Start with the decision—not the map</w:t>
      </w:r>
    </w:p>
    <w:p>
      <w:r>
        <w:t>The first deliverable is a site-selection brief. It is written before searching parcels. Its purpose is to prevent the search from drifting toward whatever happens to be easy to find or visually attractive on a map.</w:t>
      </w:r>
    </w:p>
    <w:p>
      <w:pPr>
        <w:pStyle w:val="Heading2"/>
      </w:pPr>
      <w:r>
        <w:t>The site-selection brief</w:t>
      </w:r>
    </w:p>
    <w:tbl>
      <w:tblPr>
        <w:tblStyle w:val="TableGrid"/>
        <w:tblW w:type="dxa" w:w="9360"/>
        <w:jc w:val="left"/>
        <w:tblLayout w:type="fixed"/>
        <w:tblLook w:firstColumn="1" w:firstRow="1" w:lastColumn="0" w:lastRow="0" w:noHBand="0" w:noVBand="1" w:val="04A0"/>
        <w:tblInd w:w="120" w:type="dxa"/>
      </w:tblPr>
      <w:tblGrid>
        <w:gridCol w:w="2100"/>
        <w:gridCol w:w="7260"/>
      </w:tblGrid>
      <w:tr>
        <w:tc>
          <w:tcPr>
            <w:tcW w:type="dxa" w:w="2100"/>
            <w:tcMar>
              <w:top w:w="80" w:type="dxa"/>
              <w:start w:w="120" w:type="dxa"/>
              <w:bottom w:w="80" w:type="dxa"/>
              <w:end w:w="120" w:type="dxa"/>
            </w:tcMar>
            <w:vAlign w:val="top"/>
            <w:shd w:fill="F2F4F7"/>
          </w:tcPr>
          <w:p>
            <w:pPr>
              <w:spacing w:after="0"/>
            </w:pPr>
            <w:r>
              <w:rPr>
                <w:b/>
                <w:color w:val="1F4D78"/>
                <w:sz w:val="18"/>
              </w:rPr>
              <w:t>Brief element</w:t>
            </w:r>
          </w:p>
        </w:tc>
        <w:tc>
          <w:tcPr>
            <w:tcW w:type="dxa" w:w="7260"/>
            <w:tcMar>
              <w:top w:w="80" w:type="dxa"/>
              <w:start w:w="120" w:type="dxa"/>
              <w:bottom w:w="80" w:type="dxa"/>
              <w:end w:w="120" w:type="dxa"/>
            </w:tcMar>
            <w:vAlign w:val="top"/>
            <w:shd w:fill="F2F4F7"/>
          </w:tcPr>
          <w:p>
            <w:pPr>
              <w:spacing w:after="0"/>
            </w:pPr>
            <w:r>
              <w:rPr>
                <w:b/>
                <w:color w:val="1F4D78"/>
                <w:sz w:val="18"/>
              </w:rPr>
              <w:t>Questions to resolve</w:t>
            </w:r>
          </w:p>
        </w:tc>
        <w:trPr>
          <w:tblHeader/>
        </w:trPr>
      </w:tr>
      <w:tr>
        <w:tc>
          <w:tcPr>
            <w:tcW w:type="dxa" w:w="2100"/>
            <w:tcMar>
              <w:top w:w="80" w:type="dxa"/>
              <w:start w:w="120" w:type="dxa"/>
              <w:bottom w:w="80" w:type="dxa"/>
              <w:end w:w="120" w:type="dxa"/>
            </w:tcMar>
            <w:vAlign w:val="top"/>
          </w:tcPr>
          <w:p>
            <w:pPr>
              <w:spacing w:after="40" w:line="252" w:lineRule="auto"/>
            </w:pPr>
            <w:r>
              <w:rPr>
                <w:sz w:val="18"/>
              </w:rPr>
              <w:t>Business objective</w:t>
            </w:r>
          </w:p>
        </w:tc>
        <w:tc>
          <w:tcPr>
            <w:tcW w:type="dxa" w:w="7260"/>
            <w:tcMar>
              <w:top w:w="80" w:type="dxa"/>
              <w:start w:w="120" w:type="dxa"/>
              <w:bottom w:w="80" w:type="dxa"/>
              <w:end w:w="120" w:type="dxa"/>
            </w:tcMar>
            <w:vAlign w:val="top"/>
          </w:tcPr>
          <w:p>
            <w:pPr>
              <w:spacing w:after="40" w:line="252" w:lineRule="auto"/>
            </w:pPr>
            <w:r>
              <w:rPr>
                <w:sz w:val="18"/>
              </w:rPr>
              <w:t>What outcome is the facility intended to produce? What launch date or capacity target drives the search?</w:t>
            </w:r>
          </w:p>
        </w:tc>
      </w:tr>
      <w:tr>
        <w:tc>
          <w:tcPr>
            <w:tcW w:type="dxa" w:w="2100"/>
            <w:tcMar>
              <w:top w:w="80" w:type="dxa"/>
              <w:start w:w="120" w:type="dxa"/>
              <w:bottom w:w="80" w:type="dxa"/>
              <w:end w:w="120" w:type="dxa"/>
            </w:tcMar>
            <w:vAlign w:val="top"/>
          </w:tcPr>
          <w:p>
            <w:pPr>
              <w:spacing w:after="40" w:line="252" w:lineRule="auto"/>
            </w:pPr>
            <w:r>
              <w:rPr>
                <w:sz w:val="18"/>
              </w:rPr>
              <w:t>Program</w:t>
            </w:r>
          </w:p>
        </w:tc>
        <w:tc>
          <w:tcPr>
            <w:tcW w:type="dxa" w:w="7260"/>
            <w:tcMar>
              <w:top w:w="80" w:type="dxa"/>
              <w:start w:w="120" w:type="dxa"/>
              <w:bottom w:w="80" w:type="dxa"/>
              <w:end w:w="120" w:type="dxa"/>
            </w:tcMar>
            <w:vAlign w:val="top"/>
          </w:tcPr>
          <w:p>
            <w:pPr>
              <w:spacing w:after="40" w:line="252" w:lineRule="auto"/>
            </w:pPr>
            <w:r>
              <w:rPr>
                <w:sz w:val="18"/>
              </w:rPr>
              <w:t>Land area, building area, phasing, parking, loading, yards, setbacks, security, redundancy, and expansion reserve.</w:t>
            </w:r>
          </w:p>
        </w:tc>
      </w:tr>
      <w:tr>
        <w:tc>
          <w:tcPr>
            <w:tcW w:type="dxa" w:w="2100"/>
            <w:tcMar>
              <w:top w:w="80" w:type="dxa"/>
              <w:start w:w="120" w:type="dxa"/>
              <w:bottom w:w="80" w:type="dxa"/>
              <w:end w:w="120" w:type="dxa"/>
            </w:tcMar>
            <w:vAlign w:val="top"/>
          </w:tcPr>
          <w:p>
            <w:pPr>
              <w:spacing w:after="40" w:line="252" w:lineRule="auto"/>
            </w:pPr>
            <w:r>
              <w:rPr>
                <w:sz w:val="18"/>
              </w:rPr>
              <w:t>Infrastructure</w:t>
            </w:r>
          </w:p>
        </w:tc>
        <w:tc>
          <w:tcPr>
            <w:tcW w:type="dxa" w:w="7260"/>
            <w:tcMar>
              <w:top w:w="80" w:type="dxa"/>
              <w:start w:w="120" w:type="dxa"/>
              <w:bottom w:w="80" w:type="dxa"/>
              <w:end w:w="120" w:type="dxa"/>
            </w:tcMar>
            <w:vAlign w:val="top"/>
          </w:tcPr>
          <w:p>
            <w:pPr>
              <w:spacing w:after="40" w:line="252" w:lineRule="auto"/>
            </w:pPr>
            <w:r>
              <w:rPr>
                <w:sz w:val="18"/>
              </w:rPr>
              <w:t>Electric load and ramp, voltage, water demand, wastewater discharge, gas, fiber routes, road class, rail or airport needs.</w:t>
            </w:r>
          </w:p>
        </w:tc>
      </w:tr>
      <w:tr>
        <w:tc>
          <w:tcPr>
            <w:tcW w:type="dxa" w:w="2100"/>
            <w:tcMar>
              <w:top w:w="80" w:type="dxa"/>
              <w:start w:w="120" w:type="dxa"/>
              <w:bottom w:w="80" w:type="dxa"/>
              <w:end w:w="120" w:type="dxa"/>
            </w:tcMar>
            <w:vAlign w:val="top"/>
          </w:tcPr>
          <w:p>
            <w:pPr>
              <w:spacing w:after="40" w:line="252" w:lineRule="auto"/>
            </w:pPr>
            <w:r>
              <w:rPr>
                <w:sz w:val="18"/>
              </w:rPr>
              <w:t>Geography</w:t>
            </w:r>
          </w:p>
        </w:tc>
        <w:tc>
          <w:tcPr>
            <w:tcW w:type="dxa" w:w="7260"/>
            <w:tcMar>
              <w:top w:w="80" w:type="dxa"/>
              <w:start w:w="120" w:type="dxa"/>
              <w:bottom w:w="80" w:type="dxa"/>
              <w:end w:w="120" w:type="dxa"/>
            </w:tcMar>
            <w:vAlign w:val="top"/>
          </w:tcPr>
          <w:p>
            <w:pPr>
              <w:spacing w:after="40" w:line="252" w:lineRule="auto"/>
            </w:pPr>
            <w:r>
              <w:rPr>
                <w:sz w:val="18"/>
              </w:rPr>
              <w:t>Required customer radius, labor shed, latency, grid region, state restrictions, tax posture, climate, and portfolio strategy.</w:t>
            </w:r>
          </w:p>
        </w:tc>
      </w:tr>
      <w:tr>
        <w:tc>
          <w:tcPr>
            <w:tcW w:type="dxa" w:w="2100"/>
            <w:tcMar>
              <w:top w:w="80" w:type="dxa"/>
              <w:start w:w="120" w:type="dxa"/>
              <w:bottom w:w="80" w:type="dxa"/>
              <w:end w:w="120" w:type="dxa"/>
            </w:tcMar>
            <w:vAlign w:val="top"/>
          </w:tcPr>
          <w:p>
            <w:pPr>
              <w:spacing w:after="40" w:line="252" w:lineRule="auto"/>
            </w:pPr>
            <w:r>
              <w:rPr>
                <w:sz w:val="18"/>
              </w:rPr>
              <w:t>Economics</w:t>
            </w:r>
          </w:p>
        </w:tc>
        <w:tc>
          <w:tcPr>
            <w:tcW w:type="dxa" w:w="7260"/>
            <w:tcMar>
              <w:top w:w="80" w:type="dxa"/>
              <w:start w:w="120" w:type="dxa"/>
              <w:bottom w:w="80" w:type="dxa"/>
              <w:end w:w="120" w:type="dxa"/>
            </w:tcMar>
            <w:vAlign w:val="top"/>
          </w:tcPr>
          <w:p>
            <w:pPr>
              <w:spacing w:after="40" w:line="252" w:lineRule="auto"/>
            </w:pPr>
            <w:r>
              <w:rPr>
                <w:sz w:val="18"/>
              </w:rPr>
              <w:t>Land basis, total development budget, off-site allowance, operating-cost ceiling, incentive assumptions, and required return.</w:t>
            </w:r>
          </w:p>
        </w:tc>
      </w:tr>
      <w:tr>
        <w:tc>
          <w:tcPr>
            <w:tcW w:type="dxa" w:w="2100"/>
            <w:tcMar>
              <w:top w:w="80" w:type="dxa"/>
              <w:start w:w="120" w:type="dxa"/>
              <w:bottom w:w="80" w:type="dxa"/>
              <w:end w:w="120" w:type="dxa"/>
            </w:tcMar>
            <w:vAlign w:val="top"/>
          </w:tcPr>
          <w:p>
            <w:pPr>
              <w:spacing w:after="40" w:line="252" w:lineRule="auto"/>
            </w:pPr>
            <w:r>
              <w:rPr>
                <w:sz w:val="18"/>
              </w:rPr>
              <w:t>Schedule</w:t>
            </w:r>
          </w:p>
        </w:tc>
        <w:tc>
          <w:tcPr>
            <w:tcW w:type="dxa" w:w="7260"/>
            <w:tcMar>
              <w:top w:w="80" w:type="dxa"/>
              <w:start w:w="120" w:type="dxa"/>
              <w:bottom w:w="80" w:type="dxa"/>
              <w:end w:w="120" w:type="dxa"/>
            </w:tcMar>
            <w:vAlign w:val="top"/>
          </w:tcPr>
          <w:p>
            <w:pPr>
              <w:spacing w:after="40" w:line="252" w:lineRule="auto"/>
            </w:pPr>
            <w:r>
              <w:rPr>
                <w:sz w:val="18"/>
              </w:rPr>
              <w:t>Need-by date, entitlement duration tolerance, utility lead time, acquisition deadline, and phase sequencing.</w:t>
            </w:r>
          </w:p>
        </w:tc>
      </w:tr>
      <w:tr>
        <w:tc>
          <w:tcPr>
            <w:tcW w:type="dxa" w:w="2100"/>
            <w:tcMar>
              <w:top w:w="80" w:type="dxa"/>
              <w:start w:w="120" w:type="dxa"/>
              <w:bottom w:w="80" w:type="dxa"/>
              <w:end w:w="120" w:type="dxa"/>
            </w:tcMar>
            <w:vAlign w:val="top"/>
          </w:tcPr>
          <w:p>
            <w:pPr>
              <w:spacing w:after="40" w:line="252" w:lineRule="auto"/>
            </w:pPr>
            <w:r>
              <w:rPr>
                <w:sz w:val="18"/>
              </w:rPr>
              <w:t>Risk posture</w:t>
            </w:r>
          </w:p>
        </w:tc>
        <w:tc>
          <w:tcPr>
            <w:tcW w:type="dxa" w:w="7260"/>
            <w:tcMar>
              <w:top w:w="80" w:type="dxa"/>
              <w:start w:w="120" w:type="dxa"/>
              <w:bottom w:w="80" w:type="dxa"/>
              <w:end w:w="120" w:type="dxa"/>
            </w:tcMar>
            <w:vAlign w:val="top"/>
          </w:tcPr>
          <w:p>
            <w:pPr>
              <w:spacing w:after="40" w:line="252" w:lineRule="auto"/>
            </w:pPr>
            <w:r>
              <w:rPr>
                <w:sz w:val="18"/>
              </w:rPr>
              <w:t>Which conditions are absolute dealbreakers? Which may be mitigated with money, design, schedule, or approvals?</w:t>
            </w:r>
          </w:p>
        </w:tc>
      </w:tr>
      <w:tr>
        <w:tc>
          <w:tcPr>
            <w:tcW w:type="dxa" w:w="2100"/>
            <w:tcMar>
              <w:top w:w="80" w:type="dxa"/>
              <w:start w:w="120" w:type="dxa"/>
              <w:bottom w:w="80" w:type="dxa"/>
              <w:end w:w="120" w:type="dxa"/>
            </w:tcMar>
            <w:vAlign w:val="top"/>
          </w:tcPr>
          <w:p>
            <w:pPr>
              <w:spacing w:after="40" w:line="252" w:lineRule="auto"/>
            </w:pPr>
            <w:r>
              <w:rPr>
                <w:sz w:val="18"/>
              </w:rPr>
              <w:t>Governance</w:t>
            </w:r>
          </w:p>
        </w:tc>
        <w:tc>
          <w:tcPr>
            <w:tcW w:type="dxa" w:w="7260"/>
            <w:tcMar>
              <w:top w:w="80" w:type="dxa"/>
              <w:start w:w="120" w:type="dxa"/>
              <w:bottom w:w="80" w:type="dxa"/>
              <w:end w:w="120" w:type="dxa"/>
            </w:tcMar>
            <w:vAlign w:val="top"/>
          </w:tcPr>
          <w:p>
            <w:pPr>
              <w:spacing w:after="40" w:line="252" w:lineRule="auto"/>
            </w:pPr>
            <w:r>
              <w:rPr>
                <w:sz w:val="18"/>
              </w:rPr>
              <w:t>Decision owner, functional reviewers, approval thresholds, documentation standard, and escalation path.</w:t>
            </w:r>
          </w:p>
        </w:tc>
      </w:tr>
    </w:tbl>
    <w:p>
      <w:pPr>
        <w:pStyle w:val="Heading2"/>
      </w:pPr>
      <w:r>
        <w:t>Hard filters versus weighted criteria</w:t>
      </w:r>
    </w:p>
    <w:p>
      <w:r>
        <w:t>A hard filter is binary: a candidate that fails is removed unless an authorized person explicitly overrides the rule. A weighted criterion differentiates among otherwise viable candidates. Mixing the two creates bad rankings—for example, a cheap site should not outrank a site that can actually receive the required power by the need date.</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tcMar>
              <w:top w:w="80" w:type="dxa"/>
              <w:start w:w="120" w:type="dxa"/>
              <w:bottom w:w="80" w:type="dxa"/>
              <w:end w:w="120" w:type="dxa"/>
            </w:tcMar>
            <w:vAlign w:val="top"/>
            <w:shd w:fill="F2F4F7"/>
          </w:tcPr>
          <w:p>
            <w:pPr>
              <w:spacing w:after="0"/>
            </w:pPr>
            <w:r>
              <w:rPr>
                <w:b/>
                <w:color w:val="1F4D78"/>
                <w:sz w:val="18"/>
              </w:rPr>
              <w:t>Hard filter examples</w:t>
            </w:r>
          </w:p>
        </w:tc>
        <w:tc>
          <w:tcPr>
            <w:tcW w:type="dxa" w:w="4680"/>
            <w:tcMar>
              <w:top w:w="80" w:type="dxa"/>
              <w:start w:w="120" w:type="dxa"/>
              <w:bottom w:w="80" w:type="dxa"/>
              <w:end w:w="120" w:type="dxa"/>
            </w:tcMar>
            <w:vAlign w:val="top"/>
            <w:shd w:fill="F2F4F7"/>
          </w:tcPr>
          <w:p>
            <w:pPr>
              <w:spacing w:after="0"/>
            </w:pPr>
            <w:r>
              <w:rPr>
                <w:b/>
                <w:color w:val="1F4D78"/>
                <w:sz w:val="18"/>
              </w:rPr>
              <w:t>Weighted criterion examples</w:t>
            </w:r>
          </w:p>
        </w:tc>
        <w:trPr>
          <w:tblHeader/>
        </w:trPr>
      </w:tr>
      <w:tr>
        <w:tc>
          <w:tcPr>
            <w:tcW w:type="dxa" w:w="4680"/>
            <w:tcMar>
              <w:top w:w="80" w:type="dxa"/>
              <w:start w:w="120" w:type="dxa"/>
              <w:bottom w:w="80" w:type="dxa"/>
              <w:end w:w="120" w:type="dxa"/>
            </w:tcMar>
            <w:vAlign w:val="top"/>
          </w:tcPr>
          <w:p>
            <w:pPr>
              <w:spacing w:after="40" w:line="252" w:lineRule="auto"/>
            </w:pPr>
            <w:r>
              <w:rPr>
                <w:sz w:val="18"/>
              </w:rPr>
              <w:t>Minimum usable acreage</w:t>
            </w:r>
          </w:p>
        </w:tc>
        <w:tc>
          <w:tcPr>
            <w:tcW w:type="dxa" w:w="4680"/>
            <w:tcMar>
              <w:top w:w="80" w:type="dxa"/>
              <w:start w:w="120" w:type="dxa"/>
              <w:bottom w:w="80" w:type="dxa"/>
              <w:end w:w="120" w:type="dxa"/>
            </w:tcMar>
            <w:vAlign w:val="top"/>
          </w:tcPr>
          <w:p>
            <w:pPr>
              <w:spacing w:after="40" w:line="252" w:lineRule="auto"/>
            </w:pPr>
            <w:r>
              <w:rPr>
                <w:sz w:val="18"/>
              </w:rPr>
              <w:t>Land price and carrying cost</w:t>
            </w:r>
          </w:p>
        </w:tc>
      </w:tr>
      <w:tr>
        <w:tc>
          <w:tcPr>
            <w:tcW w:type="dxa" w:w="4680"/>
            <w:tcMar>
              <w:top w:w="80" w:type="dxa"/>
              <w:start w:w="120" w:type="dxa"/>
              <w:bottom w:w="80" w:type="dxa"/>
              <w:end w:w="120" w:type="dxa"/>
            </w:tcMar>
            <w:vAlign w:val="top"/>
          </w:tcPr>
          <w:p>
            <w:pPr>
              <w:spacing w:after="40" w:line="252" w:lineRule="auto"/>
            </w:pPr>
            <w:r>
              <w:rPr>
                <w:sz w:val="18"/>
              </w:rPr>
              <w:t>Required use allowed or credibly entitlable</w:t>
            </w:r>
          </w:p>
        </w:tc>
        <w:tc>
          <w:tcPr>
            <w:tcW w:type="dxa" w:w="4680"/>
            <w:tcMar>
              <w:top w:w="80" w:type="dxa"/>
              <w:start w:w="120" w:type="dxa"/>
              <w:bottom w:w="80" w:type="dxa"/>
              <w:end w:w="120" w:type="dxa"/>
            </w:tcMar>
            <w:vAlign w:val="top"/>
          </w:tcPr>
          <w:p>
            <w:pPr>
              <w:spacing w:after="40" w:line="252" w:lineRule="auto"/>
            </w:pPr>
            <w:r>
              <w:rPr>
                <w:sz w:val="18"/>
              </w:rPr>
              <w:t>Relative entitlement complexity</w:t>
            </w:r>
          </w:p>
        </w:tc>
      </w:tr>
      <w:tr>
        <w:tc>
          <w:tcPr>
            <w:tcW w:type="dxa" w:w="4680"/>
            <w:tcMar>
              <w:top w:w="80" w:type="dxa"/>
              <w:start w:w="120" w:type="dxa"/>
              <w:bottom w:w="80" w:type="dxa"/>
              <w:end w:w="120" w:type="dxa"/>
            </w:tcMar>
            <w:vAlign w:val="top"/>
          </w:tcPr>
          <w:p>
            <w:pPr>
              <w:spacing w:after="40" w:line="252" w:lineRule="auto"/>
            </w:pPr>
            <w:r>
              <w:rPr>
                <w:sz w:val="18"/>
              </w:rPr>
              <w:t>Ability to achieve utility service by need date</w:t>
            </w:r>
          </w:p>
        </w:tc>
        <w:tc>
          <w:tcPr>
            <w:tcW w:type="dxa" w:w="4680"/>
            <w:tcMar>
              <w:top w:w="80" w:type="dxa"/>
              <w:start w:w="120" w:type="dxa"/>
              <w:bottom w:w="80" w:type="dxa"/>
              <w:end w:w="120" w:type="dxa"/>
            </w:tcMar>
            <w:vAlign w:val="top"/>
          </w:tcPr>
          <w:p>
            <w:pPr>
              <w:spacing w:after="40" w:line="252" w:lineRule="auto"/>
            </w:pPr>
            <w:r>
              <w:rPr>
                <w:sz w:val="18"/>
              </w:rPr>
              <w:t>Operating utility rate</w:t>
            </w:r>
          </w:p>
        </w:tc>
      </w:tr>
      <w:tr>
        <w:tc>
          <w:tcPr>
            <w:tcW w:type="dxa" w:w="4680"/>
            <w:tcMar>
              <w:top w:w="80" w:type="dxa"/>
              <w:start w:w="120" w:type="dxa"/>
              <w:bottom w:w="80" w:type="dxa"/>
              <w:end w:w="120" w:type="dxa"/>
            </w:tcMar>
            <w:vAlign w:val="top"/>
          </w:tcPr>
          <w:p>
            <w:pPr>
              <w:spacing w:after="40" w:line="252" w:lineRule="auto"/>
            </w:pPr>
            <w:r>
              <w:rPr>
                <w:sz w:val="18"/>
              </w:rPr>
              <w:t>No non-mitigable access or environmental conflict</w:t>
            </w:r>
          </w:p>
        </w:tc>
        <w:tc>
          <w:tcPr>
            <w:tcW w:type="dxa" w:w="4680"/>
            <w:tcMar>
              <w:top w:w="80" w:type="dxa"/>
              <w:start w:w="120" w:type="dxa"/>
              <w:bottom w:w="80" w:type="dxa"/>
              <w:end w:w="120" w:type="dxa"/>
            </w:tcMar>
            <w:vAlign w:val="top"/>
          </w:tcPr>
          <w:p>
            <w:pPr>
              <w:spacing w:after="40" w:line="252" w:lineRule="auto"/>
            </w:pPr>
            <w:r>
              <w:rPr>
                <w:sz w:val="18"/>
              </w:rPr>
              <w:t>Labor depth and wage level</w:t>
            </w:r>
          </w:p>
        </w:tc>
      </w:tr>
      <w:tr>
        <w:tc>
          <w:tcPr>
            <w:tcW w:type="dxa" w:w="4680"/>
            <w:tcMar>
              <w:top w:w="80" w:type="dxa"/>
              <w:start w:w="120" w:type="dxa"/>
              <w:bottom w:w="80" w:type="dxa"/>
              <w:end w:w="120" w:type="dxa"/>
            </w:tcMar>
            <w:vAlign w:val="top"/>
          </w:tcPr>
          <w:p>
            <w:pPr>
              <w:spacing w:after="40" w:line="252" w:lineRule="auto"/>
            </w:pPr>
            <w:r>
              <w:rPr>
                <w:sz w:val="18"/>
              </w:rPr>
              <w:t>Owner willing and able to transact</w:t>
            </w:r>
          </w:p>
        </w:tc>
        <w:tc>
          <w:tcPr>
            <w:tcW w:type="dxa" w:w="4680"/>
            <w:tcMar>
              <w:top w:w="80" w:type="dxa"/>
              <w:start w:w="120" w:type="dxa"/>
              <w:bottom w:w="80" w:type="dxa"/>
              <w:end w:w="120" w:type="dxa"/>
            </w:tcMar>
            <w:vAlign w:val="top"/>
          </w:tcPr>
          <w:p>
            <w:pPr>
              <w:spacing w:after="40" w:line="252" w:lineRule="auto"/>
            </w:pPr>
            <w:r>
              <w:rPr>
                <w:sz w:val="18"/>
              </w:rPr>
              <w:t>Incentive potential</w:t>
            </w:r>
          </w:p>
        </w:tc>
      </w:tr>
    </w:tbl>
    <w:p>
      <w:pPr>
        <w:pStyle w:val="Heading1"/>
      </w:pPr>
      <w:r>
        <w:t>2. The first ten business days</w:t>
      </w:r>
    </w:p>
    <w:tbl>
      <w:tblPr>
        <w:tblStyle w:val="TableGrid"/>
        <w:tblW w:type="dxa" w:w="9360"/>
        <w:jc w:val="left"/>
        <w:tblLayout w:type="fixed"/>
        <w:tblLook w:firstColumn="1" w:firstRow="1" w:lastColumn="0" w:lastRow="0" w:noHBand="0" w:noVBand="1" w:val="04A0"/>
        <w:tblInd w:w="120" w:type="dxa"/>
      </w:tblPr>
      <w:tblGrid>
        <w:gridCol w:w="1350"/>
        <w:gridCol w:w="5150"/>
        <w:gridCol w:w="2860"/>
      </w:tblGrid>
      <w:tr>
        <w:tc>
          <w:tcPr>
            <w:tcW w:type="dxa" w:w="1350"/>
            <w:tcMar>
              <w:top w:w="80" w:type="dxa"/>
              <w:start w:w="120" w:type="dxa"/>
              <w:bottom w:w="80" w:type="dxa"/>
              <w:end w:w="120" w:type="dxa"/>
            </w:tcMar>
            <w:vAlign w:val="top"/>
            <w:shd w:fill="F2F4F7"/>
          </w:tcPr>
          <w:p>
            <w:pPr>
              <w:spacing w:after="0"/>
            </w:pPr>
            <w:r>
              <w:rPr>
                <w:b/>
                <w:color w:val="1F4D78"/>
                <w:sz w:val="18"/>
              </w:rPr>
              <w:t>When</w:t>
            </w:r>
          </w:p>
        </w:tc>
        <w:tc>
          <w:tcPr>
            <w:tcW w:type="dxa" w:w="5150"/>
            <w:tcMar>
              <w:top w:w="80" w:type="dxa"/>
              <w:start w:w="120" w:type="dxa"/>
              <w:bottom w:w="80" w:type="dxa"/>
              <w:end w:w="120" w:type="dxa"/>
            </w:tcMar>
            <w:vAlign w:val="top"/>
            <w:shd w:fill="F2F4F7"/>
          </w:tcPr>
          <w:p>
            <w:pPr>
              <w:spacing w:after="0"/>
            </w:pPr>
            <w:r>
              <w:rPr>
                <w:b/>
                <w:color w:val="1F4D78"/>
                <w:sz w:val="18"/>
              </w:rPr>
              <w:t>Work</w:t>
            </w:r>
          </w:p>
        </w:tc>
        <w:tc>
          <w:tcPr>
            <w:tcW w:type="dxa" w:w="2860"/>
            <w:tcMar>
              <w:top w:w="80" w:type="dxa"/>
              <w:start w:w="120" w:type="dxa"/>
              <w:bottom w:w="80" w:type="dxa"/>
              <w:end w:w="120" w:type="dxa"/>
            </w:tcMar>
            <w:vAlign w:val="top"/>
            <w:shd w:fill="F2F4F7"/>
          </w:tcPr>
          <w:p>
            <w:pPr>
              <w:spacing w:after="0"/>
            </w:pPr>
            <w:r>
              <w:rPr>
                <w:b/>
                <w:color w:val="1F4D78"/>
                <w:sz w:val="18"/>
              </w:rPr>
              <w:t>Output</w:t>
            </w:r>
          </w:p>
        </w:tc>
        <w:trPr>
          <w:tblHeader/>
        </w:trPr>
      </w:tr>
      <w:tr>
        <w:tc>
          <w:tcPr>
            <w:tcW w:type="dxa" w:w="1350"/>
            <w:tcMar>
              <w:top w:w="80" w:type="dxa"/>
              <w:start w:w="120" w:type="dxa"/>
              <w:bottom w:w="80" w:type="dxa"/>
              <w:end w:w="120" w:type="dxa"/>
            </w:tcMar>
            <w:vAlign w:val="top"/>
          </w:tcPr>
          <w:p>
            <w:pPr>
              <w:spacing w:after="40" w:line="252" w:lineRule="auto"/>
            </w:pPr>
            <w:r>
              <w:rPr>
                <w:sz w:val="18"/>
              </w:rPr>
              <w:t>Days 1–2</w:t>
            </w:r>
          </w:p>
        </w:tc>
        <w:tc>
          <w:tcPr>
            <w:tcW w:type="dxa" w:w="5150"/>
            <w:tcMar>
              <w:top w:w="80" w:type="dxa"/>
              <w:start w:w="120" w:type="dxa"/>
              <w:bottom w:w="80" w:type="dxa"/>
              <w:end w:w="120" w:type="dxa"/>
            </w:tcMar>
            <w:vAlign w:val="top"/>
          </w:tcPr>
          <w:p>
            <w:pPr>
              <w:spacing w:after="40" w:line="252" w:lineRule="auto"/>
            </w:pPr>
            <w:r>
              <w:rPr>
                <w:sz w:val="18"/>
              </w:rPr>
              <w:t>Interview sponsor and functional leads; document program, need date, economics, and risk posture.</w:t>
            </w:r>
          </w:p>
        </w:tc>
        <w:tc>
          <w:tcPr>
            <w:tcW w:type="dxa" w:w="2860"/>
            <w:tcMar>
              <w:top w:w="80" w:type="dxa"/>
              <w:start w:w="120" w:type="dxa"/>
              <w:bottom w:w="80" w:type="dxa"/>
              <w:end w:w="120" w:type="dxa"/>
            </w:tcMar>
            <w:vAlign w:val="top"/>
          </w:tcPr>
          <w:p>
            <w:pPr>
              <w:spacing w:after="40" w:line="252" w:lineRule="auto"/>
            </w:pPr>
            <w:r>
              <w:rPr>
                <w:sz w:val="18"/>
              </w:rPr>
              <w:t>Approved site-selection brief</w:t>
            </w:r>
          </w:p>
        </w:tc>
      </w:tr>
      <w:tr>
        <w:tc>
          <w:tcPr>
            <w:tcW w:type="dxa" w:w="1350"/>
            <w:tcMar>
              <w:top w:w="80" w:type="dxa"/>
              <w:start w:w="120" w:type="dxa"/>
              <w:bottom w:w="80" w:type="dxa"/>
              <w:end w:w="120" w:type="dxa"/>
            </w:tcMar>
            <w:vAlign w:val="top"/>
          </w:tcPr>
          <w:p>
            <w:pPr>
              <w:spacing w:after="40" w:line="252" w:lineRule="auto"/>
            </w:pPr>
            <w:r>
              <w:rPr>
                <w:sz w:val="18"/>
              </w:rPr>
              <w:t>Days 2–3</w:t>
            </w:r>
          </w:p>
        </w:tc>
        <w:tc>
          <w:tcPr>
            <w:tcW w:type="dxa" w:w="5150"/>
            <w:tcMar>
              <w:top w:w="80" w:type="dxa"/>
              <w:start w:w="120" w:type="dxa"/>
              <w:bottom w:w="80" w:type="dxa"/>
              <w:end w:w="120" w:type="dxa"/>
            </w:tcMar>
            <w:vAlign w:val="top"/>
          </w:tcPr>
          <w:p>
            <w:pPr>
              <w:spacing w:after="40" w:line="252" w:lineRule="auto"/>
            </w:pPr>
            <w:r>
              <w:rPr>
                <w:sz w:val="18"/>
              </w:rPr>
              <w:t>Separate hard filters from scored criteria; define evidence required to pass each gate.</w:t>
            </w:r>
          </w:p>
        </w:tc>
        <w:tc>
          <w:tcPr>
            <w:tcW w:type="dxa" w:w="2860"/>
            <w:tcMar>
              <w:top w:w="80" w:type="dxa"/>
              <w:start w:w="120" w:type="dxa"/>
              <w:bottom w:w="80" w:type="dxa"/>
              <w:end w:w="120" w:type="dxa"/>
            </w:tcMar>
            <w:vAlign w:val="top"/>
          </w:tcPr>
          <w:p>
            <w:pPr>
              <w:spacing w:after="40" w:line="252" w:lineRule="auto"/>
            </w:pPr>
            <w:r>
              <w:rPr>
                <w:sz w:val="18"/>
              </w:rPr>
              <w:t>Criteria dictionary and gate rules</w:t>
            </w:r>
          </w:p>
        </w:tc>
      </w:tr>
      <w:tr>
        <w:tc>
          <w:tcPr>
            <w:tcW w:type="dxa" w:w="1350"/>
            <w:tcMar>
              <w:top w:w="80" w:type="dxa"/>
              <w:start w:w="120" w:type="dxa"/>
              <w:bottom w:w="80" w:type="dxa"/>
              <w:end w:w="120" w:type="dxa"/>
            </w:tcMar>
            <w:vAlign w:val="top"/>
          </w:tcPr>
          <w:p>
            <w:pPr>
              <w:spacing w:after="40" w:line="252" w:lineRule="auto"/>
            </w:pPr>
            <w:r>
              <w:rPr>
                <w:sz w:val="18"/>
              </w:rPr>
              <w:t>Days 3–4</w:t>
            </w:r>
          </w:p>
        </w:tc>
        <w:tc>
          <w:tcPr>
            <w:tcW w:type="dxa" w:w="5150"/>
            <w:tcMar>
              <w:top w:w="80" w:type="dxa"/>
              <w:start w:w="120" w:type="dxa"/>
              <w:bottom w:w="80" w:type="dxa"/>
              <w:end w:w="120" w:type="dxa"/>
            </w:tcMar>
            <w:vAlign w:val="top"/>
          </w:tcPr>
          <w:p>
            <w:pPr>
              <w:spacing w:after="40" w:line="252" w:lineRule="auto"/>
            </w:pPr>
            <w:r>
              <w:rPr>
                <w:sz w:val="18"/>
              </w:rPr>
              <w:t>Define the market unit, parcel unit, and source hierarchy; identify unavailable or stale data.</w:t>
            </w:r>
          </w:p>
        </w:tc>
        <w:tc>
          <w:tcPr>
            <w:tcW w:type="dxa" w:w="2860"/>
            <w:tcMar>
              <w:top w:w="80" w:type="dxa"/>
              <w:start w:w="120" w:type="dxa"/>
              <w:bottom w:w="80" w:type="dxa"/>
              <w:end w:w="120" w:type="dxa"/>
            </w:tcMar>
            <w:vAlign w:val="top"/>
          </w:tcPr>
          <w:p>
            <w:pPr>
              <w:spacing w:after="40" w:line="252" w:lineRule="auto"/>
            </w:pPr>
            <w:r>
              <w:rPr>
                <w:sz w:val="18"/>
              </w:rPr>
              <w:t>Data plan and source register</w:t>
            </w:r>
          </w:p>
        </w:tc>
      </w:tr>
      <w:tr>
        <w:tc>
          <w:tcPr>
            <w:tcW w:type="dxa" w:w="1350"/>
            <w:tcMar>
              <w:top w:w="80" w:type="dxa"/>
              <w:start w:w="120" w:type="dxa"/>
              <w:bottom w:w="80" w:type="dxa"/>
              <w:end w:w="120" w:type="dxa"/>
            </w:tcMar>
            <w:vAlign w:val="top"/>
          </w:tcPr>
          <w:p>
            <w:pPr>
              <w:spacing w:after="40" w:line="252" w:lineRule="auto"/>
            </w:pPr>
            <w:r>
              <w:rPr>
                <w:sz w:val="18"/>
              </w:rPr>
              <w:t>Days 4–6</w:t>
            </w:r>
          </w:p>
        </w:tc>
        <w:tc>
          <w:tcPr>
            <w:tcW w:type="dxa" w:w="5150"/>
            <w:tcMar>
              <w:top w:w="80" w:type="dxa"/>
              <w:start w:w="120" w:type="dxa"/>
              <w:bottom w:w="80" w:type="dxa"/>
              <w:end w:w="120" w:type="dxa"/>
            </w:tcMar>
            <w:vAlign w:val="top"/>
          </w:tcPr>
          <w:p>
            <w:pPr>
              <w:spacing w:after="40" w:line="252" w:lineRule="auto"/>
            </w:pPr>
            <w:r>
              <w:rPr>
                <w:sz w:val="18"/>
              </w:rPr>
              <w:t>Build market and jurisdiction universe; apply true exclusions before scoring.</w:t>
            </w:r>
          </w:p>
        </w:tc>
        <w:tc>
          <w:tcPr>
            <w:tcW w:type="dxa" w:w="2860"/>
            <w:tcMar>
              <w:top w:w="80" w:type="dxa"/>
              <w:start w:w="120" w:type="dxa"/>
              <w:bottom w:w="80" w:type="dxa"/>
              <w:end w:w="120" w:type="dxa"/>
            </w:tcMar>
            <w:vAlign w:val="top"/>
          </w:tcPr>
          <w:p>
            <w:pPr>
              <w:spacing w:after="40" w:line="252" w:lineRule="auto"/>
            </w:pPr>
            <w:r>
              <w:rPr>
                <w:sz w:val="18"/>
              </w:rPr>
              <w:t>Market longlist and elimination log</w:t>
            </w:r>
          </w:p>
        </w:tc>
      </w:tr>
      <w:tr>
        <w:tc>
          <w:tcPr>
            <w:tcW w:type="dxa" w:w="1350"/>
            <w:tcMar>
              <w:top w:w="80" w:type="dxa"/>
              <w:start w:w="120" w:type="dxa"/>
              <w:bottom w:w="80" w:type="dxa"/>
              <w:end w:w="120" w:type="dxa"/>
            </w:tcMar>
            <w:vAlign w:val="top"/>
          </w:tcPr>
          <w:p>
            <w:pPr>
              <w:spacing w:after="40" w:line="252" w:lineRule="auto"/>
            </w:pPr>
            <w:r>
              <w:rPr>
                <w:sz w:val="18"/>
              </w:rPr>
              <w:t>Days 6–8</w:t>
            </w:r>
          </w:p>
        </w:tc>
        <w:tc>
          <w:tcPr>
            <w:tcW w:type="dxa" w:w="5150"/>
            <w:tcMar>
              <w:top w:w="80" w:type="dxa"/>
              <w:start w:w="120" w:type="dxa"/>
              <w:bottom w:w="80" w:type="dxa"/>
              <w:end w:w="120" w:type="dxa"/>
            </w:tcMar>
            <w:vAlign w:val="top"/>
          </w:tcPr>
          <w:p>
            <w:pPr>
              <w:spacing w:after="40" w:line="252" w:lineRule="auto"/>
            </w:pPr>
            <w:r>
              <w:rPr>
                <w:sz w:val="18"/>
              </w:rPr>
              <w:t>Assemble parcel universe in priority markets; normalize APNs, ownership, and jurisdictions.</w:t>
            </w:r>
          </w:p>
        </w:tc>
        <w:tc>
          <w:tcPr>
            <w:tcW w:type="dxa" w:w="2860"/>
            <w:tcMar>
              <w:top w:w="80" w:type="dxa"/>
              <w:start w:w="120" w:type="dxa"/>
              <w:bottom w:w="80" w:type="dxa"/>
              <w:end w:w="120" w:type="dxa"/>
            </w:tcMar>
            <w:vAlign w:val="top"/>
          </w:tcPr>
          <w:p>
            <w:pPr>
              <w:spacing w:after="40" w:line="252" w:lineRule="auto"/>
            </w:pPr>
            <w:r>
              <w:rPr>
                <w:sz w:val="18"/>
              </w:rPr>
              <w:t>Parcel longlist</w:t>
            </w:r>
          </w:p>
        </w:tc>
      </w:tr>
      <w:tr>
        <w:tc>
          <w:tcPr>
            <w:tcW w:type="dxa" w:w="1350"/>
            <w:tcMar>
              <w:top w:w="80" w:type="dxa"/>
              <w:start w:w="120" w:type="dxa"/>
              <w:bottom w:w="80" w:type="dxa"/>
              <w:end w:w="120" w:type="dxa"/>
            </w:tcMar>
            <w:vAlign w:val="top"/>
          </w:tcPr>
          <w:p>
            <w:pPr>
              <w:spacing w:after="40" w:line="252" w:lineRule="auto"/>
            </w:pPr>
            <w:r>
              <w:rPr>
                <w:sz w:val="18"/>
              </w:rPr>
              <w:t>Days 8–10</w:t>
            </w:r>
          </w:p>
        </w:tc>
        <w:tc>
          <w:tcPr>
            <w:tcW w:type="dxa" w:w="5150"/>
            <w:tcMar>
              <w:top w:w="80" w:type="dxa"/>
              <w:start w:w="120" w:type="dxa"/>
              <w:bottom w:w="80" w:type="dxa"/>
              <w:end w:w="120" w:type="dxa"/>
            </w:tcMar>
            <w:vAlign w:val="top"/>
          </w:tcPr>
          <w:p>
            <w:pPr>
              <w:spacing w:after="40" w:line="252" w:lineRule="auto"/>
            </w:pPr>
            <w:r>
              <w:rPr>
                <w:sz w:val="18"/>
              </w:rPr>
              <w:t>Run desktop fatal-flaw screen; manually verify the highest-ranked candidates.</w:t>
            </w:r>
          </w:p>
        </w:tc>
        <w:tc>
          <w:tcPr>
            <w:tcW w:type="dxa" w:w="2860"/>
            <w:tcMar>
              <w:top w:w="80" w:type="dxa"/>
              <w:start w:w="120" w:type="dxa"/>
              <w:bottom w:w="80" w:type="dxa"/>
              <w:end w:w="120" w:type="dxa"/>
            </w:tcMar>
            <w:vAlign w:val="top"/>
          </w:tcPr>
          <w:p>
            <w:pPr>
              <w:spacing w:after="40" w:line="252" w:lineRule="auto"/>
            </w:pPr>
            <w:r>
              <w:rPr>
                <w:sz w:val="18"/>
              </w:rPr>
              <w:t>Initial shortlist and open-question list</w:t>
            </w:r>
          </w:p>
        </w:tc>
      </w:tr>
    </w:tbl>
    <w:p>
      <w:pPr>
        <w:pStyle w:val="Heading2"/>
      </w:pPr>
      <w:r>
        <w:t>What not to do first</w:t>
      </w:r>
    </w:p>
    <w:p>
      <w:pPr>
        <w:pStyle w:val="ListBullet"/>
      </w:pPr>
      <w:r>
        <w:t>Do not begin by browsing broker listings; listings are one supply channel, not the search universe.</w:t>
      </w:r>
    </w:p>
    <w:p>
      <w:pPr>
        <w:pStyle w:val="ListBullet"/>
      </w:pPr>
      <w:r>
        <w:t>Do not create a 100-point score before defining fatal flaws and evidence standards.</w:t>
      </w:r>
    </w:p>
    <w:p>
      <w:pPr>
        <w:pStyle w:val="ListBullet"/>
      </w:pPr>
      <w:r>
        <w:t>Do not assume that a parcel boundary, owner name, zoning code, or utility line shown by one vendor is current.</w:t>
      </w:r>
    </w:p>
    <w:p>
      <w:pPr>
        <w:pStyle w:val="ListBullet"/>
      </w:pPr>
      <w:r>
        <w:t>Do not ask utilities for generic capacity. Ask whether a stated load, ramp, redundancy, voltage, and need date can be served at the specific site and what study process is required.</w:t>
      </w:r>
    </w:p>
    <w:p>
      <w:pPr>
        <w:pStyle w:val="ListBullet"/>
      </w:pPr>
      <w:r>
        <w:t>Do not present a ranked list without an elimination log and a statement of unresolved assumptions.</w:t>
      </w:r>
    </w:p>
    <w:p>
      <w:r>
        <w:br w:type="page"/>
      </w:r>
    </w:p>
    <w:p>
      <w:pPr>
        <w:pStyle w:val="Heading1"/>
      </w:pPr>
      <w:r>
        <w:t>3. The end-to-end stage-gate process</w:t>
      </w:r>
    </w:p>
    <w:tbl>
      <w:tblPr>
        <w:tblStyle w:val="TableGrid"/>
        <w:tblW w:type="dxa" w:w="9360"/>
        <w:jc w:val="left"/>
        <w:tblLayout w:type="fixed"/>
        <w:tblLook w:firstColumn="1" w:firstRow="1" w:lastColumn="0" w:lastRow="0" w:noHBand="0" w:noVBand="1" w:val="04A0"/>
        <w:tblInd w:w="120" w:type="dxa"/>
      </w:tblPr>
      <w:tblGrid>
        <w:gridCol w:w="1450"/>
        <w:gridCol w:w="3000"/>
        <w:gridCol w:w="4910"/>
      </w:tblGrid>
      <w:tr>
        <w:tc>
          <w:tcPr>
            <w:tcW w:type="dxa" w:w="1450"/>
            <w:tcMar>
              <w:top w:w="80" w:type="dxa"/>
              <w:start w:w="120" w:type="dxa"/>
              <w:bottom w:w="80" w:type="dxa"/>
              <w:end w:w="120" w:type="dxa"/>
            </w:tcMar>
            <w:vAlign w:val="top"/>
            <w:shd w:fill="F2F4F7"/>
          </w:tcPr>
          <w:p>
            <w:pPr>
              <w:spacing w:after="0"/>
            </w:pPr>
            <w:r>
              <w:rPr>
                <w:b/>
                <w:color w:val="1F4D78"/>
                <w:sz w:val="18"/>
              </w:rPr>
              <w:t>Gate</w:t>
            </w:r>
          </w:p>
        </w:tc>
        <w:tc>
          <w:tcPr>
            <w:tcW w:type="dxa" w:w="3000"/>
            <w:tcMar>
              <w:top w:w="80" w:type="dxa"/>
              <w:start w:w="120" w:type="dxa"/>
              <w:bottom w:w="80" w:type="dxa"/>
              <w:end w:w="120" w:type="dxa"/>
            </w:tcMar>
            <w:vAlign w:val="top"/>
            <w:shd w:fill="F2F4F7"/>
          </w:tcPr>
          <w:p>
            <w:pPr>
              <w:spacing w:after="0"/>
            </w:pPr>
            <w:r>
              <w:rPr>
                <w:b/>
                <w:color w:val="1F4D78"/>
                <w:sz w:val="18"/>
              </w:rPr>
              <w:t>Purpose</w:t>
            </w:r>
          </w:p>
        </w:tc>
        <w:tc>
          <w:tcPr>
            <w:tcW w:type="dxa" w:w="4910"/>
            <w:tcMar>
              <w:top w:w="80" w:type="dxa"/>
              <w:start w:w="120" w:type="dxa"/>
              <w:bottom w:w="80" w:type="dxa"/>
              <w:end w:w="120" w:type="dxa"/>
            </w:tcMar>
            <w:vAlign w:val="top"/>
            <w:shd w:fill="F2F4F7"/>
          </w:tcPr>
          <w:p>
            <w:pPr>
              <w:spacing w:after="0"/>
            </w:pPr>
            <w:r>
              <w:rPr>
                <w:b/>
                <w:color w:val="1F4D78"/>
                <w:sz w:val="18"/>
              </w:rPr>
              <w:t>Minimum evidence to advance</w:t>
            </w:r>
          </w:p>
        </w:tc>
        <w:trPr>
          <w:tblHeader/>
        </w:trPr>
      </w:tr>
      <w:tr>
        <w:tc>
          <w:tcPr>
            <w:tcW w:type="dxa" w:w="1450"/>
            <w:tcMar>
              <w:top w:w="80" w:type="dxa"/>
              <w:start w:w="120" w:type="dxa"/>
              <w:bottom w:w="80" w:type="dxa"/>
              <w:end w:w="120" w:type="dxa"/>
            </w:tcMar>
            <w:vAlign w:val="top"/>
          </w:tcPr>
          <w:p>
            <w:pPr>
              <w:spacing w:after="40" w:line="252" w:lineRule="auto"/>
            </w:pPr>
            <w:r>
              <w:rPr>
                <w:sz w:val="18"/>
              </w:rPr>
              <w:t>0 — Search authorized</w:t>
            </w:r>
          </w:p>
        </w:tc>
        <w:tc>
          <w:tcPr>
            <w:tcW w:type="dxa" w:w="3000"/>
            <w:tcMar>
              <w:top w:w="80" w:type="dxa"/>
              <w:start w:w="120" w:type="dxa"/>
              <w:bottom w:w="80" w:type="dxa"/>
              <w:end w:w="120" w:type="dxa"/>
            </w:tcMar>
            <w:vAlign w:val="top"/>
          </w:tcPr>
          <w:p>
            <w:pPr>
              <w:spacing w:after="40" w:line="252" w:lineRule="auto"/>
            </w:pPr>
            <w:r>
              <w:rPr>
                <w:sz w:val="18"/>
              </w:rPr>
              <w:t>Approve business need and search rules.</w:t>
            </w:r>
          </w:p>
        </w:tc>
        <w:tc>
          <w:tcPr>
            <w:tcW w:type="dxa" w:w="4910"/>
            <w:tcMar>
              <w:top w:w="80" w:type="dxa"/>
              <w:start w:w="120" w:type="dxa"/>
              <w:bottom w:w="80" w:type="dxa"/>
              <w:end w:w="120" w:type="dxa"/>
            </w:tcMar>
            <w:vAlign w:val="top"/>
          </w:tcPr>
          <w:p>
            <w:pPr>
              <w:spacing w:after="40" w:line="252" w:lineRule="auto"/>
            </w:pPr>
            <w:r>
              <w:rPr>
                <w:sz w:val="18"/>
              </w:rPr>
              <w:t>Signed brief, criteria dictionary, budget, decision owner.</w:t>
            </w:r>
          </w:p>
        </w:tc>
      </w:tr>
      <w:tr>
        <w:tc>
          <w:tcPr>
            <w:tcW w:type="dxa" w:w="1450"/>
            <w:tcMar>
              <w:top w:w="80" w:type="dxa"/>
              <w:start w:w="120" w:type="dxa"/>
              <w:bottom w:w="80" w:type="dxa"/>
              <w:end w:w="120" w:type="dxa"/>
            </w:tcMar>
            <w:vAlign w:val="top"/>
          </w:tcPr>
          <w:p>
            <w:pPr>
              <w:spacing w:after="40" w:line="252" w:lineRule="auto"/>
            </w:pPr>
            <w:r>
              <w:rPr>
                <w:sz w:val="18"/>
              </w:rPr>
              <w:t>1 — Markets qualified</w:t>
            </w:r>
          </w:p>
        </w:tc>
        <w:tc>
          <w:tcPr>
            <w:tcW w:type="dxa" w:w="3000"/>
            <w:tcMar>
              <w:top w:w="80" w:type="dxa"/>
              <w:start w:w="120" w:type="dxa"/>
              <w:bottom w:w="80" w:type="dxa"/>
              <w:end w:w="120" w:type="dxa"/>
            </w:tcMar>
            <w:vAlign w:val="top"/>
          </w:tcPr>
          <w:p>
            <w:pPr>
              <w:spacing w:after="40" w:line="252" w:lineRule="auto"/>
            </w:pPr>
            <w:r>
              <w:rPr>
                <w:sz w:val="18"/>
              </w:rPr>
              <w:t>Select markets and jurisdictions worth parcel discovery.</w:t>
            </w:r>
          </w:p>
        </w:tc>
        <w:tc>
          <w:tcPr>
            <w:tcW w:type="dxa" w:w="4910"/>
            <w:tcMar>
              <w:top w:w="80" w:type="dxa"/>
              <w:start w:w="120" w:type="dxa"/>
              <w:bottom w:w="80" w:type="dxa"/>
              <w:end w:w="120" w:type="dxa"/>
            </w:tcMar>
            <w:vAlign w:val="top"/>
          </w:tcPr>
          <w:p>
            <w:pPr>
              <w:spacing w:after="40" w:line="252" w:lineRule="auto"/>
            </w:pPr>
            <w:r>
              <w:rPr>
                <w:sz w:val="18"/>
              </w:rPr>
              <w:t>Comparable official data, policy review, known exclusions, documented score.</w:t>
            </w:r>
          </w:p>
        </w:tc>
      </w:tr>
      <w:tr>
        <w:tc>
          <w:tcPr>
            <w:tcW w:type="dxa" w:w="1450"/>
            <w:tcMar>
              <w:top w:w="80" w:type="dxa"/>
              <w:start w:w="120" w:type="dxa"/>
              <w:bottom w:w="80" w:type="dxa"/>
              <w:end w:w="120" w:type="dxa"/>
            </w:tcMar>
            <w:vAlign w:val="top"/>
          </w:tcPr>
          <w:p>
            <w:pPr>
              <w:spacing w:after="40" w:line="252" w:lineRule="auto"/>
            </w:pPr>
            <w:r>
              <w:rPr>
                <w:sz w:val="18"/>
              </w:rPr>
              <w:t>2 — Parcels qualified</w:t>
            </w:r>
          </w:p>
        </w:tc>
        <w:tc>
          <w:tcPr>
            <w:tcW w:type="dxa" w:w="3000"/>
            <w:tcMar>
              <w:top w:w="80" w:type="dxa"/>
              <w:start w:w="120" w:type="dxa"/>
              <w:bottom w:w="80" w:type="dxa"/>
              <w:end w:w="120" w:type="dxa"/>
            </w:tcMar>
            <w:vAlign w:val="top"/>
          </w:tcPr>
          <w:p>
            <w:pPr>
              <w:spacing w:after="40" w:line="252" w:lineRule="auto"/>
            </w:pPr>
            <w:r>
              <w:rPr>
                <w:sz w:val="18"/>
              </w:rPr>
              <w:t>Remove parcels that fail obvious physical, legal, or program rules.</w:t>
            </w:r>
          </w:p>
        </w:tc>
        <w:tc>
          <w:tcPr>
            <w:tcW w:type="dxa" w:w="4910"/>
            <w:tcMar>
              <w:top w:w="80" w:type="dxa"/>
              <w:start w:w="120" w:type="dxa"/>
              <w:bottom w:w="80" w:type="dxa"/>
              <w:end w:w="120" w:type="dxa"/>
            </w:tcMar>
            <w:vAlign w:val="top"/>
          </w:tcPr>
          <w:p>
            <w:pPr>
              <w:spacing w:after="40" w:line="252" w:lineRule="auto"/>
            </w:pPr>
            <w:r>
              <w:rPr>
                <w:sz w:val="18"/>
              </w:rPr>
              <w:t>Parcel geometry, ownership, zoning, access, environmental overlays, acreage calculation.</w:t>
            </w:r>
          </w:p>
        </w:tc>
      </w:tr>
      <w:tr>
        <w:tc>
          <w:tcPr>
            <w:tcW w:type="dxa" w:w="1450"/>
            <w:tcMar>
              <w:top w:w="80" w:type="dxa"/>
              <w:start w:w="120" w:type="dxa"/>
              <w:bottom w:w="80" w:type="dxa"/>
              <w:end w:w="120" w:type="dxa"/>
            </w:tcMar>
            <w:vAlign w:val="top"/>
          </w:tcPr>
          <w:p>
            <w:pPr>
              <w:spacing w:after="40" w:line="252" w:lineRule="auto"/>
            </w:pPr>
            <w:r>
              <w:rPr>
                <w:sz w:val="18"/>
              </w:rPr>
              <w:t>3 — Shortlist approved</w:t>
            </w:r>
          </w:p>
        </w:tc>
        <w:tc>
          <w:tcPr>
            <w:tcW w:type="dxa" w:w="3000"/>
            <w:tcMar>
              <w:top w:w="80" w:type="dxa"/>
              <w:start w:w="120" w:type="dxa"/>
              <w:bottom w:w="80" w:type="dxa"/>
              <w:end w:w="120" w:type="dxa"/>
            </w:tcMar>
            <w:vAlign w:val="top"/>
          </w:tcPr>
          <w:p>
            <w:pPr>
              <w:spacing w:after="40" w:line="252" w:lineRule="auto"/>
            </w:pPr>
            <w:r>
              <w:rPr>
                <w:sz w:val="18"/>
              </w:rPr>
              <w:t>Choose candidates for outreach and concept work.</w:t>
            </w:r>
          </w:p>
        </w:tc>
        <w:tc>
          <w:tcPr>
            <w:tcW w:type="dxa" w:w="4910"/>
            <w:tcMar>
              <w:top w:w="80" w:type="dxa"/>
              <w:start w:w="120" w:type="dxa"/>
              <w:bottom w:w="80" w:type="dxa"/>
              <w:end w:w="120" w:type="dxa"/>
            </w:tcMar>
            <w:vAlign w:val="top"/>
          </w:tcPr>
          <w:p>
            <w:pPr>
              <w:spacing w:after="40" w:line="252" w:lineRule="auto"/>
            </w:pPr>
            <w:r>
              <w:rPr>
                <w:sz w:val="18"/>
              </w:rPr>
              <w:t>Manual source verification, preliminary utility and entitlement view, owner/contact status.</w:t>
            </w:r>
          </w:p>
        </w:tc>
      </w:tr>
      <w:tr>
        <w:tc>
          <w:tcPr>
            <w:tcW w:type="dxa" w:w="1450"/>
            <w:tcMar>
              <w:top w:w="80" w:type="dxa"/>
              <w:start w:w="120" w:type="dxa"/>
              <w:bottom w:w="80" w:type="dxa"/>
              <w:end w:w="120" w:type="dxa"/>
            </w:tcMar>
            <w:vAlign w:val="top"/>
          </w:tcPr>
          <w:p>
            <w:pPr>
              <w:spacing w:after="40" w:line="252" w:lineRule="auto"/>
            </w:pPr>
            <w:r>
              <w:rPr>
                <w:sz w:val="18"/>
              </w:rPr>
              <w:t>4 — Active diligence</w:t>
            </w:r>
          </w:p>
        </w:tc>
        <w:tc>
          <w:tcPr>
            <w:tcW w:type="dxa" w:w="3000"/>
            <w:tcMar>
              <w:top w:w="80" w:type="dxa"/>
              <w:start w:w="120" w:type="dxa"/>
              <w:bottom w:w="80" w:type="dxa"/>
              <w:end w:w="120" w:type="dxa"/>
            </w:tcMar>
            <w:vAlign w:val="top"/>
          </w:tcPr>
          <w:p>
            <w:pPr>
              <w:spacing w:after="40" w:line="252" w:lineRule="auto"/>
            </w:pPr>
            <w:r>
              <w:rPr>
                <w:sz w:val="18"/>
              </w:rPr>
              <w:t>Authorize site visits, test fits, consultants, and site-control negotiation.</w:t>
            </w:r>
          </w:p>
        </w:tc>
        <w:tc>
          <w:tcPr>
            <w:tcW w:type="dxa" w:w="4910"/>
            <w:tcMar>
              <w:top w:w="80" w:type="dxa"/>
              <w:start w:w="120" w:type="dxa"/>
              <w:bottom w:w="80" w:type="dxa"/>
              <w:end w:w="120" w:type="dxa"/>
            </w:tcMar>
            <w:vAlign w:val="top"/>
          </w:tcPr>
          <w:p>
            <w:pPr>
              <w:spacing w:after="40" w:line="252" w:lineRule="auto"/>
            </w:pPr>
            <w:r>
              <w:rPr>
                <w:sz w:val="18"/>
              </w:rPr>
              <w:t>Credible path to control, initial utility/agency feedback, no unresolved obvious fatal flaw.</w:t>
            </w:r>
          </w:p>
        </w:tc>
      </w:tr>
      <w:tr>
        <w:tc>
          <w:tcPr>
            <w:tcW w:type="dxa" w:w="1450"/>
            <w:tcMar>
              <w:top w:w="80" w:type="dxa"/>
              <w:start w:w="120" w:type="dxa"/>
              <w:bottom w:w="80" w:type="dxa"/>
              <w:end w:w="120" w:type="dxa"/>
            </w:tcMar>
            <w:vAlign w:val="top"/>
          </w:tcPr>
          <w:p>
            <w:pPr>
              <w:spacing w:after="40" w:line="252" w:lineRule="auto"/>
            </w:pPr>
            <w:r>
              <w:rPr>
                <w:sz w:val="18"/>
              </w:rPr>
              <w:t>5 — Preferred site</w:t>
            </w:r>
          </w:p>
        </w:tc>
        <w:tc>
          <w:tcPr>
            <w:tcW w:type="dxa" w:w="3000"/>
            <w:tcMar>
              <w:top w:w="80" w:type="dxa"/>
              <w:start w:w="120" w:type="dxa"/>
              <w:bottom w:w="80" w:type="dxa"/>
              <w:end w:w="120" w:type="dxa"/>
            </w:tcMar>
            <w:vAlign w:val="top"/>
          </w:tcPr>
          <w:p>
            <w:pPr>
              <w:spacing w:after="40" w:line="252" w:lineRule="auto"/>
            </w:pPr>
            <w:r>
              <w:rPr>
                <w:sz w:val="18"/>
              </w:rPr>
              <w:t>Select preferred and backup candidates.</w:t>
            </w:r>
          </w:p>
        </w:tc>
        <w:tc>
          <w:tcPr>
            <w:tcW w:type="dxa" w:w="4910"/>
            <w:tcMar>
              <w:top w:w="80" w:type="dxa"/>
              <w:start w:w="120" w:type="dxa"/>
              <w:bottom w:w="80" w:type="dxa"/>
              <w:end w:w="120" w:type="dxa"/>
            </w:tcMar>
            <w:vAlign w:val="top"/>
          </w:tcPr>
          <w:p>
            <w:pPr>
              <w:spacing w:after="40" w:line="252" w:lineRule="auto"/>
            </w:pPr>
            <w:r>
              <w:rPr>
                <w:sz w:val="18"/>
              </w:rPr>
              <w:t>Test fit, development budget, schedule, risk register, utility path, entitlement path.</w:t>
            </w:r>
          </w:p>
        </w:tc>
      </w:tr>
      <w:tr>
        <w:tc>
          <w:tcPr>
            <w:tcW w:type="dxa" w:w="1450"/>
            <w:tcMar>
              <w:top w:w="80" w:type="dxa"/>
              <w:start w:w="120" w:type="dxa"/>
              <w:bottom w:w="80" w:type="dxa"/>
              <w:end w:w="120" w:type="dxa"/>
            </w:tcMar>
            <w:vAlign w:val="top"/>
          </w:tcPr>
          <w:p>
            <w:pPr>
              <w:spacing w:after="40" w:line="252" w:lineRule="auto"/>
            </w:pPr>
            <w:r>
              <w:rPr>
                <w:sz w:val="18"/>
              </w:rPr>
              <w:t>6 — Commit capital</w:t>
            </w:r>
          </w:p>
        </w:tc>
        <w:tc>
          <w:tcPr>
            <w:tcW w:type="dxa" w:w="3000"/>
            <w:tcMar>
              <w:top w:w="80" w:type="dxa"/>
              <w:start w:w="120" w:type="dxa"/>
              <w:bottom w:w="80" w:type="dxa"/>
              <w:end w:w="120" w:type="dxa"/>
            </w:tcMar>
            <w:vAlign w:val="top"/>
          </w:tcPr>
          <w:p>
            <w:pPr>
              <w:spacing w:after="40" w:line="252" w:lineRule="auto"/>
            </w:pPr>
            <w:r>
              <w:rPr>
                <w:sz w:val="18"/>
              </w:rPr>
              <w:t>Approve acquisition/lease and full development work.</w:t>
            </w:r>
          </w:p>
        </w:tc>
        <w:tc>
          <w:tcPr>
            <w:tcW w:type="dxa" w:w="4910"/>
            <w:tcMar>
              <w:top w:w="80" w:type="dxa"/>
              <w:start w:w="120" w:type="dxa"/>
              <w:bottom w:w="80" w:type="dxa"/>
              <w:end w:w="120" w:type="dxa"/>
            </w:tcMar>
            <w:vAlign w:val="top"/>
          </w:tcPr>
          <w:p>
            <w:pPr>
              <w:spacing w:after="40" w:line="252" w:lineRule="auto"/>
            </w:pPr>
            <w:r>
              <w:rPr>
                <w:sz w:val="18"/>
              </w:rPr>
              <w:t>Site-specific diligence, negotiated terms, professional reports, approved exceptions.</w:t>
            </w:r>
          </w:p>
        </w:tc>
      </w:tr>
      <w:tr>
        <w:tc>
          <w:tcPr>
            <w:tcW w:type="dxa" w:w="1450"/>
            <w:tcMar>
              <w:top w:w="80" w:type="dxa"/>
              <w:start w:w="120" w:type="dxa"/>
              <w:bottom w:w="80" w:type="dxa"/>
              <w:end w:w="120" w:type="dxa"/>
            </w:tcMar>
            <w:vAlign w:val="top"/>
          </w:tcPr>
          <w:p>
            <w:pPr>
              <w:spacing w:after="40" w:line="252" w:lineRule="auto"/>
            </w:pPr>
            <w:r>
              <w:rPr>
                <w:sz w:val="18"/>
              </w:rPr>
              <w:t>7 — Handoff</w:t>
            </w:r>
          </w:p>
        </w:tc>
        <w:tc>
          <w:tcPr>
            <w:tcW w:type="dxa" w:w="3000"/>
            <w:tcMar>
              <w:top w:w="80" w:type="dxa"/>
              <w:start w:w="120" w:type="dxa"/>
              <w:bottom w:w="80" w:type="dxa"/>
              <w:end w:w="120" w:type="dxa"/>
            </w:tcMar>
            <w:vAlign w:val="top"/>
          </w:tcPr>
          <w:p>
            <w:pPr>
              <w:spacing w:after="40" w:line="252" w:lineRule="auto"/>
            </w:pPr>
            <w:r>
              <w:rPr>
                <w:sz w:val="18"/>
              </w:rPr>
              <w:t>Move from selection to acquisition, design, entitlement, and execution.</w:t>
            </w:r>
          </w:p>
        </w:tc>
        <w:tc>
          <w:tcPr>
            <w:tcW w:type="dxa" w:w="4910"/>
            <w:tcMar>
              <w:top w:w="80" w:type="dxa"/>
              <w:start w:w="120" w:type="dxa"/>
              <w:bottom w:w="80" w:type="dxa"/>
              <w:end w:w="120" w:type="dxa"/>
            </w:tcMar>
            <w:vAlign w:val="top"/>
          </w:tcPr>
          <w:p>
            <w:pPr>
              <w:spacing w:after="40" w:line="252" w:lineRule="auto"/>
            </w:pPr>
            <w:r>
              <w:rPr>
                <w:sz w:val="18"/>
              </w:rPr>
              <w:t>Controlled data room, decision record, conditions, owners, dates, and monitoring plan.</w:t>
            </w:r>
          </w:p>
        </w:tc>
      </w:tr>
    </w:tbl>
    <w:p>
      <w:pPr>
        <w:pStyle w:val="Heading1"/>
      </w:pPr>
      <w:r>
        <w:t>4. Market and jurisdiction screening</w:t>
      </w:r>
    </w:p>
    <w:p>
      <w:r>
        <w:t>Market screening reduces the search space before parcel work begins. The correct geographic unit depends on the business: labor shed for manufacturing, latency and network geography for digital infrastructure, customer service radius for logistics, grid region for power-intensive facilities, or a combination.</w:t>
      </w:r>
    </w:p>
    <w:p>
      <w:pPr>
        <w:pStyle w:val="Heading2"/>
      </w:pPr>
      <w:r>
        <w:t>Typical market criteria</w:t>
      </w:r>
    </w:p>
    <w:p>
      <w:pPr>
        <w:pStyle w:val="ListBullet"/>
      </w:pPr>
      <w:r>
        <w:t>Demand and customer access: population, business base, freight flows, delivery radius, latency, or portfolio coverage.</w:t>
      </w:r>
    </w:p>
    <w:p>
      <w:pPr>
        <w:pStyle w:val="ListBullet"/>
      </w:pPr>
      <w:r>
        <w:t>Labor: relevant occupations, employment concentration, wages, growth, commuting shed, competition, and training pipeline.</w:t>
      </w:r>
    </w:p>
    <w:p>
      <w:pPr>
        <w:pStyle w:val="ListBullet"/>
      </w:pPr>
      <w:r>
        <w:t>Infrastructure: highway and rail access, airports, ports, utility territories, generation/transmission context, fiber, water, and wastewater.</w:t>
      </w:r>
    </w:p>
    <w:p>
      <w:pPr>
        <w:pStyle w:val="ListBullet"/>
      </w:pPr>
      <w:r>
        <w:t>Policy and approvals: allowed uses, moratoria, local plans, prior decisions, permit sequence, political sensitivity, and agency capacity.</w:t>
      </w:r>
    </w:p>
    <w:p>
      <w:pPr>
        <w:pStyle w:val="ListBullet"/>
      </w:pPr>
      <w:r>
        <w:t>Economics: land, taxes, rates, construction costs, incentives, insurance, and expected off-site obligations.</w:t>
      </w:r>
    </w:p>
    <w:p>
      <w:pPr>
        <w:pStyle w:val="ListBullet"/>
      </w:pPr>
      <w:r>
        <w:t>Hazard and resilience: flood, wildfire, wind, heat, drought/water stress, seismic exposure, and business-continuity requirements.</w:t>
      </w:r>
    </w:p>
    <w:p>
      <w:r>
        <w:t>Market scores should use comparable vintages and geographic levels. County employment data should not be compared directly with metropolitan data without normalization. A jurisdiction score should retain the ordinance, plan, meeting record, or decision history behind each indicator rather than reduce the jurisdiction to an unexplained number.</w:t>
      </w:r>
    </w:p>
    <w:p>
      <w:pPr>
        <w:pStyle w:val="Heading1"/>
      </w:pPr>
      <w:r>
        <w:t>5. Parcel discovery and ownership resolution</w:t>
      </w:r>
    </w:p>
    <w:p>
      <w:r>
        <w:t>Parcel discovery combines the official cadastral or tax parcel fabric with supply sources. Teams use county assessor/GIS downloads, state parcel programs where available, broker and landowner lists, economic-development inventories, proprietary parcel platforms, and direct outreach. No single source is complete.</w:t>
      </w:r>
    </w:p>
    <w:p>
      <w:pPr>
        <w:pStyle w:val="Heading2"/>
      </w:pPr>
      <w:r>
        <w:t>Minimum parcel record</w:t>
      </w:r>
    </w:p>
    <w:p>
      <w:pPr>
        <w:pStyle w:val="ListBullet"/>
      </w:pPr>
      <w:r>
        <w:t>Canonical parcel ID/APN, county, municipality, and coordinate reference system.</w:t>
      </w:r>
    </w:p>
    <w:p>
      <w:pPr>
        <w:pStyle w:val="ListBullet"/>
      </w:pPr>
      <w:r>
        <w:t>Current and prior geometry with source and retrieval date.</w:t>
      </w:r>
    </w:p>
    <w:p>
      <w:pPr>
        <w:pStyle w:val="ListBullet"/>
      </w:pPr>
      <w:r>
        <w:t>Recorded owner, tax-mailing owner, related entities, and contact confidence.</w:t>
      </w:r>
    </w:p>
    <w:p>
      <w:pPr>
        <w:pStyle w:val="ListBullet"/>
      </w:pPr>
      <w:r>
        <w:t>Gross acreage, estimated usable acreage, contiguous ownership group, and assemblage dependencies.</w:t>
      </w:r>
    </w:p>
    <w:p>
      <w:pPr>
        <w:pStyle w:val="ListBullet"/>
      </w:pPr>
      <w:r>
        <w:t>Zoning/base district, overlays, future land-use designation, and comprehensive-plan context.</w:t>
      </w:r>
    </w:p>
    <w:p>
      <w:pPr>
        <w:pStyle w:val="ListBullet"/>
      </w:pPr>
      <w:r>
        <w:t>Road frontage, legal/physical access evidence, adjacent rights-of-way, and rail/utility proximity.</w:t>
      </w:r>
    </w:p>
    <w:p>
      <w:pPr>
        <w:pStyle w:val="ListBullet"/>
      </w:pPr>
      <w:r>
        <w:t>Listing or owner-interest status, asking terms, transaction history, and site-control constraints.</w:t>
      </w:r>
    </w:p>
    <w:tbl>
      <w:tblPr>
        <w:tblW w:type="dxa" w:w="9360"/>
        <w:jc w:val="left"/>
        <w:tblLayout w:type="fixed"/>
        <w:tblLook w:firstColumn="1" w:firstRow="1" w:lastColumn="0" w:lastRow="0" w:noHBand="0" w:noVBand="1" w:val="04A0"/>
        <w:tblInd w:w="120" w:type="dxa"/>
      </w:tblPr>
      <w:tblGrid>
        <w:gridCol w:w="9360"/>
      </w:tblGrid>
      <w:tr>
        <w:tc>
          <w:tcPr>
            <w:tcW w:type="dxa" w:w="9360"/>
            <w:shd w:fill="F2F4F7"/>
            <w:tcMar>
              <w:top w:w="80" w:type="dxa"/>
              <w:start w:w="120" w:type="dxa"/>
              <w:bottom w:w="80" w:type="dxa"/>
              <w:end w:w="120" w:type="dxa"/>
            </w:tcMar>
            <w:vAlign w:val="top"/>
          </w:tcPr>
          <w:p>
            <w:pPr>
              <w:spacing w:after="40" w:line="252" w:lineRule="auto"/>
            </w:pPr>
            <w:r>
              <w:rPr>
                <w:b/>
                <w:color w:val="1F4D78"/>
                <w:sz w:val="18"/>
              </w:rPr>
              <w:t xml:space="preserve">Identity problem  </w:t>
            </w:r>
            <w:r>
              <w:rPr>
                <w:sz w:val="18"/>
              </w:rPr>
              <w:t>Addresses are not stable parcel identifiers. APNs can be reformatted, retired, split, or merged. A robust record keeps the source jurisdiction, normalized APN, source APN, geometry version, and parent/child relationships.</w:t>
            </w:r>
          </w:p>
        </w:tc>
        <w:trPr>
          <w:tblHeader/>
        </w:trPr>
      </w:tr>
    </w:tbl>
    <w:p>
      <w:pPr>
        <w:spacing w:after="0"/>
      </w:pPr>
    </w:p>
    <w:p>
      <w:pPr>
        <w:pStyle w:val="Heading1"/>
      </w:pPr>
      <w:r>
        <w:t>6. Desktop fatal-flaw screening</w:t>
      </w:r>
    </w:p>
    <w:p>
      <w:r>
        <w:t>Desktop screening is a fast triage, not final diligence. Each rule should return one of four states: pass, fail, review, or unknown. Unknown is not pass.</w:t>
      </w:r>
    </w:p>
    <w:tbl>
      <w:tblPr>
        <w:tblStyle w:val="TableGrid"/>
        <w:tblW w:type="dxa" w:w="9360"/>
        <w:jc w:val="left"/>
        <w:tblLayout w:type="fixed"/>
        <w:tblLook w:firstColumn="1" w:firstRow="1" w:lastColumn="0" w:lastRow="0" w:noHBand="0" w:noVBand="1" w:val="04A0"/>
        <w:tblInd w:w="120" w:type="dxa"/>
      </w:tblPr>
      <w:tblGrid>
        <w:gridCol w:w="1700"/>
        <w:gridCol w:w="3850"/>
        <w:gridCol w:w="3810"/>
      </w:tblGrid>
      <w:tr>
        <w:tc>
          <w:tcPr>
            <w:tcW w:type="dxa" w:w="1700"/>
            <w:tcMar>
              <w:top w:w="80" w:type="dxa"/>
              <w:start w:w="120" w:type="dxa"/>
              <w:bottom w:w="80" w:type="dxa"/>
              <w:end w:w="120" w:type="dxa"/>
            </w:tcMar>
            <w:vAlign w:val="top"/>
            <w:shd w:fill="F2F4F7"/>
          </w:tcPr>
          <w:p>
            <w:pPr>
              <w:spacing w:after="0"/>
            </w:pPr>
            <w:r>
              <w:rPr>
                <w:b/>
                <w:color w:val="1F4D78"/>
                <w:sz w:val="18"/>
              </w:rPr>
              <w:t>Constraint family</w:t>
            </w:r>
          </w:p>
        </w:tc>
        <w:tc>
          <w:tcPr>
            <w:tcW w:type="dxa" w:w="3850"/>
            <w:tcMar>
              <w:top w:w="80" w:type="dxa"/>
              <w:start w:w="120" w:type="dxa"/>
              <w:bottom w:w="80" w:type="dxa"/>
              <w:end w:w="120" w:type="dxa"/>
            </w:tcMar>
            <w:vAlign w:val="top"/>
            <w:shd w:fill="F2F4F7"/>
          </w:tcPr>
          <w:p>
            <w:pPr>
              <w:spacing w:after="0"/>
            </w:pPr>
            <w:r>
              <w:rPr>
                <w:b/>
                <w:color w:val="1F4D78"/>
                <w:sz w:val="18"/>
              </w:rPr>
              <w:t>Desktop questions</w:t>
            </w:r>
          </w:p>
        </w:tc>
        <w:tc>
          <w:tcPr>
            <w:tcW w:type="dxa" w:w="3810"/>
            <w:tcMar>
              <w:top w:w="80" w:type="dxa"/>
              <w:start w:w="120" w:type="dxa"/>
              <w:bottom w:w="80" w:type="dxa"/>
              <w:end w:w="120" w:type="dxa"/>
            </w:tcMar>
            <w:vAlign w:val="top"/>
            <w:shd w:fill="F2F4F7"/>
          </w:tcPr>
          <w:p>
            <w:pPr>
              <w:spacing w:after="0"/>
            </w:pPr>
            <w:r>
              <w:rPr>
                <w:b/>
                <w:color w:val="1F4D78"/>
                <w:sz w:val="18"/>
              </w:rPr>
              <w:t>Escalation / confirmation</w:t>
            </w:r>
          </w:p>
        </w:tc>
        <w:trPr>
          <w:tblHeader/>
        </w:trPr>
      </w:tr>
      <w:tr>
        <w:tc>
          <w:tcPr>
            <w:tcW w:type="dxa" w:w="1700"/>
            <w:tcMar>
              <w:top w:w="80" w:type="dxa"/>
              <w:start w:w="120" w:type="dxa"/>
              <w:bottom w:w="80" w:type="dxa"/>
              <w:end w:w="120" w:type="dxa"/>
            </w:tcMar>
            <w:vAlign w:val="top"/>
          </w:tcPr>
          <w:p>
            <w:pPr>
              <w:spacing w:after="40" w:line="252" w:lineRule="auto"/>
            </w:pPr>
            <w:r>
              <w:rPr>
                <w:sz w:val="18"/>
              </w:rPr>
              <w:t>Program fit</w:t>
            </w:r>
          </w:p>
        </w:tc>
        <w:tc>
          <w:tcPr>
            <w:tcW w:type="dxa" w:w="3850"/>
            <w:tcMar>
              <w:top w:w="80" w:type="dxa"/>
              <w:start w:w="120" w:type="dxa"/>
              <w:bottom w:w="80" w:type="dxa"/>
              <w:end w:w="120" w:type="dxa"/>
            </w:tcMar>
            <w:vAlign w:val="top"/>
          </w:tcPr>
          <w:p>
            <w:pPr>
              <w:spacing w:after="40" w:line="252" w:lineRule="auto"/>
            </w:pPr>
            <w:r>
              <w:rPr>
                <w:sz w:val="18"/>
              </w:rPr>
              <w:t>Is gross and estimated usable acreage sufficient? Can required dimensions and buffers fit?</w:t>
            </w:r>
          </w:p>
        </w:tc>
        <w:tc>
          <w:tcPr>
            <w:tcW w:type="dxa" w:w="3810"/>
            <w:tcMar>
              <w:top w:w="80" w:type="dxa"/>
              <w:start w:w="120" w:type="dxa"/>
              <w:bottom w:w="80" w:type="dxa"/>
              <w:end w:w="120" w:type="dxa"/>
            </w:tcMar>
            <w:vAlign w:val="top"/>
          </w:tcPr>
          <w:p>
            <w:pPr>
              <w:spacing w:after="40" w:line="252" w:lineRule="auto"/>
            </w:pPr>
            <w:r>
              <w:rPr>
                <w:sz w:val="18"/>
              </w:rPr>
              <w:t>Concept test fit; boundary/topographic survey.</w:t>
            </w:r>
          </w:p>
        </w:tc>
      </w:tr>
      <w:tr>
        <w:tc>
          <w:tcPr>
            <w:tcW w:type="dxa" w:w="1700"/>
            <w:tcMar>
              <w:top w:w="80" w:type="dxa"/>
              <w:start w:w="120" w:type="dxa"/>
              <w:bottom w:w="80" w:type="dxa"/>
              <w:end w:w="120" w:type="dxa"/>
            </w:tcMar>
            <w:vAlign w:val="top"/>
          </w:tcPr>
          <w:p>
            <w:pPr>
              <w:spacing w:after="40" w:line="252" w:lineRule="auto"/>
            </w:pPr>
            <w:r>
              <w:rPr>
                <w:sz w:val="18"/>
              </w:rPr>
              <w:t>Land use</w:t>
            </w:r>
          </w:p>
        </w:tc>
        <w:tc>
          <w:tcPr>
            <w:tcW w:type="dxa" w:w="3850"/>
            <w:tcMar>
              <w:top w:w="80" w:type="dxa"/>
              <w:start w:w="120" w:type="dxa"/>
              <w:bottom w:w="80" w:type="dxa"/>
              <w:end w:w="120" w:type="dxa"/>
            </w:tcMar>
            <w:vAlign w:val="top"/>
          </w:tcPr>
          <w:p>
            <w:pPr>
              <w:spacing w:after="40" w:line="252" w:lineRule="auto"/>
            </w:pPr>
            <w:r>
              <w:rPr>
                <w:sz w:val="18"/>
              </w:rPr>
              <w:t>Is the use allowed, conditional, or prohibited? Are overlays or plan policies relevant?</w:t>
            </w:r>
          </w:p>
        </w:tc>
        <w:tc>
          <w:tcPr>
            <w:tcW w:type="dxa" w:w="3810"/>
            <w:tcMar>
              <w:top w:w="80" w:type="dxa"/>
              <w:start w:w="120" w:type="dxa"/>
              <w:bottom w:w="80" w:type="dxa"/>
              <w:end w:w="120" w:type="dxa"/>
            </w:tcMar>
            <w:vAlign w:val="top"/>
          </w:tcPr>
          <w:p>
            <w:pPr>
              <w:spacing w:after="40" w:line="252" w:lineRule="auto"/>
            </w:pPr>
            <w:r>
              <w:rPr>
                <w:sz w:val="18"/>
              </w:rPr>
              <w:t>Planner interpretation; land-use counsel; pre-application meeting.</w:t>
            </w:r>
          </w:p>
        </w:tc>
      </w:tr>
      <w:tr>
        <w:tc>
          <w:tcPr>
            <w:tcW w:type="dxa" w:w="1700"/>
            <w:tcMar>
              <w:top w:w="80" w:type="dxa"/>
              <w:start w:w="120" w:type="dxa"/>
              <w:bottom w:w="80" w:type="dxa"/>
              <w:end w:w="120" w:type="dxa"/>
            </w:tcMar>
            <w:vAlign w:val="top"/>
          </w:tcPr>
          <w:p>
            <w:pPr>
              <w:spacing w:after="40" w:line="252" w:lineRule="auto"/>
            </w:pPr>
            <w:r>
              <w:rPr>
                <w:sz w:val="18"/>
              </w:rPr>
              <w:t>Flood / drainage</w:t>
            </w:r>
          </w:p>
        </w:tc>
        <w:tc>
          <w:tcPr>
            <w:tcW w:type="dxa" w:w="3850"/>
            <w:tcMar>
              <w:top w:w="80" w:type="dxa"/>
              <w:start w:w="120" w:type="dxa"/>
              <w:bottom w:w="80" w:type="dxa"/>
              <w:end w:w="120" w:type="dxa"/>
            </w:tcMar>
            <w:vAlign w:val="top"/>
          </w:tcPr>
          <w:p>
            <w:pPr>
              <w:spacing w:after="40" w:line="252" w:lineRule="auto"/>
            </w:pPr>
            <w:r>
              <w:rPr>
                <w:sz w:val="18"/>
              </w:rPr>
              <w:t>Does effective flood mapping overlap? Are waterways, drainageways, or local flood layers present?</w:t>
            </w:r>
          </w:p>
        </w:tc>
        <w:tc>
          <w:tcPr>
            <w:tcW w:type="dxa" w:w="3810"/>
            <w:tcMar>
              <w:top w:w="80" w:type="dxa"/>
              <w:start w:w="120" w:type="dxa"/>
              <w:bottom w:w="80" w:type="dxa"/>
              <w:end w:w="120" w:type="dxa"/>
            </w:tcMar>
            <w:vAlign w:val="top"/>
          </w:tcPr>
          <w:p>
            <w:pPr>
              <w:spacing w:after="40" w:line="252" w:lineRule="auto"/>
            </w:pPr>
            <w:r>
              <w:rPr>
                <w:sz w:val="18"/>
              </w:rPr>
              <w:t>Civil study, survey, hydrology; local floodplain administrator.</w:t>
            </w:r>
          </w:p>
        </w:tc>
      </w:tr>
      <w:tr>
        <w:tc>
          <w:tcPr>
            <w:tcW w:type="dxa" w:w="1700"/>
            <w:tcMar>
              <w:top w:w="80" w:type="dxa"/>
              <w:start w:w="120" w:type="dxa"/>
              <w:bottom w:w="80" w:type="dxa"/>
              <w:end w:w="120" w:type="dxa"/>
            </w:tcMar>
            <w:vAlign w:val="top"/>
          </w:tcPr>
          <w:p>
            <w:pPr>
              <w:spacing w:after="40" w:line="252" w:lineRule="auto"/>
            </w:pPr>
            <w:r>
              <w:rPr>
                <w:sz w:val="18"/>
              </w:rPr>
              <w:t>Wetlands / habitat</w:t>
            </w:r>
          </w:p>
        </w:tc>
        <w:tc>
          <w:tcPr>
            <w:tcW w:type="dxa" w:w="3850"/>
            <w:tcMar>
              <w:top w:w="80" w:type="dxa"/>
              <w:start w:w="120" w:type="dxa"/>
              <w:bottom w:w="80" w:type="dxa"/>
              <w:end w:w="120" w:type="dxa"/>
            </w:tcMar>
            <w:vAlign w:val="top"/>
          </w:tcPr>
          <w:p>
            <w:pPr>
              <w:spacing w:after="40" w:line="252" w:lineRule="auto"/>
            </w:pPr>
            <w:r>
              <w:rPr>
                <w:sz w:val="18"/>
              </w:rPr>
              <w:t>Do mapped wetlands, waters, habitat, or species records indicate likely impact?</w:t>
            </w:r>
          </w:p>
        </w:tc>
        <w:tc>
          <w:tcPr>
            <w:tcW w:type="dxa" w:w="3810"/>
            <w:tcMar>
              <w:top w:w="80" w:type="dxa"/>
              <w:start w:w="120" w:type="dxa"/>
              <w:bottom w:w="80" w:type="dxa"/>
              <w:end w:w="120" w:type="dxa"/>
            </w:tcMar>
            <w:vAlign w:val="top"/>
          </w:tcPr>
          <w:p>
            <w:pPr>
              <w:spacing w:after="40" w:line="252" w:lineRule="auto"/>
            </w:pPr>
            <w:r>
              <w:rPr>
                <w:sz w:val="18"/>
              </w:rPr>
              <w:t>Field delineation, habitat survey, agency coordination.</w:t>
            </w:r>
          </w:p>
        </w:tc>
      </w:tr>
      <w:tr>
        <w:tc>
          <w:tcPr>
            <w:tcW w:type="dxa" w:w="1700"/>
            <w:tcMar>
              <w:top w:w="80" w:type="dxa"/>
              <w:start w:w="120" w:type="dxa"/>
              <w:bottom w:w="80" w:type="dxa"/>
              <w:end w:w="120" w:type="dxa"/>
            </w:tcMar>
            <w:vAlign w:val="top"/>
          </w:tcPr>
          <w:p>
            <w:pPr>
              <w:spacing w:after="40" w:line="252" w:lineRule="auto"/>
            </w:pPr>
            <w:r>
              <w:rPr>
                <w:sz w:val="18"/>
              </w:rPr>
              <w:t>Soils / terrain</w:t>
            </w:r>
          </w:p>
        </w:tc>
        <w:tc>
          <w:tcPr>
            <w:tcW w:type="dxa" w:w="3850"/>
            <w:tcMar>
              <w:top w:w="80" w:type="dxa"/>
              <w:start w:w="120" w:type="dxa"/>
              <w:bottom w:w="80" w:type="dxa"/>
              <w:end w:w="120" w:type="dxa"/>
            </w:tcMar>
            <w:vAlign w:val="top"/>
          </w:tcPr>
          <w:p>
            <w:pPr>
              <w:spacing w:after="40" w:line="252" w:lineRule="auto"/>
            </w:pPr>
            <w:r>
              <w:rPr>
                <w:sz w:val="18"/>
              </w:rPr>
              <w:t>Do slope, soil, karst, expansive soil, or bearing indicators create risk?</w:t>
            </w:r>
          </w:p>
        </w:tc>
        <w:tc>
          <w:tcPr>
            <w:tcW w:type="dxa" w:w="3810"/>
            <w:tcMar>
              <w:top w:w="80" w:type="dxa"/>
              <w:start w:w="120" w:type="dxa"/>
              <w:bottom w:w="80" w:type="dxa"/>
              <w:end w:w="120" w:type="dxa"/>
            </w:tcMar>
            <w:vAlign w:val="top"/>
          </w:tcPr>
          <w:p>
            <w:pPr>
              <w:spacing w:after="40" w:line="252" w:lineRule="auto"/>
            </w:pPr>
            <w:r>
              <w:rPr>
                <w:sz w:val="18"/>
              </w:rPr>
              <w:t>Geotechnical borings and engineered grading concept.</w:t>
            </w:r>
          </w:p>
        </w:tc>
      </w:tr>
      <w:tr>
        <w:tc>
          <w:tcPr>
            <w:tcW w:type="dxa" w:w="1700"/>
            <w:tcMar>
              <w:top w:w="80" w:type="dxa"/>
              <w:start w:w="120" w:type="dxa"/>
              <w:bottom w:w="80" w:type="dxa"/>
              <w:end w:w="120" w:type="dxa"/>
            </w:tcMar>
            <w:vAlign w:val="top"/>
          </w:tcPr>
          <w:p>
            <w:pPr>
              <w:spacing w:after="40" w:line="252" w:lineRule="auto"/>
            </w:pPr>
            <w:r>
              <w:rPr>
                <w:sz w:val="18"/>
              </w:rPr>
              <w:t>Access</w:t>
            </w:r>
          </w:p>
        </w:tc>
        <w:tc>
          <w:tcPr>
            <w:tcW w:type="dxa" w:w="3850"/>
            <w:tcMar>
              <w:top w:w="80" w:type="dxa"/>
              <w:start w:w="120" w:type="dxa"/>
              <w:bottom w:w="80" w:type="dxa"/>
              <w:end w:w="120" w:type="dxa"/>
            </w:tcMar>
            <w:vAlign w:val="top"/>
          </w:tcPr>
          <w:p>
            <w:pPr>
              <w:spacing w:after="40" w:line="252" w:lineRule="auto"/>
            </w:pPr>
            <w:r>
              <w:rPr>
                <w:sz w:val="18"/>
              </w:rPr>
              <w:t>Is there frontage and a plausible legal/physical access route? Are turn or interchange constraints obvious?</w:t>
            </w:r>
          </w:p>
        </w:tc>
        <w:tc>
          <w:tcPr>
            <w:tcW w:type="dxa" w:w="3810"/>
            <w:tcMar>
              <w:top w:w="80" w:type="dxa"/>
              <w:start w:w="120" w:type="dxa"/>
              <w:bottom w:w="80" w:type="dxa"/>
              <w:end w:w="120" w:type="dxa"/>
            </w:tcMar>
            <w:vAlign w:val="top"/>
          </w:tcPr>
          <w:p>
            <w:pPr>
              <w:spacing w:after="40" w:line="252" w:lineRule="auto"/>
            </w:pPr>
            <w:r>
              <w:rPr>
                <w:sz w:val="18"/>
              </w:rPr>
              <w:t>Title/survey review; traffic engineer; DOT or road authority.</w:t>
            </w:r>
          </w:p>
        </w:tc>
      </w:tr>
      <w:tr>
        <w:tc>
          <w:tcPr>
            <w:tcW w:type="dxa" w:w="1700"/>
            <w:tcMar>
              <w:top w:w="80" w:type="dxa"/>
              <w:start w:w="120" w:type="dxa"/>
              <w:bottom w:w="80" w:type="dxa"/>
              <w:end w:w="120" w:type="dxa"/>
            </w:tcMar>
            <w:vAlign w:val="top"/>
          </w:tcPr>
          <w:p>
            <w:pPr>
              <w:spacing w:after="40" w:line="252" w:lineRule="auto"/>
            </w:pPr>
            <w:r>
              <w:rPr>
                <w:sz w:val="18"/>
              </w:rPr>
              <w:t>Utilities</w:t>
            </w:r>
          </w:p>
        </w:tc>
        <w:tc>
          <w:tcPr>
            <w:tcW w:type="dxa" w:w="3850"/>
            <w:tcMar>
              <w:top w:w="80" w:type="dxa"/>
              <w:start w:w="120" w:type="dxa"/>
              <w:bottom w:w="80" w:type="dxa"/>
              <w:end w:w="120" w:type="dxa"/>
            </w:tcMar>
            <w:vAlign w:val="top"/>
          </w:tcPr>
          <w:p>
            <w:pPr>
              <w:spacing w:after="40" w:line="252" w:lineRule="auto"/>
            </w:pPr>
            <w:r>
              <w:rPr>
                <w:sz w:val="18"/>
              </w:rPr>
              <w:t>Are service territories and nearby facilities known? Is the requirement plausible?</w:t>
            </w:r>
          </w:p>
        </w:tc>
        <w:tc>
          <w:tcPr>
            <w:tcW w:type="dxa" w:w="3810"/>
            <w:tcMar>
              <w:top w:w="80" w:type="dxa"/>
              <w:start w:w="120" w:type="dxa"/>
              <w:bottom w:w="80" w:type="dxa"/>
              <w:end w:w="120" w:type="dxa"/>
            </w:tcMar>
            <w:vAlign w:val="top"/>
          </w:tcPr>
          <w:p>
            <w:pPr>
              <w:spacing w:after="40" w:line="252" w:lineRule="auto"/>
            </w:pPr>
            <w:r>
              <w:rPr>
                <w:sz w:val="18"/>
              </w:rPr>
              <w:t>Named utility intake, study, engineering response, and commercial terms.</w:t>
            </w:r>
          </w:p>
        </w:tc>
      </w:tr>
      <w:tr>
        <w:tc>
          <w:tcPr>
            <w:tcW w:type="dxa" w:w="1700"/>
            <w:tcMar>
              <w:top w:w="80" w:type="dxa"/>
              <w:start w:w="120" w:type="dxa"/>
              <w:bottom w:w="80" w:type="dxa"/>
              <w:end w:w="120" w:type="dxa"/>
            </w:tcMar>
            <w:vAlign w:val="top"/>
          </w:tcPr>
          <w:p>
            <w:pPr>
              <w:spacing w:after="40" w:line="252" w:lineRule="auto"/>
            </w:pPr>
            <w:r>
              <w:rPr>
                <w:sz w:val="18"/>
              </w:rPr>
              <w:t>Environmental history</w:t>
            </w:r>
          </w:p>
        </w:tc>
        <w:tc>
          <w:tcPr>
            <w:tcW w:type="dxa" w:w="3850"/>
            <w:tcMar>
              <w:top w:w="80" w:type="dxa"/>
              <w:start w:w="120" w:type="dxa"/>
              <w:bottom w:w="80" w:type="dxa"/>
              <w:end w:w="120" w:type="dxa"/>
            </w:tcMar>
            <w:vAlign w:val="top"/>
          </w:tcPr>
          <w:p>
            <w:pPr>
              <w:spacing w:after="40" w:line="252" w:lineRule="auto"/>
            </w:pPr>
            <w:r>
              <w:rPr>
                <w:sz w:val="18"/>
              </w:rPr>
              <w:t>Are regulated facilities, historic uses, tanks, waste, or enforcement records nearby?</w:t>
            </w:r>
          </w:p>
        </w:tc>
        <w:tc>
          <w:tcPr>
            <w:tcW w:type="dxa" w:w="3810"/>
            <w:tcMar>
              <w:top w:w="80" w:type="dxa"/>
              <w:start w:w="120" w:type="dxa"/>
              <w:bottom w:w="80" w:type="dxa"/>
              <w:end w:w="120" w:type="dxa"/>
            </w:tcMar>
            <w:vAlign w:val="top"/>
          </w:tcPr>
          <w:p>
            <w:pPr>
              <w:spacing w:after="40" w:line="252" w:lineRule="auto"/>
            </w:pPr>
            <w:r>
              <w:rPr>
                <w:sz w:val="18"/>
              </w:rPr>
              <w:t>Phase I ESA and follow-up investigation.</w:t>
            </w:r>
          </w:p>
        </w:tc>
      </w:tr>
    </w:tbl>
    <w:p>
      <w:pPr>
        <w:pStyle w:val="Heading1"/>
      </w:pPr>
      <w:r>
        <w:t>7. Infrastructure feasibility</w:t>
      </w:r>
    </w:p>
    <w:p>
      <w:r>
        <w:t>Infrastructure often determines the real shortlist. Distance to a line or facility is only a proxy. Capacity, protection requirements, right-of-way, network topology, upgrades, cost allocation, construction sequencing, and study queues determine serviceability.</w:t>
      </w:r>
    </w:p>
    <w:p>
      <w:pPr>
        <w:pStyle w:val="Heading2"/>
      </w:pPr>
      <w:r>
        <w:t>A proper utility request</w:t>
      </w:r>
    </w:p>
    <w:p>
      <w:pPr>
        <w:pStyle w:val="ListBullet"/>
      </w:pPr>
      <w:r>
        <w:t>Exact site and parcel boundary—not only a city or ZIP code.</w:t>
      </w:r>
    </w:p>
    <w:p>
      <w:pPr>
        <w:pStyle w:val="ListBullet"/>
      </w:pPr>
      <w:r>
        <w:t>Initial load, full build-out load, monthly/annual profile, and ramp schedule.</w:t>
      </w:r>
    </w:p>
    <w:p>
      <w:pPr>
        <w:pStyle w:val="ListBullet"/>
      </w:pPr>
      <w:r>
        <w:t>Required in-service date and interim-service needs.</w:t>
      </w:r>
    </w:p>
    <w:p>
      <w:pPr>
        <w:pStyle w:val="ListBullet"/>
      </w:pPr>
      <w:r>
        <w:t>Voltage, reliability, redundancy, power-quality, generation, storage, and backup assumptions.</w:t>
      </w:r>
    </w:p>
    <w:p>
      <w:pPr>
        <w:pStyle w:val="ListBullet"/>
      </w:pPr>
      <w:r>
        <w:t>Water demand by day and peak; wastewater quantity and quality; fire-flow requirements.</w:t>
      </w:r>
    </w:p>
    <w:p>
      <w:pPr>
        <w:pStyle w:val="ListBullet"/>
      </w:pPr>
      <w:r>
        <w:t>Requested response: service point, study process, schedule range, upgrade scope, commercial terms, dependencies, and confidence level.</w:t>
      </w:r>
    </w:p>
    <w:p>
      <w:r>
        <w:t>For power-intensive projects, EIA, FERC, ISO/RTO, utility maps, and public planning materials help establish regional context, but they do not prove that a specific large load can connect by a specific date. That conclusion must come from the serving utility and applicable grid-study process. [S10–S12]</w:t>
      </w:r>
    </w:p>
    <w:p>
      <w:pPr>
        <w:pStyle w:val="Heading1"/>
      </w:pPr>
      <w:r>
        <w:t>8. Jurisdiction and entitlement feasibility</w:t>
      </w:r>
    </w:p>
    <w:p>
      <w:r>
        <w:t>A zoning label is only the first question. The team needs the full approval path and the local decision context.</w:t>
      </w:r>
    </w:p>
    <w:p>
      <w:pPr>
        <w:pStyle w:val="ListBullet"/>
      </w:pPr>
      <w:r>
        <w:t>Confirm the governing jurisdiction, extraterritorial area, annexation status, special districts, and overlapping authorities.</w:t>
      </w:r>
    </w:p>
    <w:p>
      <w:pPr>
        <w:pStyle w:val="ListBullet"/>
      </w:pPr>
      <w:r>
        <w:t>Read the use table, definitions, dimensional standards, overlays, performance standards, and adopted plans.</w:t>
      </w:r>
    </w:p>
    <w:p>
      <w:pPr>
        <w:pStyle w:val="ListBullet"/>
      </w:pPr>
      <w:r>
        <w:t>Map every required legislative, quasi-judicial, administrative, utility, environmental, building, and operational approval.</w:t>
      </w:r>
    </w:p>
    <w:p>
      <w:pPr>
        <w:pStyle w:val="ListBullet"/>
      </w:pPr>
      <w:r>
        <w:t>Review recent staff reports, conditions, hearing minutes, votes, appeals, and comparable project outcomes.</w:t>
      </w:r>
    </w:p>
    <w:p>
      <w:pPr>
        <w:pStyle w:val="ListBullet"/>
      </w:pPr>
      <w:r>
        <w:t>Identify pre-application requirements, submittal windows, completeness rules, public notice, hearing cadence, and appeal periods.</w:t>
      </w:r>
    </w:p>
    <w:p>
      <w:pPr>
        <w:pStyle w:val="ListBullet"/>
      </w:pPr>
      <w:r>
        <w:t>Track active moratoria, pending ordinances, comprehensive-plan updates, elections, leadership changes, and organized opposition.</w:t>
      </w:r>
    </w:p>
    <w:tbl>
      <w:tblPr>
        <w:tblW w:type="dxa" w:w="9360"/>
        <w:jc w:val="left"/>
        <w:tblLayout w:type="fixed"/>
        <w:tblLook w:firstColumn="1" w:firstRow="1" w:lastColumn="0" w:lastRow="0" w:noHBand="0" w:noVBand="1" w:val="04A0"/>
        <w:tblInd w:w="120" w:type="dxa"/>
      </w:tblPr>
      <w:tblGrid>
        <w:gridCol w:w="9360"/>
      </w:tblGrid>
      <w:tr>
        <w:tc>
          <w:tcPr>
            <w:tcW w:type="dxa" w:w="9360"/>
            <w:shd w:fill="F2F4F7"/>
            <w:tcMar>
              <w:top w:w="80" w:type="dxa"/>
              <w:start w:w="120" w:type="dxa"/>
              <w:bottom w:w="80" w:type="dxa"/>
              <w:end w:w="120" w:type="dxa"/>
            </w:tcMar>
            <w:vAlign w:val="top"/>
          </w:tcPr>
          <w:p>
            <w:pPr>
              <w:spacing w:after="40" w:line="252" w:lineRule="auto"/>
            </w:pPr>
            <w:r>
              <w:rPr>
                <w:b/>
                <w:color w:val="1F4D78"/>
                <w:sz w:val="18"/>
              </w:rPr>
              <w:t xml:space="preserve">Source hierarchy for land-use conclusions  </w:t>
            </w:r>
            <w:r>
              <w:rPr>
                <w:sz w:val="18"/>
              </w:rPr>
              <w:t>Adopted ordinance and official map → formal written interpretation or agency record → adopted plan and staff report → meeting record → practitioner interpretation → vendor classification. Record conflicts; do not silently choose the most favorable source.</w:t>
            </w:r>
          </w:p>
        </w:tc>
        <w:trPr>
          <w:tblHeader/>
        </w:trPr>
      </w:tr>
    </w:tbl>
    <w:p>
      <w:pPr>
        <w:spacing w:after="0"/>
      </w:pPr>
    </w:p>
    <w:p>
      <w:pPr>
        <w:pStyle w:val="Heading1"/>
      </w:pPr>
      <w:r>
        <w:t>9. Site visit, test fit, and preliminary engineering</w:t>
      </w:r>
    </w:p>
    <w:p>
      <w:r>
        <w:t>The site visit tests assumptions that maps do not capture: grade transitions, drainage, access geometry, adjacent uses, overhead lines, encroachments, neighborhood context, visible environmental conditions, construction logistics, and the credibility of nearby infrastructure.</w:t>
      </w:r>
    </w:p>
    <w:p>
      <w:pPr>
        <w:pStyle w:val="Heading2"/>
      </w:pPr>
      <w:r>
        <w:t>The first test fit should show</w:t>
      </w:r>
    </w:p>
    <w:p>
      <w:pPr>
        <w:pStyle w:val="ListBullet"/>
      </w:pPr>
      <w:r>
        <w:t>Actual parcel boundary and any assemblage parcels.</w:t>
      </w:r>
    </w:p>
    <w:p>
      <w:pPr>
        <w:pStyle w:val="ListBullet"/>
      </w:pPr>
      <w:r>
        <w:t>Building, equipment yards, parking, loading, security, stormwater, setbacks, buffers, and expansion area.</w:t>
      </w:r>
    </w:p>
    <w:p>
      <w:pPr>
        <w:pStyle w:val="ListBullet"/>
      </w:pPr>
      <w:r>
        <w:t>Known flood, wetland, easement, utility, topographic, access, and zoning constraints.</w:t>
      </w:r>
    </w:p>
    <w:p>
      <w:pPr>
        <w:pStyle w:val="ListBullet"/>
      </w:pPr>
      <w:r>
        <w:t>Assumptions that are not yet surveyed or confirmed.</w:t>
      </w:r>
    </w:p>
    <w:p>
      <w:pPr>
        <w:pStyle w:val="ListBullet"/>
      </w:pPr>
      <w:r>
        <w:t>Alternatives that demonstrate which constraint controls usable capacity.</w:t>
      </w:r>
    </w:p>
    <w:p>
      <w:pPr>
        <w:pStyle w:val="ListBullet"/>
      </w:pPr>
      <w:r>
        <w:t>A reconciliation of gross acreage, constrained acreage, and usable development area.</w:t>
      </w:r>
    </w:p>
    <w:p>
      <w:pPr>
        <w:pStyle w:val="Heading1"/>
      </w:pPr>
      <w:r>
        <w:t>10. Site control and professional diligence</w:t>
      </w:r>
    </w:p>
    <w:p>
      <w:r>
        <w:t>Before expensive diligence, the team seeks credible site control—purchase agreement, option, lease, exclusivity, or other structure—with enough time, access rights, extension mechanics, assignment rights, and termination conditions to complete approvals and infrastructure studies.</w:t>
      </w:r>
    </w:p>
    <w:p>
      <w:pPr>
        <w:pStyle w:val="Heading2"/>
      </w:pPr>
      <w:r>
        <w:t>Common diligence workstreams</w:t>
      </w:r>
    </w:p>
    <w:tbl>
      <w:tblPr>
        <w:tblStyle w:val="TableGrid"/>
        <w:tblW w:type="dxa" w:w="9360"/>
        <w:jc w:val="left"/>
        <w:tblLayout w:type="fixed"/>
        <w:tblLook w:firstColumn="1" w:firstRow="1" w:lastColumn="0" w:lastRow="0" w:noHBand="0" w:noVBand="1" w:val="04A0"/>
        <w:tblInd w:w="120" w:type="dxa"/>
      </w:tblPr>
      <w:tblGrid>
        <w:gridCol w:w="1700"/>
        <w:gridCol w:w="4050"/>
        <w:gridCol w:w="3610"/>
      </w:tblGrid>
      <w:tr>
        <w:tc>
          <w:tcPr>
            <w:tcW w:type="dxa" w:w="1700"/>
            <w:tcMar>
              <w:top w:w="80" w:type="dxa"/>
              <w:start w:w="120" w:type="dxa"/>
              <w:bottom w:w="80" w:type="dxa"/>
              <w:end w:w="120" w:type="dxa"/>
            </w:tcMar>
            <w:vAlign w:val="top"/>
            <w:shd w:fill="F2F4F7"/>
          </w:tcPr>
          <w:p>
            <w:pPr>
              <w:spacing w:after="0"/>
            </w:pPr>
            <w:r>
              <w:rPr>
                <w:b/>
                <w:color w:val="1F4D78"/>
                <w:sz w:val="18"/>
              </w:rPr>
              <w:t>Workstream</w:t>
            </w:r>
          </w:p>
        </w:tc>
        <w:tc>
          <w:tcPr>
            <w:tcW w:type="dxa" w:w="4050"/>
            <w:tcMar>
              <w:top w:w="80" w:type="dxa"/>
              <w:start w:w="120" w:type="dxa"/>
              <w:bottom w:w="80" w:type="dxa"/>
              <w:end w:w="120" w:type="dxa"/>
            </w:tcMar>
            <w:vAlign w:val="top"/>
            <w:shd w:fill="F2F4F7"/>
          </w:tcPr>
          <w:p>
            <w:pPr>
              <w:spacing w:after="0"/>
            </w:pPr>
            <w:r>
              <w:rPr>
                <w:b/>
                <w:color w:val="1F4D78"/>
                <w:sz w:val="18"/>
              </w:rPr>
              <w:t>Primary deliverable</w:t>
            </w:r>
          </w:p>
        </w:tc>
        <w:tc>
          <w:tcPr>
            <w:tcW w:type="dxa" w:w="3610"/>
            <w:tcMar>
              <w:top w:w="80" w:type="dxa"/>
              <w:start w:w="120" w:type="dxa"/>
              <w:bottom w:w="80" w:type="dxa"/>
              <w:end w:w="120" w:type="dxa"/>
            </w:tcMar>
            <w:vAlign w:val="top"/>
            <w:shd w:fill="F2F4F7"/>
          </w:tcPr>
          <w:p>
            <w:pPr>
              <w:spacing w:after="0"/>
            </w:pPr>
            <w:r>
              <w:rPr>
                <w:b/>
                <w:color w:val="1F4D78"/>
                <w:sz w:val="18"/>
              </w:rPr>
              <w:t>What it replaces</w:t>
            </w:r>
          </w:p>
        </w:tc>
        <w:trPr>
          <w:tblHeader/>
        </w:trPr>
      </w:tr>
      <w:tr>
        <w:tc>
          <w:tcPr>
            <w:tcW w:type="dxa" w:w="1700"/>
            <w:tcMar>
              <w:top w:w="80" w:type="dxa"/>
              <w:start w:w="120" w:type="dxa"/>
              <w:bottom w:w="80" w:type="dxa"/>
              <w:end w:w="120" w:type="dxa"/>
            </w:tcMar>
            <w:vAlign w:val="top"/>
          </w:tcPr>
          <w:p>
            <w:pPr>
              <w:spacing w:after="40" w:line="252" w:lineRule="auto"/>
            </w:pPr>
            <w:r>
              <w:rPr>
                <w:sz w:val="18"/>
              </w:rPr>
              <w:t>Title and survey</w:t>
            </w:r>
          </w:p>
        </w:tc>
        <w:tc>
          <w:tcPr>
            <w:tcW w:type="dxa" w:w="4050"/>
            <w:tcMar>
              <w:top w:w="80" w:type="dxa"/>
              <w:start w:w="120" w:type="dxa"/>
              <w:bottom w:w="80" w:type="dxa"/>
              <w:end w:w="120" w:type="dxa"/>
            </w:tcMar>
            <w:vAlign w:val="top"/>
          </w:tcPr>
          <w:p>
            <w:pPr>
              <w:spacing w:after="40" w:line="252" w:lineRule="auto"/>
            </w:pPr>
            <w:r>
              <w:rPr>
                <w:sz w:val="18"/>
              </w:rPr>
              <w:t>Title commitment/report, exception documents, ALTA/NSPS or jurisdiction-appropriate survey</w:t>
            </w:r>
          </w:p>
        </w:tc>
        <w:tc>
          <w:tcPr>
            <w:tcW w:type="dxa" w:w="3610"/>
            <w:tcMar>
              <w:top w:w="80" w:type="dxa"/>
              <w:start w:w="120" w:type="dxa"/>
              <w:bottom w:w="80" w:type="dxa"/>
              <w:end w:w="120" w:type="dxa"/>
            </w:tcMar>
            <w:vAlign w:val="top"/>
          </w:tcPr>
          <w:p>
            <w:pPr>
              <w:spacing w:after="40" w:line="252" w:lineRule="auto"/>
            </w:pPr>
            <w:r>
              <w:rPr>
                <w:sz w:val="18"/>
              </w:rPr>
              <w:t>Assessor geometry, approximate access, assumed easements</w:t>
            </w:r>
          </w:p>
        </w:tc>
      </w:tr>
      <w:tr>
        <w:tc>
          <w:tcPr>
            <w:tcW w:type="dxa" w:w="1700"/>
            <w:tcMar>
              <w:top w:w="80" w:type="dxa"/>
              <w:start w:w="120" w:type="dxa"/>
              <w:bottom w:w="80" w:type="dxa"/>
              <w:end w:w="120" w:type="dxa"/>
            </w:tcMar>
            <w:vAlign w:val="top"/>
          </w:tcPr>
          <w:p>
            <w:pPr>
              <w:spacing w:after="40" w:line="252" w:lineRule="auto"/>
            </w:pPr>
            <w:r>
              <w:rPr>
                <w:sz w:val="18"/>
              </w:rPr>
              <w:t>Environmental</w:t>
            </w:r>
          </w:p>
        </w:tc>
        <w:tc>
          <w:tcPr>
            <w:tcW w:type="dxa" w:w="4050"/>
            <w:tcMar>
              <w:top w:w="80" w:type="dxa"/>
              <w:start w:w="120" w:type="dxa"/>
              <w:bottom w:w="80" w:type="dxa"/>
              <w:end w:w="120" w:type="dxa"/>
            </w:tcMar>
            <w:vAlign w:val="top"/>
          </w:tcPr>
          <w:p>
            <w:pPr>
              <w:spacing w:after="40" w:line="252" w:lineRule="auto"/>
            </w:pPr>
            <w:r>
              <w:rPr>
                <w:sz w:val="18"/>
              </w:rPr>
              <w:t>Phase I ESA; Phase II or specialist work if triggered</w:t>
            </w:r>
          </w:p>
        </w:tc>
        <w:tc>
          <w:tcPr>
            <w:tcW w:type="dxa" w:w="3610"/>
            <w:tcMar>
              <w:top w:w="80" w:type="dxa"/>
              <w:start w:w="120" w:type="dxa"/>
              <w:bottom w:w="80" w:type="dxa"/>
              <w:end w:w="120" w:type="dxa"/>
            </w:tcMar>
            <w:vAlign w:val="top"/>
          </w:tcPr>
          <w:p>
            <w:pPr>
              <w:spacing w:after="40" w:line="252" w:lineRule="auto"/>
            </w:pPr>
            <w:r>
              <w:rPr>
                <w:sz w:val="18"/>
              </w:rPr>
              <w:t>Database-only environmental screen</w:t>
            </w:r>
          </w:p>
        </w:tc>
      </w:tr>
      <w:tr>
        <w:tc>
          <w:tcPr>
            <w:tcW w:type="dxa" w:w="1700"/>
            <w:tcMar>
              <w:top w:w="80" w:type="dxa"/>
              <w:start w:w="120" w:type="dxa"/>
              <w:bottom w:w="80" w:type="dxa"/>
              <w:end w:w="120" w:type="dxa"/>
            </w:tcMar>
            <w:vAlign w:val="top"/>
          </w:tcPr>
          <w:p>
            <w:pPr>
              <w:spacing w:after="40" w:line="252" w:lineRule="auto"/>
            </w:pPr>
            <w:r>
              <w:rPr>
                <w:sz w:val="18"/>
              </w:rPr>
              <w:t>Wetlands / waters / habitat</w:t>
            </w:r>
          </w:p>
        </w:tc>
        <w:tc>
          <w:tcPr>
            <w:tcW w:type="dxa" w:w="4050"/>
            <w:tcMar>
              <w:top w:w="80" w:type="dxa"/>
              <w:start w:w="120" w:type="dxa"/>
              <w:bottom w:w="80" w:type="dxa"/>
              <w:end w:w="120" w:type="dxa"/>
            </w:tcMar>
            <w:vAlign w:val="top"/>
          </w:tcPr>
          <w:p>
            <w:pPr>
              <w:spacing w:after="40" w:line="252" w:lineRule="auto"/>
            </w:pPr>
            <w:r>
              <w:rPr>
                <w:sz w:val="18"/>
              </w:rPr>
              <w:t>Field delineation, jurisdictional strategy, species/habitat studies</w:t>
            </w:r>
          </w:p>
        </w:tc>
        <w:tc>
          <w:tcPr>
            <w:tcW w:type="dxa" w:w="3610"/>
            <w:tcMar>
              <w:top w:w="80" w:type="dxa"/>
              <w:start w:w="120" w:type="dxa"/>
              <w:bottom w:w="80" w:type="dxa"/>
              <w:end w:w="120" w:type="dxa"/>
            </w:tcMar>
            <w:vAlign w:val="top"/>
          </w:tcPr>
          <w:p>
            <w:pPr>
              <w:spacing w:after="40" w:line="252" w:lineRule="auto"/>
            </w:pPr>
            <w:r>
              <w:rPr>
                <w:sz w:val="18"/>
              </w:rPr>
              <w:t>National wetlands and habitat overlays</w:t>
            </w:r>
          </w:p>
        </w:tc>
      </w:tr>
      <w:tr>
        <w:tc>
          <w:tcPr>
            <w:tcW w:type="dxa" w:w="1700"/>
            <w:tcMar>
              <w:top w:w="80" w:type="dxa"/>
              <w:start w:w="120" w:type="dxa"/>
              <w:bottom w:w="80" w:type="dxa"/>
              <w:end w:w="120" w:type="dxa"/>
            </w:tcMar>
            <w:vAlign w:val="top"/>
          </w:tcPr>
          <w:p>
            <w:pPr>
              <w:spacing w:after="40" w:line="252" w:lineRule="auto"/>
            </w:pPr>
            <w:r>
              <w:rPr>
                <w:sz w:val="18"/>
              </w:rPr>
              <w:t>Geotechnical</w:t>
            </w:r>
          </w:p>
        </w:tc>
        <w:tc>
          <w:tcPr>
            <w:tcW w:type="dxa" w:w="4050"/>
            <w:tcMar>
              <w:top w:w="80" w:type="dxa"/>
              <w:start w:w="120" w:type="dxa"/>
              <w:bottom w:w="80" w:type="dxa"/>
              <w:end w:w="120" w:type="dxa"/>
            </w:tcMar>
            <w:vAlign w:val="top"/>
          </w:tcPr>
          <w:p>
            <w:pPr>
              <w:spacing w:after="40" w:line="252" w:lineRule="auto"/>
            </w:pPr>
            <w:r>
              <w:rPr>
                <w:sz w:val="18"/>
              </w:rPr>
              <w:t>Borings, lab results, foundation and earthwork recommendations</w:t>
            </w:r>
          </w:p>
        </w:tc>
        <w:tc>
          <w:tcPr>
            <w:tcW w:type="dxa" w:w="3610"/>
            <w:tcMar>
              <w:top w:w="80" w:type="dxa"/>
              <w:start w:w="120" w:type="dxa"/>
              <w:bottom w:w="80" w:type="dxa"/>
              <w:end w:w="120" w:type="dxa"/>
            </w:tcMar>
            <w:vAlign w:val="top"/>
          </w:tcPr>
          <w:p>
            <w:pPr>
              <w:spacing w:after="40" w:line="252" w:lineRule="auto"/>
            </w:pPr>
            <w:r>
              <w:rPr>
                <w:sz w:val="18"/>
              </w:rPr>
              <w:t>Soil survey and regional geology proxies</w:t>
            </w:r>
          </w:p>
        </w:tc>
      </w:tr>
      <w:tr>
        <w:tc>
          <w:tcPr>
            <w:tcW w:type="dxa" w:w="1700"/>
            <w:tcMar>
              <w:top w:w="80" w:type="dxa"/>
              <w:start w:w="120" w:type="dxa"/>
              <w:bottom w:w="80" w:type="dxa"/>
              <w:end w:w="120" w:type="dxa"/>
            </w:tcMar>
            <w:vAlign w:val="top"/>
          </w:tcPr>
          <w:p>
            <w:pPr>
              <w:spacing w:after="40" w:line="252" w:lineRule="auto"/>
            </w:pPr>
            <w:r>
              <w:rPr>
                <w:sz w:val="18"/>
              </w:rPr>
              <w:t>Civil / drainage</w:t>
            </w:r>
          </w:p>
        </w:tc>
        <w:tc>
          <w:tcPr>
            <w:tcW w:type="dxa" w:w="4050"/>
            <w:tcMar>
              <w:top w:w="80" w:type="dxa"/>
              <w:start w:w="120" w:type="dxa"/>
              <w:bottom w:w="80" w:type="dxa"/>
              <w:end w:w="120" w:type="dxa"/>
            </w:tcMar>
            <w:vAlign w:val="top"/>
          </w:tcPr>
          <w:p>
            <w:pPr>
              <w:spacing w:after="40" w:line="252" w:lineRule="auto"/>
            </w:pPr>
            <w:r>
              <w:rPr>
                <w:sz w:val="18"/>
              </w:rPr>
              <w:t>Topo, grading, drainage, utility, and access concepts</w:t>
            </w:r>
          </w:p>
        </w:tc>
        <w:tc>
          <w:tcPr>
            <w:tcW w:type="dxa" w:w="3610"/>
            <w:tcMar>
              <w:top w:w="80" w:type="dxa"/>
              <w:start w:w="120" w:type="dxa"/>
              <w:bottom w:w="80" w:type="dxa"/>
              <w:end w:w="120" w:type="dxa"/>
            </w:tcMar>
            <w:vAlign w:val="top"/>
          </w:tcPr>
          <w:p>
            <w:pPr>
              <w:spacing w:after="40" w:line="252" w:lineRule="auto"/>
            </w:pPr>
            <w:r>
              <w:rPr>
                <w:sz w:val="18"/>
              </w:rPr>
              <w:t>Desktop slope and distance analysis</w:t>
            </w:r>
          </w:p>
        </w:tc>
      </w:tr>
      <w:tr>
        <w:tc>
          <w:tcPr>
            <w:tcW w:type="dxa" w:w="1700"/>
            <w:tcMar>
              <w:top w:w="80" w:type="dxa"/>
              <w:start w:w="120" w:type="dxa"/>
              <w:bottom w:w="80" w:type="dxa"/>
              <w:end w:w="120" w:type="dxa"/>
            </w:tcMar>
            <w:vAlign w:val="top"/>
          </w:tcPr>
          <w:p>
            <w:pPr>
              <w:spacing w:after="40" w:line="252" w:lineRule="auto"/>
            </w:pPr>
            <w:r>
              <w:rPr>
                <w:sz w:val="18"/>
              </w:rPr>
              <w:t>Traffic / access</w:t>
            </w:r>
          </w:p>
        </w:tc>
        <w:tc>
          <w:tcPr>
            <w:tcW w:type="dxa" w:w="4050"/>
            <w:tcMar>
              <w:top w:w="80" w:type="dxa"/>
              <w:start w:w="120" w:type="dxa"/>
              <w:bottom w:w="80" w:type="dxa"/>
              <w:end w:w="120" w:type="dxa"/>
            </w:tcMar>
            <w:vAlign w:val="top"/>
          </w:tcPr>
          <w:p>
            <w:pPr>
              <w:spacing w:after="40" w:line="252" w:lineRule="auto"/>
            </w:pPr>
            <w:r>
              <w:rPr>
                <w:sz w:val="18"/>
              </w:rPr>
              <w:t>Access concept, traffic study, agency feedback</w:t>
            </w:r>
          </w:p>
        </w:tc>
        <w:tc>
          <w:tcPr>
            <w:tcW w:type="dxa" w:w="3610"/>
            <w:tcMar>
              <w:top w:w="80" w:type="dxa"/>
              <w:start w:w="120" w:type="dxa"/>
              <w:bottom w:w="80" w:type="dxa"/>
              <w:end w:w="120" w:type="dxa"/>
            </w:tcMar>
            <w:vAlign w:val="top"/>
          </w:tcPr>
          <w:p>
            <w:pPr>
              <w:spacing w:after="40" w:line="252" w:lineRule="auto"/>
            </w:pPr>
            <w:r>
              <w:rPr>
                <w:sz w:val="18"/>
              </w:rPr>
              <w:t>Road proximity and generic classification</w:t>
            </w:r>
          </w:p>
        </w:tc>
      </w:tr>
      <w:tr>
        <w:tc>
          <w:tcPr>
            <w:tcW w:type="dxa" w:w="1700"/>
            <w:tcMar>
              <w:top w:w="80" w:type="dxa"/>
              <w:start w:w="120" w:type="dxa"/>
              <w:bottom w:w="80" w:type="dxa"/>
              <w:end w:w="120" w:type="dxa"/>
            </w:tcMar>
            <w:vAlign w:val="top"/>
          </w:tcPr>
          <w:p>
            <w:pPr>
              <w:spacing w:after="40" w:line="252" w:lineRule="auto"/>
            </w:pPr>
            <w:r>
              <w:rPr>
                <w:sz w:val="18"/>
              </w:rPr>
              <w:t>Utilities</w:t>
            </w:r>
          </w:p>
        </w:tc>
        <w:tc>
          <w:tcPr>
            <w:tcW w:type="dxa" w:w="4050"/>
            <w:tcMar>
              <w:top w:w="80" w:type="dxa"/>
              <w:start w:w="120" w:type="dxa"/>
              <w:bottom w:w="80" w:type="dxa"/>
              <w:end w:w="120" w:type="dxa"/>
            </w:tcMar>
            <w:vAlign w:val="top"/>
          </w:tcPr>
          <w:p>
            <w:pPr>
              <w:spacing w:after="40" w:line="252" w:lineRule="auto"/>
            </w:pPr>
            <w:r>
              <w:rPr>
                <w:sz w:val="18"/>
              </w:rPr>
              <w:t>Studies, service letters/agreements, upgrade scope, schedule, and cost</w:t>
            </w:r>
          </w:p>
        </w:tc>
        <w:tc>
          <w:tcPr>
            <w:tcW w:type="dxa" w:w="3610"/>
            <w:tcMar>
              <w:top w:w="80" w:type="dxa"/>
              <w:start w:w="120" w:type="dxa"/>
              <w:bottom w:w="80" w:type="dxa"/>
              <w:end w:w="120" w:type="dxa"/>
            </w:tcMar>
            <w:vAlign w:val="top"/>
          </w:tcPr>
          <w:p>
            <w:pPr>
              <w:spacing w:after="40" w:line="252" w:lineRule="auto"/>
            </w:pPr>
            <w:r>
              <w:rPr>
                <w:sz w:val="18"/>
              </w:rPr>
              <w:t>Line proximity and service-territory assumptions</w:t>
            </w:r>
          </w:p>
        </w:tc>
      </w:tr>
      <w:tr>
        <w:tc>
          <w:tcPr>
            <w:tcW w:type="dxa" w:w="1700"/>
            <w:tcMar>
              <w:top w:w="80" w:type="dxa"/>
              <w:start w:w="120" w:type="dxa"/>
              <w:bottom w:w="80" w:type="dxa"/>
              <w:end w:w="120" w:type="dxa"/>
            </w:tcMar>
            <w:vAlign w:val="top"/>
          </w:tcPr>
          <w:p>
            <w:pPr>
              <w:spacing w:after="40" w:line="252" w:lineRule="auto"/>
            </w:pPr>
            <w:r>
              <w:rPr>
                <w:sz w:val="18"/>
              </w:rPr>
              <w:t>Land use</w:t>
            </w:r>
          </w:p>
        </w:tc>
        <w:tc>
          <w:tcPr>
            <w:tcW w:type="dxa" w:w="4050"/>
            <w:tcMar>
              <w:top w:w="80" w:type="dxa"/>
              <w:start w:w="120" w:type="dxa"/>
              <w:bottom w:w="80" w:type="dxa"/>
              <w:end w:w="120" w:type="dxa"/>
            </w:tcMar>
            <w:vAlign w:val="top"/>
          </w:tcPr>
          <w:p>
            <w:pPr>
              <w:spacing w:after="40" w:line="252" w:lineRule="auto"/>
            </w:pPr>
            <w:r>
              <w:rPr>
                <w:sz w:val="18"/>
              </w:rPr>
              <w:t>Written path, application strategy, schedule, and conditions risk</w:t>
            </w:r>
          </w:p>
        </w:tc>
        <w:tc>
          <w:tcPr>
            <w:tcW w:type="dxa" w:w="3610"/>
            <w:tcMar>
              <w:top w:w="80" w:type="dxa"/>
              <w:start w:w="120" w:type="dxa"/>
              <w:bottom w:w="80" w:type="dxa"/>
              <w:end w:w="120" w:type="dxa"/>
            </w:tcMar>
            <w:vAlign w:val="top"/>
          </w:tcPr>
          <w:p>
            <w:pPr>
              <w:spacing w:after="40" w:line="252" w:lineRule="auto"/>
            </w:pPr>
            <w:r>
              <w:rPr>
                <w:sz w:val="18"/>
              </w:rPr>
              <w:t>Vendor zoning label</w:t>
            </w:r>
          </w:p>
        </w:tc>
      </w:tr>
    </w:tbl>
    <w:p>
      <w:pPr>
        <w:pStyle w:val="Heading1"/>
      </w:pPr>
      <w:r>
        <w:t>11. Recommendation, approval, and handoff</w:t>
      </w:r>
    </w:p>
    <w:p>
      <w:r>
        <w:t>The recommendation should be a decision package, not a score screenshot. A strong package explains what is known, what is inferred, what remains open, who owns each open item, and what would change the recommendation.</w:t>
      </w:r>
    </w:p>
    <w:p>
      <w:pPr>
        <w:pStyle w:val="Heading2"/>
      </w:pPr>
      <w:r>
        <w:t>Required decision exhibits</w:t>
      </w:r>
    </w:p>
    <w:p>
      <w:pPr>
        <w:pStyle w:val="ListBullet"/>
      </w:pPr>
      <w:r>
        <w:t>Executive comparison of preferred site and backups.</w:t>
      </w:r>
    </w:p>
    <w:p>
      <w:pPr>
        <w:pStyle w:val="ListBullet"/>
      </w:pPr>
      <w:r>
        <w:t>Criteria score with separate hard-filter status and evidence confidence.</w:t>
      </w:r>
    </w:p>
    <w:p>
      <w:pPr>
        <w:pStyle w:val="ListBullet"/>
      </w:pPr>
      <w:r>
        <w:t>Parcel map and test fit.</w:t>
      </w:r>
    </w:p>
    <w:p>
      <w:pPr>
        <w:pStyle w:val="ListBullet"/>
      </w:pPr>
      <w:r>
        <w:t>Land, entitlement, utility, design, and construction schedule with dependencies.</w:t>
      </w:r>
    </w:p>
    <w:p>
      <w:pPr>
        <w:pStyle w:val="ListBullet"/>
      </w:pPr>
      <w:r>
        <w:t>Risk-adjusted development budget and scenario ranges.</w:t>
      </w:r>
    </w:p>
    <w:p>
      <w:pPr>
        <w:pStyle w:val="ListBullet"/>
      </w:pPr>
      <w:r>
        <w:t>Conditions and exceptions requiring executive acceptance.</w:t>
      </w:r>
    </w:p>
    <w:p>
      <w:pPr>
        <w:pStyle w:val="ListBullet"/>
      </w:pPr>
      <w:r>
        <w:t>Source register and diligence index.</w:t>
      </w:r>
    </w:p>
    <w:p>
      <w:pPr>
        <w:pStyle w:val="ListBullet"/>
      </w:pPr>
      <w:r>
        <w:t>Handoff matrix: task, owner, due date, approval gate, and dependent documents.</w:t>
      </w:r>
    </w:p>
    <w:p>
      <w:r>
        <w:br w:type="page"/>
      </w:r>
    </w:p>
    <w:p>
      <w:pPr>
        <w:pStyle w:val="Heading1"/>
      </w:pPr>
      <w:r>
        <w:t>12. Where site-selection teams get data</w:t>
      </w:r>
    </w:p>
    <w:p>
      <w:r>
        <w:t>Teams use a layered sourcing model. National data creates a consistent screen. Local official records establish parcel and legal context. Commercial sources improve speed, coverage, and contactability. Site-specific professional work and written agency/utility confirmation support capital commitment.</w:t>
      </w:r>
    </w:p>
    <w:p>
      <w:pPr>
        <w:pStyle w:val="Heading2"/>
      </w:pPr>
      <w:r>
        <w:t>National and federal screening sources</w:t>
      </w:r>
    </w:p>
    <w:tbl>
      <w:tblPr>
        <w:tblStyle w:val="TableGrid"/>
        <w:tblW w:type="dxa" w:w="9360"/>
        <w:jc w:val="left"/>
        <w:tblLayout w:type="fixed"/>
        <w:tblLook w:firstColumn="1" w:firstRow="1" w:lastColumn="0" w:lastRow="0" w:noHBand="0" w:noVBand="1" w:val="04A0"/>
        <w:tblInd w:w="120" w:type="dxa"/>
      </w:tblPr>
      <w:tblGrid>
        <w:gridCol w:w="1300"/>
        <w:gridCol w:w="2500"/>
        <w:gridCol w:w="2800"/>
        <w:gridCol w:w="2760"/>
      </w:tblGrid>
      <w:tr>
        <w:tc>
          <w:tcPr>
            <w:tcW w:type="dxa" w:w="1300"/>
            <w:tcMar>
              <w:top w:w="80" w:type="dxa"/>
              <w:start w:w="120" w:type="dxa"/>
              <w:bottom w:w="80" w:type="dxa"/>
              <w:end w:w="120" w:type="dxa"/>
            </w:tcMar>
            <w:vAlign w:val="top"/>
            <w:shd w:fill="F2F4F7"/>
          </w:tcPr>
          <w:p>
            <w:pPr>
              <w:spacing w:after="0"/>
            </w:pPr>
            <w:r>
              <w:rPr>
                <w:b/>
                <w:color w:val="1F4D78"/>
                <w:sz w:val="18"/>
              </w:rPr>
              <w:t>Need</w:t>
            </w:r>
          </w:p>
        </w:tc>
        <w:tc>
          <w:tcPr>
            <w:tcW w:type="dxa" w:w="2500"/>
            <w:tcMar>
              <w:top w:w="80" w:type="dxa"/>
              <w:start w:w="120" w:type="dxa"/>
              <w:bottom w:w="80" w:type="dxa"/>
              <w:end w:w="120" w:type="dxa"/>
            </w:tcMar>
            <w:vAlign w:val="top"/>
            <w:shd w:fill="F2F4F7"/>
          </w:tcPr>
          <w:p>
            <w:pPr>
              <w:spacing w:after="0"/>
            </w:pPr>
            <w:r>
              <w:rPr>
                <w:b/>
                <w:color w:val="1F4D78"/>
                <w:sz w:val="18"/>
              </w:rPr>
              <w:t>Primary source</w:t>
            </w:r>
          </w:p>
        </w:tc>
        <w:tc>
          <w:tcPr>
            <w:tcW w:type="dxa" w:w="2800"/>
            <w:tcMar>
              <w:top w:w="80" w:type="dxa"/>
              <w:start w:w="120" w:type="dxa"/>
              <w:bottom w:w="80" w:type="dxa"/>
              <w:end w:w="120" w:type="dxa"/>
            </w:tcMar>
            <w:vAlign w:val="top"/>
            <w:shd w:fill="F2F4F7"/>
          </w:tcPr>
          <w:p>
            <w:pPr>
              <w:spacing w:after="0"/>
            </w:pPr>
            <w:r>
              <w:rPr>
                <w:b/>
                <w:color w:val="1F4D78"/>
                <w:sz w:val="18"/>
              </w:rPr>
              <w:t>Good for</w:t>
            </w:r>
          </w:p>
        </w:tc>
        <w:tc>
          <w:tcPr>
            <w:tcW w:type="dxa" w:w="2760"/>
            <w:tcMar>
              <w:top w:w="80" w:type="dxa"/>
              <w:start w:w="120" w:type="dxa"/>
              <w:bottom w:w="80" w:type="dxa"/>
              <w:end w:w="120" w:type="dxa"/>
            </w:tcMar>
            <w:vAlign w:val="top"/>
            <w:shd w:fill="F2F4F7"/>
          </w:tcPr>
          <w:p>
            <w:pPr>
              <w:spacing w:after="0"/>
            </w:pPr>
            <w:r>
              <w:rPr>
                <w:b/>
                <w:color w:val="1F4D78"/>
                <w:sz w:val="18"/>
              </w:rPr>
              <w:t>Important limitation</w:t>
            </w:r>
          </w:p>
        </w:tc>
        <w:trPr>
          <w:tblHeader/>
        </w:trPr>
      </w:tr>
      <w:tr>
        <w:tc>
          <w:tcPr>
            <w:tcW w:type="dxa" w:w="1300"/>
            <w:tcMar>
              <w:top w:w="80" w:type="dxa"/>
              <w:start w:w="120" w:type="dxa"/>
              <w:bottom w:w="80" w:type="dxa"/>
              <w:end w:w="120" w:type="dxa"/>
            </w:tcMar>
            <w:vAlign w:val="top"/>
          </w:tcPr>
          <w:p>
            <w:pPr>
              <w:spacing w:after="40" w:line="252" w:lineRule="auto"/>
            </w:pPr>
            <w:r>
              <w:rPr>
                <w:sz w:val="18"/>
              </w:rPr>
              <w:t>Flood</w:t>
            </w:r>
          </w:p>
        </w:tc>
        <w:tc>
          <w:tcPr>
            <w:tcW w:type="dxa" w:w="2500"/>
            <w:tcMar>
              <w:top w:w="80" w:type="dxa"/>
              <w:start w:w="120" w:type="dxa"/>
              <w:bottom w:w="80" w:type="dxa"/>
              <w:end w:w="120" w:type="dxa"/>
            </w:tcMar>
            <w:vAlign w:val="top"/>
          </w:tcPr>
          <w:p>
            <w:pPr>
              <w:spacing w:after="40" w:line="252" w:lineRule="auto"/>
            </w:pPr>
            <w:r>
              <w:rPr>
                <w:sz w:val="18"/>
              </w:rPr>
              <w:t>FEMA Map Service Center / NFHL [S1]</w:t>
            </w:r>
          </w:p>
        </w:tc>
        <w:tc>
          <w:tcPr>
            <w:tcW w:type="dxa" w:w="2800"/>
            <w:tcMar>
              <w:top w:w="80" w:type="dxa"/>
              <w:start w:w="120" w:type="dxa"/>
              <w:bottom w:w="80" w:type="dxa"/>
              <w:end w:w="120" w:type="dxa"/>
            </w:tcMar>
            <w:vAlign w:val="top"/>
          </w:tcPr>
          <w:p>
            <w:pPr>
              <w:spacing w:after="40" w:line="252" w:lineRule="auto"/>
            </w:pPr>
            <w:r>
              <w:rPr>
                <w:sz w:val="18"/>
              </w:rPr>
              <w:t>Effective flood hazard mapping and map products</w:t>
            </w:r>
          </w:p>
        </w:tc>
        <w:tc>
          <w:tcPr>
            <w:tcW w:type="dxa" w:w="2760"/>
            <w:tcMar>
              <w:top w:w="80" w:type="dxa"/>
              <w:start w:w="120" w:type="dxa"/>
              <w:bottom w:w="80" w:type="dxa"/>
              <w:end w:w="120" w:type="dxa"/>
            </w:tcMar>
            <w:vAlign w:val="top"/>
          </w:tcPr>
          <w:p>
            <w:pPr>
              <w:spacing w:after="40" w:line="252" w:lineRule="auto"/>
            </w:pPr>
            <w:r>
              <w:rPr>
                <w:sz w:val="18"/>
              </w:rPr>
              <w:t>Coverage and effective dates vary; local and project-specific studies may control.</w:t>
            </w:r>
          </w:p>
        </w:tc>
      </w:tr>
      <w:tr>
        <w:tc>
          <w:tcPr>
            <w:tcW w:type="dxa" w:w="1300"/>
            <w:tcMar>
              <w:top w:w="80" w:type="dxa"/>
              <w:start w:w="120" w:type="dxa"/>
              <w:bottom w:w="80" w:type="dxa"/>
              <w:end w:w="120" w:type="dxa"/>
            </w:tcMar>
            <w:vAlign w:val="top"/>
          </w:tcPr>
          <w:p>
            <w:pPr>
              <w:spacing w:after="40" w:line="252" w:lineRule="auto"/>
            </w:pPr>
            <w:r>
              <w:rPr>
                <w:sz w:val="18"/>
              </w:rPr>
              <w:t>Wetlands</w:t>
            </w:r>
          </w:p>
        </w:tc>
        <w:tc>
          <w:tcPr>
            <w:tcW w:type="dxa" w:w="2500"/>
            <w:tcMar>
              <w:top w:w="80" w:type="dxa"/>
              <w:start w:w="120" w:type="dxa"/>
              <w:bottom w:w="80" w:type="dxa"/>
              <w:end w:w="120" w:type="dxa"/>
            </w:tcMar>
            <w:vAlign w:val="top"/>
          </w:tcPr>
          <w:p>
            <w:pPr>
              <w:spacing w:after="40" w:line="252" w:lineRule="auto"/>
            </w:pPr>
            <w:r>
              <w:rPr>
                <w:sz w:val="18"/>
              </w:rPr>
              <w:t>USFWS National Wetlands Inventory [S2]</w:t>
            </w:r>
          </w:p>
        </w:tc>
        <w:tc>
          <w:tcPr>
            <w:tcW w:type="dxa" w:w="2800"/>
            <w:tcMar>
              <w:top w:w="80" w:type="dxa"/>
              <w:start w:w="120" w:type="dxa"/>
              <w:bottom w:w="80" w:type="dxa"/>
              <w:end w:w="120" w:type="dxa"/>
            </w:tcMar>
            <w:vAlign w:val="top"/>
          </w:tcPr>
          <w:p>
            <w:pPr>
              <w:spacing w:after="40" w:line="252" w:lineRule="auto"/>
            </w:pPr>
            <w:r>
              <w:rPr>
                <w:sz w:val="18"/>
              </w:rPr>
              <w:t>Desktop wetland/deepwater screening and metadata</w:t>
            </w:r>
          </w:p>
        </w:tc>
        <w:tc>
          <w:tcPr>
            <w:tcW w:type="dxa" w:w="2760"/>
            <w:tcMar>
              <w:top w:w="80" w:type="dxa"/>
              <w:start w:w="120" w:type="dxa"/>
              <w:bottom w:w="80" w:type="dxa"/>
              <w:end w:w="120" w:type="dxa"/>
            </w:tcMar>
            <w:vAlign w:val="top"/>
          </w:tcPr>
          <w:p>
            <w:pPr>
              <w:spacing w:after="40" w:line="252" w:lineRule="auto"/>
            </w:pPr>
            <w:r>
              <w:rPr>
                <w:sz w:val="18"/>
              </w:rPr>
              <w:t>Not a field delineation or jurisdictional determination.</w:t>
            </w:r>
          </w:p>
        </w:tc>
      </w:tr>
      <w:tr>
        <w:tc>
          <w:tcPr>
            <w:tcW w:type="dxa" w:w="1300"/>
            <w:tcMar>
              <w:top w:w="80" w:type="dxa"/>
              <w:start w:w="120" w:type="dxa"/>
              <w:bottom w:w="80" w:type="dxa"/>
              <w:end w:w="120" w:type="dxa"/>
            </w:tcMar>
            <w:vAlign w:val="top"/>
          </w:tcPr>
          <w:p>
            <w:pPr>
              <w:spacing w:after="40" w:line="252" w:lineRule="auto"/>
            </w:pPr>
            <w:r>
              <w:rPr>
                <w:sz w:val="18"/>
              </w:rPr>
              <w:t>Soils</w:t>
            </w:r>
          </w:p>
        </w:tc>
        <w:tc>
          <w:tcPr>
            <w:tcW w:type="dxa" w:w="2500"/>
            <w:tcMar>
              <w:top w:w="80" w:type="dxa"/>
              <w:start w:w="120" w:type="dxa"/>
              <w:bottom w:w="80" w:type="dxa"/>
              <w:end w:w="120" w:type="dxa"/>
            </w:tcMar>
            <w:vAlign w:val="top"/>
          </w:tcPr>
          <w:p>
            <w:pPr>
              <w:spacing w:after="40" w:line="252" w:lineRule="auto"/>
            </w:pPr>
            <w:r>
              <w:rPr>
                <w:sz w:val="18"/>
              </w:rPr>
              <w:t>USDA NRCS Web Soil Survey / SSURGO [S3]</w:t>
            </w:r>
          </w:p>
        </w:tc>
        <w:tc>
          <w:tcPr>
            <w:tcW w:type="dxa" w:w="2800"/>
            <w:tcMar>
              <w:top w:w="80" w:type="dxa"/>
              <w:start w:w="120" w:type="dxa"/>
              <w:bottom w:w="80" w:type="dxa"/>
              <w:end w:w="120" w:type="dxa"/>
            </w:tcMar>
            <w:vAlign w:val="top"/>
          </w:tcPr>
          <w:p>
            <w:pPr>
              <w:spacing w:after="40" w:line="252" w:lineRule="auto"/>
            </w:pPr>
            <w:r>
              <w:rPr>
                <w:sz w:val="18"/>
              </w:rPr>
              <w:t>Soil properties and map units for early screening</w:t>
            </w:r>
          </w:p>
        </w:tc>
        <w:tc>
          <w:tcPr>
            <w:tcW w:type="dxa" w:w="2760"/>
            <w:tcMar>
              <w:top w:w="80" w:type="dxa"/>
              <w:start w:w="120" w:type="dxa"/>
              <w:bottom w:w="80" w:type="dxa"/>
              <w:end w:w="120" w:type="dxa"/>
            </w:tcMar>
            <w:vAlign w:val="top"/>
          </w:tcPr>
          <w:p>
            <w:pPr>
              <w:spacing w:after="40" w:line="252" w:lineRule="auto"/>
            </w:pPr>
            <w:r>
              <w:rPr>
                <w:sz w:val="18"/>
              </w:rPr>
              <w:t>Not a substitute for borings or geotechnical design.</w:t>
            </w:r>
          </w:p>
        </w:tc>
      </w:tr>
      <w:tr>
        <w:tc>
          <w:tcPr>
            <w:tcW w:type="dxa" w:w="1300"/>
            <w:tcMar>
              <w:top w:w="80" w:type="dxa"/>
              <w:start w:w="120" w:type="dxa"/>
              <w:bottom w:w="80" w:type="dxa"/>
              <w:end w:w="120" w:type="dxa"/>
            </w:tcMar>
            <w:vAlign w:val="top"/>
          </w:tcPr>
          <w:p>
            <w:pPr>
              <w:spacing w:after="40" w:line="252" w:lineRule="auto"/>
            </w:pPr>
            <w:r>
              <w:rPr>
                <w:sz w:val="18"/>
              </w:rPr>
              <w:t>Elevation</w:t>
            </w:r>
          </w:p>
        </w:tc>
        <w:tc>
          <w:tcPr>
            <w:tcW w:type="dxa" w:w="2500"/>
            <w:tcMar>
              <w:top w:w="80" w:type="dxa"/>
              <w:start w:w="120" w:type="dxa"/>
              <w:bottom w:w="80" w:type="dxa"/>
              <w:end w:w="120" w:type="dxa"/>
            </w:tcMar>
            <w:vAlign w:val="top"/>
          </w:tcPr>
          <w:p>
            <w:pPr>
              <w:spacing w:after="40" w:line="252" w:lineRule="auto"/>
            </w:pPr>
            <w:r>
              <w:rPr>
                <w:sz w:val="18"/>
              </w:rPr>
              <w:t>USGS 3DEP / The National Map [S4]</w:t>
            </w:r>
          </w:p>
        </w:tc>
        <w:tc>
          <w:tcPr>
            <w:tcW w:type="dxa" w:w="2800"/>
            <w:tcMar>
              <w:top w:w="80" w:type="dxa"/>
              <w:start w:w="120" w:type="dxa"/>
              <w:bottom w:w="80" w:type="dxa"/>
              <w:end w:w="120" w:type="dxa"/>
            </w:tcMar>
            <w:vAlign w:val="top"/>
          </w:tcPr>
          <w:p>
            <w:pPr>
              <w:spacing w:after="40" w:line="252" w:lineRule="auto"/>
            </w:pPr>
            <w:r>
              <w:rPr>
                <w:sz w:val="18"/>
              </w:rPr>
              <w:t>Terrain, slope, contours, and regional grading screen</w:t>
            </w:r>
          </w:p>
        </w:tc>
        <w:tc>
          <w:tcPr>
            <w:tcW w:type="dxa" w:w="2760"/>
            <w:tcMar>
              <w:top w:w="80" w:type="dxa"/>
              <w:start w:w="120" w:type="dxa"/>
              <w:bottom w:w="80" w:type="dxa"/>
              <w:end w:w="120" w:type="dxa"/>
            </w:tcMar>
            <w:vAlign w:val="top"/>
          </w:tcPr>
          <w:p>
            <w:pPr>
              <w:spacing w:after="40" w:line="252" w:lineRule="auto"/>
            </w:pPr>
            <w:r>
              <w:rPr>
                <w:sz w:val="18"/>
              </w:rPr>
              <w:t>Resolution and acquisition vintage vary; survey controls design.</w:t>
            </w:r>
          </w:p>
        </w:tc>
      </w:tr>
      <w:tr>
        <w:tc>
          <w:tcPr>
            <w:tcW w:type="dxa" w:w="1300"/>
            <w:tcMar>
              <w:top w:w="80" w:type="dxa"/>
              <w:start w:w="120" w:type="dxa"/>
              <w:bottom w:w="80" w:type="dxa"/>
              <w:end w:w="120" w:type="dxa"/>
            </w:tcMar>
            <w:vAlign w:val="top"/>
          </w:tcPr>
          <w:p>
            <w:pPr>
              <w:spacing w:after="40" w:line="252" w:lineRule="auto"/>
            </w:pPr>
            <w:r>
              <w:rPr>
                <w:sz w:val="18"/>
              </w:rPr>
              <w:t>Regulated facilities</w:t>
            </w:r>
          </w:p>
        </w:tc>
        <w:tc>
          <w:tcPr>
            <w:tcW w:type="dxa" w:w="2500"/>
            <w:tcMar>
              <w:top w:w="80" w:type="dxa"/>
              <w:start w:w="120" w:type="dxa"/>
              <w:bottom w:w="80" w:type="dxa"/>
              <w:end w:w="120" w:type="dxa"/>
            </w:tcMar>
            <w:vAlign w:val="top"/>
          </w:tcPr>
          <w:p>
            <w:pPr>
              <w:spacing w:after="40" w:line="252" w:lineRule="auto"/>
            </w:pPr>
            <w:r>
              <w:rPr>
                <w:sz w:val="18"/>
              </w:rPr>
              <w:t>EPA ECHO [S5]</w:t>
            </w:r>
          </w:p>
        </w:tc>
        <w:tc>
          <w:tcPr>
            <w:tcW w:type="dxa" w:w="2800"/>
            <w:tcMar>
              <w:top w:w="80" w:type="dxa"/>
              <w:start w:w="120" w:type="dxa"/>
              <w:bottom w:w="80" w:type="dxa"/>
              <w:end w:w="120" w:type="dxa"/>
            </w:tcMar>
            <w:vAlign w:val="top"/>
          </w:tcPr>
          <w:p>
            <w:pPr>
              <w:spacing w:after="40" w:line="252" w:lineRule="auto"/>
            </w:pPr>
            <w:r>
              <w:rPr>
                <w:sz w:val="18"/>
              </w:rPr>
              <w:t>Nearby regulated facilities, permits, compliance, and enforcement context</w:t>
            </w:r>
          </w:p>
        </w:tc>
        <w:tc>
          <w:tcPr>
            <w:tcW w:type="dxa" w:w="2760"/>
            <w:tcMar>
              <w:top w:w="80" w:type="dxa"/>
              <w:start w:w="120" w:type="dxa"/>
              <w:bottom w:w="80" w:type="dxa"/>
              <w:end w:w="120" w:type="dxa"/>
            </w:tcMar>
            <w:vAlign w:val="top"/>
          </w:tcPr>
          <w:p>
            <w:pPr>
              <w:spacing w:after="40" w:line="252" w:lineRule="auto"/>
            </w:pPr>
            <w:r>
              <w:rPr>
                <w:sz w:val="18"/>
              </w:rPr>
              <w:t>Not a complete environmental condition opinion; Phase I process remains necessary.</w:t>
            </w:r>
          </w:p>
        </w:tc>
      </w:tr>
      <w:tr>
        <w:tc>
          <w:tcPr>
            <w:tcW w:type="dxa" w:w="1300"/>
            <w:tcMar>
              <w:top w:w="80" w:type="dxa"/>
              <w:start w:w="120" w:type="dxa"/>
              <w:bottom w:w="80" w:type="dxa"/>
              <w:end w:w="120" w:type="dxa"/>
            </w:tcMar>
            <w:vAlign w:val="top"/>
          </w:tcPr>
          <w:p>
            <w:pPr>
              <w:spacing w:after="40" w:line="252" w:lineRule="auto"/>
            </w:pPr>
            <w:r>
              <w:rPr>
                <w:sz w:val="18"/>
              </w:rPr>
              <w:t>Boundaries / roads</w:t>
            </w:r>
          </w:p>
        </w:tc>
        <w:tc>
          <w:tcPr>
            <w:tcW w:type="dxa" w:w="2500"/>
            <w:tcMar>
              <w:top w:w="80" w:type="dxa"/>
              <w:start w:w="120" w:type="dxa"/>
              <w:bottom w:w="80" w:type="dxa"/>
              <w:end w:w="120" w:type="dxa"/>
            </w:tcMar>
            <w:vAlign w:val="top"/>
          </w:tcPr>
          <w:p>
            <w:pPr>
              <w:spacing w:after="40" w:line="252" w:lineRule="auto"/>
            </w:pPr>
            <w:r>
              <w:rPr>
                <w:sz w:val="18"/>
              </w:rPr>
              <w:t>Census TIGER/Line [S6]</w:t>
            </w:r>
          </w:p>
        </w:tc>
        <w:tc>
          <w:tcPr>
            <w:tcW w:type="dxa" w:w="2800"/>
            <w:tcMar>
              <w:top w:w="80" w:type="dxa"/>
              <w:start w:w="120" w:type="dxa"/>
              <w:bottom w:w="80" w:type="dxa"/>
              <w:end w:w="120" w:type="dxa"/>
            </w:tcMar>
            <w:vAlign w:val="top"/>
          </w:tcPr>
          <w:p>
            <w:pPr>
              <w:spacing w:after="40" w:line="252" w:lineRule="auto"/>
            </w:pPr>
            <w:r>
              <w:rPr>
                <w:sz w:val="18"/>
              </w:rPr>
              <w:t>Consistent legal/statistical boundaries and many transportation features</w:t>
            </w:r>
          </w:p>
        </w:tc>
        <w:tc>
          <w:tcPr>
            <w:tcW w:type="dxa" w:w="2760"/>
            <w:tcMar>
              <w:top w:w="80" w:type="dxa"/>
              <w:start w:w="120" w:type="dxa"/>
              <w:bottom w:w="80" w:type="dxa"/>
              <w:end w:w="120" w:type="dxa"/>
            </w:tcMar>
            <w:vAlign w:val="top"/>
          </w:tcPr>
          <w:p>
            <w:pPr>
              <w:spacing w:after="40" w:line="252" w:lineRule="auto"/>
            </w:pPr>
            <w:r>
              <w:rPr>
                <w:sz w:val="18"/>
              </w:rPr>
              <w:t>Not parcel geometry; not a survey or legal boundary determination.</w:t>
            </w:r>
          </w:p>
        </w:tc>
      </w:tr>
      <w:tr>
        <w:tc>
          <w:tcPr>
            <w:tcW w:type="dxa" w:w="1300"/>
            <w:tcMar>
              <w:top w:w="80" w:type="dxa"/>
              <w:start w:w="120" w:type="dxa"/>
              <w:bottom w:w="80" w:type="dxa"/>
              <w:end w:w="120" w:type="dxa"/>
            </w:tcMar>
            <w:vAlign w:val="top"/>
          </w:tcPr>
          <w:p>
            <w:pPr>
              <w:spacing w:after="40" w:line="252" w:lineRule="auto"/>
            </w:pPr>
            <w:r>
              <w:rPr>
                <w:sz w:val="18"/>
              </w:rPr>
              <w:t>Demographics</w:t>
            </w:r>
          </w:p>
        </w:tc>
        <w:tc>
          <w:tcPr>
            <w:tcW w:type="dxa" w:w="2500"/>
            <w:tcMar>
              <w:top w:w="80" w:type="dxa"/>
              <w:start w:w="120" w:type="dxa"/>
              <w:bottom w:w="80" w:type="dxa"/>
              <w:end w:w="120" w:type="dxa"/>
            </w:tcMar>
            <w:vAlign w:val="top"/>
          </w:tcPr>
          <w:p>
            <w:pPr>
              <w:spacing w:after="40" w:line="252" w:lineRule="auto"/>
            </w:pPr>
            <w:r>
              <w:rPr>
                <w:sz w:val="18"/>
              </w:rPr>
              <w:t>Census data and API [S7]</w:t>
            </w:r>
          </w:p>
        </w:tc>
        <w:tc>
          <w:tcPr>
            <w:tcW w:type="dxa" w:w="2800"/>
            <w:tcMar>
              <w:top w:w="80" w:type="dxa"/>
              <w:start w:w="120" w:type="dxa"/>
              <w:bottom w:w="80" w:type="dxa"/>
              <w:end w:w="120" w:type="dxa"/>
            </w:tcMar>
            <w:vAlign w:val="top"/>
          </w:tcPr>
          <w:p>
            <w:pPr>
              <w:spacing w:after="40" w:line="252" w:lineRule="auto"/>
            </w:pPr>
            <w:r>
              <w:rPr>
                <w:sz w:val="18"/>
              </w:rPr>
              <w:t>Population, households, commuting and business context</w:t>
            </w:r>
          </w:p>
        </w:tc>
        <w:tc>
          <w:tcPr>
            <w:tcW w:type="dxa" w:w="2760"/>
            <w:tcMar>
              <w:top w:w="80" w:type="dxa"/>
              <w:start w:w="120" w:type="dxa"/>
              <w:bottom w:w="80" w:type="dxa"/>
              <w:end w:w="120" w:type="dxa"/>
            </w:tcMar>
            <w:vAlign w:val="top"/>
          </w:tcPr>
          <w:p>
            <w:pPr>
              <w:spacing w:after="40" w:line="252" w:lineRule="auto"/>
            </w:pPr>
            <w:r>
              <w:rPr>
                <w:sz w:val="18"/>
              </w:rPr>
              <w:t>Geographic scale and vintage must match the question.</w:t>
            </w:r>
          </w:p>
        </w:tc>
      </w:tr>
      <w:tr>
        <w:tc>
          <w:tcPr>
            <w:tcW w:type="dxa" w:w="1300"/>
            <w:tcMar>
              <w:top w:w="80" w:type="dxa"/>
              <w:start w:w="120" w:type="dxa"/>
              <w:bottom w:w="80" w:type="dxa"/>
              <w:end w:w="120" w:type="dxa"/>
            </w:tcMar>
            <w:vAlign w:val="top"/>
          </w:tcPr>
          <w:p>
            <w:pPr>
              <w:spacing w:after="40" w:line="252" w:lineRule="auto"/>
            </w:pPr>
            <w:r>
              <w:rPr>
                <w:sz w:val="18"/>
              </w:rPr>
              <w:t>Labor / wages</w:t>
            </w:r>
          </w:p>
        </w:tc>
        <w:tc>
          <w:tcPr>
            <w:tcW w:type="dxa" w:w="2500"/>
            <w:tcMar>
              <w:top w:w="80" w:type="dxa"/>
              <w:start w:w="120" w:type="dxa"/>
              <w:bottom w:w="80" w:type="dxa"/>
              <w:end w:w="120" w:type="dxa"/>
            </w:tcMar>
            <w:vAlign w:val="top"/>
          </w:tcPr>
          <w:p>
            <w:pPr>
              <w:spacing w:after="40" w:line="252" w:lineRule="auto"/>
            </w:pPr>
            <w:r>
              <w:rPr>
                <w:sz w:val="18"/>
              </w:rPr>
              <w:t>BLS QCEW [S8]</w:t>
            </w:r>
          </w:p>
        </w:tc>
        <w:tc>
          <w:tcPr>
            <w:tcW w:type="dxa" w:w="2800"/>
            <w:tcMar>
              <w:top w:w="80" w:type="dxa"/>
              <w:start w:w="120" w:type="dxa"/>
              <w:bottom w:w="80" w:type="dxa"/>
              <w:end w:w="120" w:type="dxa"/>
            </w:tcMar>
            <w:vAlign w:val="top"/>
          </w:tcPr>
          <w:p>
            <w:pPr>
              <w:spacing w:after="40" w:line="252" w:lineRule="auto"/>
            </w:pPr>
            <w:r>
              <w:rPr>
                <w:sz w:val="18"/>
              </w:rPr>
              <w:t>County/MSA employment and wage data by industry</w:t>
            </w:r>
          </w:p>
        </w:tc>
        <w:tc>
          <w:tcPr>
            <w:tcW w:type="dxa" w:w="2760"/>
            <w:tcMar>
              <w:top w:w="80" w:type="dxa"/>
              <w:start w:w="120" w:type="dxa"/>
              <w:bottom w:w="80" w:type="dxa"/>
              <w:end w:w="120" w:type="dxa"/>
            </w:tcMar>
            <w:vAlign w:val="top"/>
          </w:tcPr>
          <w:p>
            <w:pPr>
              <w:spacing w:after="40" w:line="252" w:lineRule="auto"/>
            </w:pPr>
            <w:r>
              <w:rPr>
                <w:sz w:val="18"/>
              </w:rPr>
              <w:t>Released with lag and revisions; occupation-level questions need additional BLS/state sources.</w:t>
            </w:r>
          </w:p>
        </w:tc>
      </w:tr>
      <w:tr>
        <w:tc>
          <w:tcPr>
            <w:tcW w:type="dxa" w:w="1300"/>
            <w:tcMar>
              <w:top w:w="80" w:type="dxa"/>
              <w:start w:w="120" w:type="dxa"/>
              <w:bottom w:w="80" w:type="dxa"/>
              <w:end w:w="120" w:type="dxa"/>
            </w:tcMar>
            <w:vAlign w:val="top"/>
          </w:tcPr>
          <w:p>
            <w:pPr>
              <w:spacing w:after="40" w:line="252" w:lineRule="auto"/>
            </w:pPr>
            <w:r>
              <w:rPr>
                <w:sz w:val="18"/>
              </w:rPr>
              <w:t>Broadband</w:t>
            </w:r>
          </w:p>
        </w:tc>
        <w:tc>
          <w:tcPr>
            <w:tcW w:type="dxa" w:w="2500"/>
            <w:tcMar>
              <w:top w:w="80" w:type="dxa"/>
              <w:start w:w="120" w:type="dxa"/>
              <w:bottom w:w="80" w:type="dxa"/>
              <w:end w:w="120" w:type="dxa"/>
            </w:tcMar>
            <w:vAlign w:val="top"/>
          </w:tcPr>
          <w:p>
            <w:pPr>
              <w:spacing w:after="40" w:line="252" w:lineRule="auto"/>
            </w:pPr>
            <w:r>
              <w:rPr>
                <w:sz w:val="18"/>
              </w:rPr>
              <w:t>FCC National Broadband Map [S9]</w:t>
            </w:r>
          </w:p>
        </w:tc>
        <w:tc>
          <w:tcPr>
            <w:tcW w:type="dxa" w:w="2800"/>
            <w:tcMar>
              <w:top w:w="80" w:type="dxa"/>
              <w:start w:w="120" w:type="dxa"/>
              <w:bottom w:w="80" w:type="dxa"/>
              <w:end w:w="120" w:type="dxa"/>
            </w:tcMar>
            <w:vAlign w:val="top"/>
          </w:tcPr>
          <w:p>
            <w:pPr>
              <w:spacing w:after="40" w:line="252" w:lineRule="auto"/>
            </w:pPr>
            <w:r>
              <w:rPr>
                <w:sz w:val="18"/>
              </w:rPr>
              <w:t>Reported service availability screening</w:t>
            </w:r>
          </w:p>
        </w:tc>
        <w:tc>
          <w:tcPr>
            <w:tcW w:type="dxa" w:w="2760"/>
            <w:tcMar>
              <w:top w:w="80" w:type="dxa"/>
              <w:start w:w="120" w:type="dxa"/>
              <w:bottom w:w="80" w:type="dxa"/>
              <w:end w:w="120" w:type="dxa"/>
            </w:tcMar>
            <w:vAlign w:val="top"/>
          </w:tcPr>
          <w:p>
            <w:pPr>
              <w:spacing w:after="40" w:line="252" w:lineRule="auto"/>
            </w:pPr>
            <w:r>
              <w:rPr>
                <w:sz w:val="18"/>
              </w:rPr>
              <w:t>Provider-reported availability is not a fiber route, diversity, price, or service commitment.</w:t>
            </w:r>
          </w:p>
        </w:tc>
      </w:tr>
      <w:tr>
        <w:tc>
          <w:tcPr>
            <w:tcW w:type="dxa" w:w="1300"/>
            <w:tcMar>
              <w:top w:w="80" w:type="dxa"/>
              <w:start w:w="120" w:type="dxa"/>
              <w:bottom w:w="80" w:type="dxa"/>
              <w:end w:w="120" w:type="dxa"/>
            </w:tcMar>
            <w:vAlign w:val="top"/>
          </w:tcPr>
          <w:p>
            <w:pPr>
              <w:spacing w:after="40" w:line="252" w:lineRule="auto"/>
            </w:pPr>
            <w:r>
              <w:rPr>
                <w:sz w:val="18"/>
              </w:rPr>
              <w:t>Energy context</w:t>
            </w:r>
          </w:p>
        </w:tc>
        <w:tc>
          <w:tcPr>
            <w:tcW w:type="dxa" w:w="2500"/>
            <w:tcMar>
              <w:top w:w="80" w:type="dxa"/>
              <w:start w:w="120" w:type="dxa"/>
              <w:bottom w:w="80" w:type="dxa"/>
              <w:end w:w="120" w:type="dxa"/>
            </w:tcMar>
            <w:vAlign w:val="top"/>
          </w:tcPr>
          <w:p>
            <w:pPr>
              <w:spacing w:after="40" w:line="252" w:lineRule="auto"/>
            </w:pPr>
            <w:r>
              <w:rPr>
                <w:sz w:val="18"/>
              </w:rPr>
              <w:t>EIA Open Data [S10]</w:t>
            </w:r>
          </w:p>
        </w:tc>
        <w:tc>
          <w:tcPr>
            <w:tcW w:type="dxa" w:w="2800"/>
            <w:tcMar>
              <w:top w:w="80" w:type="dxa"/>
              <w:start w:w="120" w:type="dxa"/>
              <w:bottom w:w="80" w:type="dxa"/>
              <w:end w:w="120" w:type="dxa"/>
            </w:tcMar>
            <w:vAlign w:val="top"/>
          </w:tcPr>
          <w:p>
            <w:pPr>
              <w:spacing w:after="40" w:line="252" w:lineRule="auto"/>
            </w:pPr>
            <w:r>
              <w:rPr>
                <w:sz w:val="18"/>
              </w:rPr>
              <w:t>State/sector rates, generation, demand, and system context</w:t>
            </w:r>
          </w:p>
        </w:tc>
        <w:tc>
          <w:tcPr>
            <w:tcW w:type="dxa" w:w="2760"/>
            <w:tcMar>
              <w:top w:w="80" w:type="dxa"/>
              <w:start w:w="120" w:type="dxa"/>
              <w:bottom w:w="80" w:type="dxa"/>
              <w:end w:w="120" w:type="dxa"/>
            </w:tcMar>
            <w:vAlign w:val="top"/>
          </w:tcPr>
          <w:p>
            <w:pPr>
              <w:spacing w:after="40" w:line="252" w:lineRule="auto"/>
            </w:pPr>
            <w:r>
              <w:rPr>
                <w:sz w:val="18"/>
              </w:rPr>
              <w:t>Not proof of site-specific capacity or delivery schedule.</w:t>
            </w:r>
          </w:p>
        </w:tc>
      </w:tr>
      <w:tr>
        <w:tc>
          <w:tcPr>
            <w:tcW w:type="dxa" w:w="1300"/>
            <w:tcMar>
              <w:top w:w="80" w:type="dxa"/>
              <w:start w:w="120" w:type="dxa"/>
              <w:bottom w:w="80" w:type="dxa"/>
              <w:end w:w="120" w:type="dxa"/>
            </w:tcMar>
            <w:vAlign w:val="top"/>
          </w:tcPr>
          <w:p>
            <w:pPr>
              <w:spacing w:after="40" w:line="252" w:lineRule="auto"/>
            </w:pPr>
            <w:r>
              <w:rPr>
                <w:sz w:val="18"/>
              </w:rPr>
              <w:t>Grid / market structure</w:t>
            </w:r>
          </w:p>
        </w:tc>
        <w:tc>
          <w:tcPr>
            <w:tcW w:type="dxa" w:w="2500"/>
            <w:tcMar>
              <w:top w:w="80" w:type="dxa"/>
              <w:start w:w="120" w:type="dxa"/>
              <w:bottom w:w="80" w:type="dxa"/>
              <w:end w:w="120" w:type="dxa"/>
            </w:tcMar>
            <w:vAlign w:val="top"/>
          </w:tcPr>
          <w:p>
            <w:pPr>
              <w:spacing w:after="40" w:line="252" w:lineRule="auto"/>
            </w:pPr>
            <w:r>
              <w:rPr>
                <w:sz w:val="18"/>
              </w:rPr>
              <w:t>FERC and relevant ISO/RTO [S11–S12]</w:t>
            </w:r>
          </w:p>
        </w:tc>
        <w:tc>
          <w:tcPr>
            <w:tcW w:type="dxa" w:w="2800"/>
            <w:tcMar>
              <w:top w:w="80" w:type="dxa"/>
              <w:start w:w="120" w:type="dxa"/>
              <w:bottom w:w="80" w:type="dxa"/>
              <w:end w:w="120" w:type="dxa"/>
            </w:tcMar>
            <w:vAlign w:val="top"/>
          </w:tcPr>
          <w:p>
            <w:pPr>
              <w:spacing w:after="40" w:line="252" w:lineRule="auto"/>
            </w:pPr>
            <w:r>
              <w:rPr>
                <w:sz w:val="18"/>
              </w:rPr>
              <w:t>Market footprint, transmission planning context, tariffs and proceedings</w:t>
            </w:r>
          </w:p>
        </w:tc>
        <w:tc>
          <w:tcPr>
            <w:tcW w:type="dxa" w:w="2760"/>
            <w:tcMar>
              <w:top w:w="80" w:type="dxa"/>
              <w:start w:w="120" w:type="dxa"/>
              <w:bottom w:w="80" w:type="dxa"/>
              <w:end w:w="120" w:type="dxa"/>
            </w:tcMar>
            <w:vAlign w:val="top"/>
          </w:tcPr>
          <w:p>
            <w:pPr>
              <w:spacing w:after="40" w:line="252" w:lineRule="auto"/>
            </w:pPr>
            <w:r>
              <w:rPr>
                <w:sz w:val="18"/>
              </w:rPr>
              <w:t>Large-load serviceability remains a site-specific utility/grid determination.</w:t>
            </w:r>
          </w:p>
        </w:tc>
      </w:tr>
    </w:tbl>
    <w:p>
      <w:pPr>
        <w:pStyle w:val="Heading2"/>
      </w:pPr>
      <w:r>
        <w:t>Local official sources</w:t>
      </w:r>
    </w:p>
    <w:tbl>
      <w:tblPr>
        <w:tblStyle w:val="TableGrid"/>
        <w:tblW w:type="dxa" w:w="9360"/>
        <w:jc w:val="left"/>
        <w:tblLayout w:type="fixed"/>
        <w:tblLook w:firstColumn="1" w:firstRow="1" w:lastColumn="0" w:lastRow="0" w:noHBand="0" w:noVBand="1" w:val="04A0"/>
        <w:tblInd w:w="120" w:type="dxa"/>
      </w:tblPr>
      <w:tblGrid>
        <w:gridCol w:w="2300"/>
        <w:gridCol w:w="2800"/>
        <w:gridCol w:w="4260"/>
      </w:tblGrid>
      <w:tr>
        <w:tc>
          <w:tcPr>
            <w:tcW w:type="dxa" w:w="2300"/>
            <w:tcMar>
              <w:top w:w="80" w:type="dxa"/>
              <w:start w:w="120" w:type="dxa"/>
              <w:bottom w:w="80" w:type="dxa"/>
              <w:end w:w="120" w:type="dxa"/>
            </w:tcMar>
            <w:vAlign w:val="top"/>
            <w:shd w:fill="F2F4F7"/>
          </w:tcPr>
          <w:p>
            <w:pPr>
              <w:spacing w:after="0"/>
            </w:pPr>
            <w:r>
              <w:rPr>
                <w:b/>
                <w:color w:val="1F4D78"/>
                <w:sz w:val="18"/>
              </w:rPr>
              <w:t>Source</w:t>
            </w:r>
          </w:p>
        </w:tc>
        <w:tc>
          <w:tcPr>
            <w:tcW w:type="dxa" w:w="2800"/>
            <w:tcMar>
              <w:top w:w="80" w:type="dxa"/>
              <w:start w:w="120" w:type="dxa"/>
              <w:bottom w:w="80" w:type="dxa"/>
              <w:end w:w="120" w:type="dxa"/>
            </w:tcMar>
            <w:vAlign w:val="top"/>
            <w:shd w:fill="F2F4F7"/>
          </w:tcPr>
          <w:p>
            <w:pPr>
              <w:spacing w:after="0"/>
            </w:pPr>
            <w:r>
              <w:rPr>
                <w:b/>
                <w:color w:val="1F4D78"/>
                <w:sz w:val="18"/>
              </w:rPr>
              <w:t>Typical owner</w:t>
            </w:r>
          </w:p>
        </w:tc>
        <w:tc>
          <w:tcPr>
            <w:tcW w:type="dxa" w:w="4260"/>
            <w:tcMar>
              <w:top w:w="80" w:type="dxa"/>
              <w:start w:w="120" w:type="dxa"/>
              <w:bottom w:w="80" w:type="dxa"/>
              <w:end w:w="120" w:type="dxa"/>
            </w:tcMar>
            <w:vAlign w:val="top"/>
            <w:shd w:fill="F2F4F7"/>
          </w:tcPr>
          <w:p>
            <w:pPr>
              <w:spacing w:after="0"/>
            </w:pPr>
            <w:r>
              <w:rPr>
                <w:b/>
                <w:color w:val="1F4D78"/>
                <w:sz w:val="18"/>
              </w:rPr>
              <w:t>What teams retrieve</w:t>
            </w:r>
          </w:p>
        </w:tc>
        <w:trPr>
          <w:tblHeader/>
        </w:trPr>
      </w:tr>
      <w:tr>
        <w:tc>
          <w:tcPr>
            <w:tcW w:type="dxa" w:w="2300"/>
            <w:tcMar>
              <w:top w:w="80" w:type="dxa"/>
              <w:start w:w="120" w:type="dxa"/>
              <w:bottom w:w="80" w:type="dxa"/>
              <w:end w:w="120" w:type="dxa"/>
            </w:tcMar>
            <w:vAlign w:val="top"/>
          </w:tcPr>
          <w:p>
            <w:pPr>
              <w:spacing w:after="40" w:line="252" w:lineRule="auto"/>
            </w:pPr>
            <w:r>
              <w:rPr>
                <w:sz w:val="18"/>
              </w:rPr>
              <w:t>Assessor / tax parcel</w:t>
            </w:r>
          </w:p>
        </w:tc>
        <w:tc>
          <w:tcPr>
            <w:tcW w:type="dxa" w:w="2800"/>
            <w:tcMar>
              <w:top w:w="80" w:type="dxa"/>
              <w:start w:w="120" w:type="dxa"/>
              <w:bottom w:w="80" w:type="dxa"/>
              <w:end w:w="120" w:type="dxa"/>
            </w:tcMar>
            <w:vAlign w:val="top"/>
          </w:tcPr>
          <w:p>
            <w:pPr>
              <w:spacing w:after="40" w:line="252" w:lineRule="auto"/>
            </w:pPr>
            <w:r>
              <w:rPr>
                <w:sz w:val="18"/>
              </w:rPr>
              <w:t>County assessor, property appraiser, or GIS office</w:t>
            </w:r>
          </w:p>
        </w:tc>
        <w:tc>
          <w:tcPr>
            <w:tcW w:type="dxa" w:w="4260"/>
            <w:tcMar>
              <w:top w:w="80" w:type="dxa"/>
              <w:start w:w="120" w:type="dxa"/>
              <w:bottom w:w="80" w:type="dxa"/>
              <w:end w:w="120" w:type="dxa"/>
            </w:tcMar>
            <w:vAlign w:val="top"/>
          </w:tcPr>
          <w:p>
            <w:pPr>
              <w:spacing w:after="40" w:line="252" w:lineRule="auto"/>
            </w:pPr>
            <w:r>
              <w:rPr>
                <w:sz w:val="18"/>
              </w:rPr>
              <w:t>APN, tax owner, mailing address, assessed facts, parcel geometry.</w:t>
            </w:r>
          </w:p>
        </w:tc>
      </w:tr>
      <w:tr>
        <w:tc>
          <w:tcPr>
            <w:tcW w:type="dxa" w:w="2300"/>
            <w:tcMar>
              <w:top w:w="80" w:type="dxa"/>
              <w:start w:w="120" w:type="dxa"/>
              <w:bottom w:w="80" w:type="dxa"/>
              <w:end w:w="120" w:type="dxa"/>
            </w:tcMar>
            <w:vAlign w:val="top"/>
          </w:tcPr>
          <w:p>
            <w:pPr>
              <w:spacing w:after="40" w:line="252" w:lineRule="auto"/>
            </w:pPr>
            <w:r>
              <w:rPr>
                <w:sz w:val="18"/>
              </w:rPr>
              <w:t>Recorder / clerk</w:t>
            </w:r>
          </w:p>
        </w:tc>
        <w:tc>
          <w:tcPr>
            <w:tcW w:type="dxa" w:w="2800"/>
            <w:tcMar>
              <w:top w:w="80" w:type="dxa"/>
              <w:start w:w="120" w:type="dxa"/>
              <w:bottom w:w="80" w:type="dxa"/>
              <w:end w:w="120" w:type="dxa"/>
            </w:tcMar>
            <w:vAlign w:val="top"/>
          </w:tcPr>
          <w:p>
            <w:pPr>
              <w:spacing w:after="40" w:line="252" w:lineRule="auto"/>
            </w:pPr>
            <w:r>
              <w:rPr>
                <w:sz w:val="18"/>
              </w:rPr>
              <w:t>County recorder, register of deeds, clerk</w:t>
            </w:r>
          </w:p>
        </w:tc>
        <w:tc>
          <w:tcPr>
            <w:tcW w:type="dxa" w:w="4260"/>
            <w:tcMar>
              <w:top w:w="80" w:type="dxa"/>
              <w:start w:w="120" w:type="dxa"/>
              <w:bottom w:w="80" w:type="dxa"/>
              <w:end w:w="120" w:type="dxa"/>
            </w:tcMar>
            <w:vAlign w:val="top"/>
          </w:tcPr>
          <w:p>
            <w:pPr>
              <w:spacing w:after="40" w:line="252" w:lineRule="auto"/>
            </w:pPr>
            <w:r>
              <w:rPr>
                <w:sz w:val="18"/>
              </w:rPr>
              <w:t>Deeds, liens where available, plats, easements, recorded restrictions, transaction evidence.</w:t>
            </w:r>
          </w:p>
        </w:tc>
      </w:tr>
      <w:tr>
        <w:tc>
          <w:tcPr>
            <w:tcW w:type="dxa" w:w="2300"/>
            <w:tcMar>
              <w:top w:w="80" w:type="dxa"/>
              <w:start w:w="120" w:type="dxa"/>
              <w:bottom w:w="80" w:type="dxa"/>
              <w:end w:w="120" w:type="dxa"/>
            </w:tcMar>
            <w:vAlign w:val="top"/>
          </w:tcPr>
          <w:p>
            <w:pPr>
              <w:spacing w:after="40" w:line="252" w:lineRule="auto"/>
            </w:pPr>
            <w:r>
              <w:rPr>
                <w:sz w:val="18"/>
              </w:rPr>
              <w:t>Planning / zoning</w:t>
            </w:r>
          </w:p>
        </w:tc>
        <w:tc>
          <w:tcPr>
            <w:tcW w:type="dxa" w:w="2800"/>
            <w:tcMar>
              <w:top w:w="80" w:type="dxa"/>
              <w:start w:w="120" w:type="dxa"/>
              <w:bottom w:w="80" w:type="dxa"/>
              <w:end w:w="120" w:type="dxa"/>
            </w:tcMar>
            <w:vAlign w:val="top"/>
          </w:tcPr>
          <w:p>
            <w:pPr>
              <w:spacing w:after="40" w:line="252" w:lineRule="auto"/>
            </w:pPr>
            <w:r>
              <w:rPr>
                <w:sz w:val="18"/>
              </w:rPr>
              <w:t>City or county planning department</w:t>
            </w:r>
          </w:p>
        </w:tc>
        <w:tc>
          <w:tcPr>
            <w:tcW w:type="dxa" w:w="4260"/>
            <w:tcMar>
              <w:top w:w="80" w:type="dxa"/>
              <w:start w:w="120" w:type="dxa"/>
              <w:bottom w:w="80" w:type="dxa"/>
              <w:end w:w="120" w:type="dxa"/>
            </w:tcMar>
            <w:vAlign w:val="top"/>
          </w:tcPr>
          <w:p>
            <w:pPr>
              <w:spacing w:after="40" w:line="252" w:lineRule="auto"/>
            </w:pPr>
            <w:r>
              <w:rPr>
                <w:sz w:val="18"/>
              </w:rPr>
              <w:t>Official zoning map, code, use tables, overlays, comprehensive plan, applications, interpretations.</w:t>
            </w:r>
          </w:p>
        </w:tc>
      </w:tr>
      <w:tr>
        <w:tc>
          <w:tcPr>
            <w:tcW w:type="dxa" w:w="2300"/>
            <w:tcMar>
              <w:top w:w="80" w:type="dxa"/>
              <w:start w:w="120" w:type="dxa"/>
              <w:bottom w:w="80" w:type="dxa"/>
              <w:end w:w="120" w:type="dxa"/>
            </w:tcMar>
            <w:vAlign w:val="top"/>
          </w:tcPr>
          <w:p>
            <w:pPr>
              <w:spacing w:after="40" w:line="252" w:lineRule="auto"/>
            </w:pPr>
            <w:r>
              <w:rPr>
                <w:sz w:val="18"/>
              </w:rPr>
              <w:t>Meeting records</w:t>
            </w:r>
          </w:p>
        </w:tc>
        <w:tc>
          <w:tcPr>
            <w:tcW w:type="dxa" w:w="2800"/>
            <w:tcMar>
              <w:top w:w="80" w:type="dxa"/>
              <w:start w:w="120" w:type="dxa"/>
              <w:bottom w:w="80" w:type="dxa"/>
              <w:end w:w="120" w:type="dxa"/>
            </w:tcMar>
            <w:vAlign w:val="top"/>
          </w:tcPr>
          <w:p>
            <w:pPr>
              <w:spacing w:after="40" w:line="252" w:lineRule="auto"/>
            </w:pPr>
            <w:r>
              <w:rPr>
                <w:sz w:val="18"/>
              </w:rPr>
              <w:t>Clerk, planning commission, council, board of adjustment</w:t>
            </w:r>
          </w:p>
        </w:tc>
        <w:tc>
          <w:tcPr>
            <w:tcW w:type="dxa" w:w="4260"/>
            <w:tcMar>
              <w:top w:w="80" w:type="dxa"/>
              <w:start w:w="120" w:type="dxa"/>
              <w:bottom w:w="80" w:type="dxa"/>
              <w:end w:w="120" w:type="dxa"/>
            </w:tcMar>
            <w:vAlign w:val="top"/>
          </w:tcPr>
          <w:p>
            <w:pPr>
              <w:spacing w:after="40" w:line="252" w:lineRule="auto"/>
            </w:pPr>
            <w:r>
              <w:rPr>
                <w:sz w:val="18"/>
              </w:rPr>
              <w:t>Agendas, staff reports, conditions, minutes, video, votes, appeals, public comments.</w:t>
            </w:r>
          </w:p>
        </w:tc>
      </w:tr>
      <w:tr>
        <w:tc>
          <w:tcPr>
            <w:tcW w:type="dxa" w:w="2300"/>
            <w:tcMar>
              <w:top w:w="80" w:type="dxa"/>
              <w:start w:w="120" w:type="dxa"/>
              <w:bottom w:w="80" w:type="dxa"/>
              <w:end w:w="120" w:type="dxa"/>
            </w:tcMar>
            <w:vAlign w:val="top"/>
          </w:tcPr>
          <w:p>
            <w:pPr>
              <w:spacing w:after="40" w:line="252" w:lineRule="auto"/>
            </w:pPr>
            <w:r>
              <w:rPr>
                <w:sz w:val="18"/>
              </w:rPr>
              <w:t>Permit portal</w:t>
            </w:r>
          </w:p>
        </w:tc>
        <w:tc>
          <w:tcPr>
            <w:tcW w:type="dxa" w:w="2800"/>
            <w:tcMar>
              <w:top w:w="80" w:type="dxa"/>
              <w:start w:w="120" w:type="dxa"/>
              <w:bottom w:w="80" w:type="dxa"/>
              <w:end w:w="120" w:type="dxa"/>
            </w:tcMar>
            <w:vAlign w:val="top"/>
          </w:tcPr>
          <w:p>
            <w:pPr>
              <w:spacing w:after="40" w:line="252" w:lineRule="auto"/>
            </w:pPr>
            <w:r>
              <w:rPr>
                <w:sz w:val="18"/>
              </w:rPr>
              <w:t>Building, development services, public works</w:t>
            </w:r>
          </w:p>
        </w:tc>
        <w:tc>
          <w:tcPr>
            <w:tcW w:type="dxa" w:w="4260"/>
            <w:tcMar>
              <w:top w:w="80" w:type="dxa"/>
              <w:start w:w="120" w:type="dxa"/>
              <w:bottom w:w="80" w:type="dxa"/>
              <w:end w:w="120" w:type="dxa"/>
            </w:tcMar>
            <w:vAlign w:val="top"/>
          </w:tcPr>
          <w:p>
            <w:pPr>
              <w:spacing w:after="40" w:line="252" w:lineRule="auto"/>
            </w:pPr>
            <w:r>
              <w:rPr>
                <w:sz w:val="18"/>
              </w:rPr>
              <w:t>Permit history, application status, inspection history, fee schedules, submittal requirements.</w:t>
            </w:r>
          </w:p>
        </w:tc>
      </w:tr>
      <w:tr>
        <w:tc>
          <w:tcPr>
            <w:tcW w:type="dxa" w:w="2300"/>
            <w:tcMar>
              <w:top w:w="80" w:type="dxa"/>
              <w:start w:w="120" w:type="dxa"/>
              <w:bottom w:w="80" w:type="dxa"/>
              <w:end w:w="120" w:type="dxa"/>
            </w:tcMar>
            <w:vAlign w:val="top"/>
          </w:tcPr>
          <w:p>
            <w:pPr>
              <w:spacing w:after="40" w:line="252" w:lineRule="auto"/>
            </w:pPr>
            <w:r>
              <w:rPr>
                <w:sz w:val="18"/>
              </w:rPr>
              <w:t>Transportation</w:t>
            </w:r>
          </w:p>
        </w:tc>
        <w:tc>
          <w:tcPr>
            <w:tcW w:type="dxa" w:w="2800"/>
            <w:tcMar>
              <w:top w:w="80" w:type="dxa"/>
              <w:start w:w="120" w:type="dxa"/>
              <w:bottom w:w="80" w:type="dxa"/>
              <w:end w:w="120" w:type="dxa"/>
            </w:tcMar>
            <w:vAlign w:val="top"/>
          </w:tcPr>
          <w:p>
            <w:pPr>
              <w:spacing w:after="40" w:line="252" w:lineRule="auto"/>
            </w:pPr>
            <w:r>
              <w:rPr>
                <w:sz w:val="18"/>
              </w:rPr>
              <w:t>State DOT, MPO, city/county road authority</w:t>
            </w:r>
          </w:p>
        </w:tc>
        <w:tc>
          <w:tcPr>
            <w:tcW w:type="dxa" w:w="4260"/>
            <w:tcMar>
              <w:top w:w="80" w:type="dxa"/>
              <w:start w:w="120" w:type="dxa"/>
              <w:bottom w:w="80" w:type="dxa"/>
              <w:end w:w="120" w:type="dxa"/>
            </w:tcMar>
            <w:vAlign w:val="top"/>
          </w:tcPr>
          <w:p>
            <w:pPr>
              <w:spacing w:after="40" w:line="252" w:lineRule="auto"/>
            </w:pPr>
            <w:r>
              <w:rPr>
                <w:sz w:val="18"/>
              </w:rPr>
              <w:t>Road ownership, functional class, access management, planned projects, traffic counts, freight routes.</w:t>
            </w:r>
          </w:p>
        </w:tc>
      </w:tr>
      <w:tr>
        <w:tc>
          <w:tcPr>
            <w:tcW w:type="dxa" w:w="2300"/>
            <w:tcMar>
              <w:top w:w="80" w:type="dxa"/>
              <w:start w:w="120" w:type="dxa"/>
              <w:bottom w:w="80" w:type="dxa"/>
              <w:end w:w="120" w:type="dxa"/>
            </w:tcMar>
            <w:vAlign w:val="top"/>
          </w:tcPr>
          <w:p>
            <w:pPr>
              <w:spacing w:after="40" w:line="252" w:lineRule="auto"/>
            </w:pPr>
            <w:r>
              <w:rPr>
                <w:sz w:val="18"/>
              </w:rPr>
              <w:t>Environment / water</w:t>
            </w:r>
          </w:p>
        </w:tc>
        <w:tc>
          <w:tcPr>
            <w:tcW w:type="dxa" w:w="2800"/>
            <w:tcMar>
              <w:top w:w="80" w:type="dxa"/>
              <w:start w:w="120" w:type="dxa"/>
              <w:bottom w:w="80" w:type="dxa"/>
              <w:end w:w="120" w:type="dxa"/>
            </w:tcMar>
            <w:vAlign w:val="top"/>
          </w:tcPr>
          <w:p>
            <w:pPr>
              <w:spacing w:after="40" w:line="252" w:lineRule="auto"/>
            </w:pPr>
            <w:r>
              <w:rPr>
                <w:sz w:val="18"/>
              </w:rPr>
              <w:t>State environmental agency, water district, floodplain office</w:t>
            </w:r>
          </w:p>
        </w:tc>
        <w:tc>
          <w:tcPr>
            <w:tcW w:type="dxa" w:w="4260"/>
            <w:tcMar>
              <w:top w:w="80" w:type="dxa"/>
              <w:start w:w="120" w:type="dxa"/>
              <w:bottom w:w="80" w:type="dxa"/>
              <w:end w:w="120" w:type="dxa"/>
            </w:tcMar>
            <w:vAlign w:val="top"/>
          </w:tcPr>
          <w:p>
            <w:pPr>
              <w:spacing w:after="40" w:line="252" w:lineRule="auto"/>
            </w:pPr>
            <w:r>
              <w:rPr>
                <w:sz w:val="18"/>
              </w:rPr>
              <w:t>Permits, impaired waters, water rights/allocation, local flood data, discharge requirements.</w:t>
            </w:r>
          </w:p>
        </w:tc>
      </w:tr>
      <w:tr>
        <w:tc>
          <w:tcPr>
            <w:tcW w:type="dxa" w:w="2300"/>
            <w:tcMar>
              <w:top w:w="80" w:type="dxa"/>
              <w:start w:w="120" w:type="dxa"/>
              <w:bottom w:w="80" w:type="dxa"/>
              <w:end w:w="120" w:type="dxa"/>
            </w:tcMar>
            <w:vAlign w:val="top"/>
          </w:tcPr>
          <w:p>
            <w:pPr>
              <w:spacing w:after="40" w:line="252" w:lineRule="auto"/>
            </w:pPr>
            <w:r>
              <w:rPr>
                <w:sz w:val="18"/>
              </w:rPr>
              <w:t>Utilities</w:t>
            </w:r>
          </w:p>
        </w:tc>
        <w:tc>
          <w:tcPr>
            <w:tcW w:type="dxa" w:w="2800"/>
            <w:tcMar>
              <w:top w:w="80" w:type="dxa"/>
              <w:start w:w="120" w:type="dxa"/>
              <w:bottom w:w="80" w:type="dxa"/>
              <w:end w:w="120" w:type="dxa"/>
            </w:tcMar>
            <w:vAlign w:val="top"/>
          </w:tcPr>
          <w:p>
            <w:pPr>
              <w:spacing w:after="40" w:line="252" w:lineRule="auto"/>
            </w:pPr>
            <w:r>
              <w:rPr>
                <w:sz w:val="18"/>
              </w:rPr>
              <w:t>Electric, gas, water, wastewater, telecom provider</w:t>
            </w:r>
          </w:p>
        </w:tc>
        <w:tc>
          <w:tcPr>
            <w:tcW w:type="dxa" w:w="4260"/>
            <w:tcMar>
              <w:top w:w="80" w:type="dxa"/>
              <w:start w:w="120" w:type="dxa"/>
              <w:bottom w:w="80" w:type="dxa"/>
              <w:end w:w="120" w:type="dxa"/>
            </w:tcMar>
            <w:vAlign w:val="top"/>
          </w:tcPr>
          <w:p>
            <w:pPr>
              <w:spacing w:after="40" w:line="252" w:lineRule="auto"/>
            </w:pPr>
            <w:r>
              <w:rPr>
                <w:sz w:val="18"/>
              </w:rPr>
              <w:t>Service territory, intake process, studies, service point, capacity, upgrades, cost, and schedule.</w:t>
            </w:r>
          </w:p>
        </w:tc>
      </w:tr>
      <w:tr>
        <w:tc>
          <w:tcPr>
            <w:tcW w:type="dxa" w:w="2300"/>
            <w:tcMar>
              <w:top w:w="80" w:type="dxa"/>
              <w:start w:w="120" w:type="dxa"/>
              <w:bottom w:w="80" w:type="dxa"/>
              <w:end w:w="120" w:type="dxa"/>
            </w:tcMar>
            <w:vAlign w:val="top"/>
          </w:tcPr>
          <w:p>
            <w:pPr>
              <w:spacing w:after="40" w:line="252" w:lineRule="auto"/>
            </w:pPr>
            <w:r>
              <w:rPr>
                <w:sz w:val="18"/>
              </w:rPr>
              <w:t>Economic development</w:t>
            </w:r>
          </w:p>
        </w:tc>
        <w:tc>
          <w:tcPr>
            <w:tcW w:type="dxa" w:w="2800"/>
            <w:tcMar>
              <w:top w:w="80" w:type="dxa"/>
              <w:start w:w="120" w:type="dxa"/>
              <w:bottom w:w="80" w:type="dxa"/>
              <w:end w:w="120" w:type="dxa"/>
            </w:tcMar>
            <w:vAlign w:val="top"/>
          </w:tcPr>
          <w:p>
            <w:pPr>
              <w:spacing w:after="40" w:line="252" w:lineRule="auto"/>
            </w:pPr>
            <w:r>
              <w:rPr>
                <w:sz w:val="18"/>
              </w:rPr>
              <w:t>State/local development authority</w:t>
            </w:r>
          </w:p>
        </w:tc>
        <w:tc>
          <w:tcPr>
            <w:tcW w:type="dxa" w:w="4260"/>
            <w:tcMar>
              <w:top w:w="80" w:type="dxa"/>
              <w:start w:w="120" w:type="dxa"/>
              <w:bottom w:w="80" w:type="dxa"/>
              <w:end w:w="120" w:type="dxa"/>
            </w:tcMar>
            <w:vAlign w:val="top"/>
          </w:tcPr>
          <w:p>
            <w:pPr>
              <w:spacing w:after="40" w:line="252" w:lineRule="auto"/>
            </w:pPr>
            <w:r>
              <w:rPr>
                <w:sz w:val="18"/>
              </w:rPr>
              <w:t>Site inventories, incentives, workforce programs, agency coordination, known development history.</w:t>
            </w:r>
          </w:p>
        </w:tc>
      </w:tr>
    </w:tbl>
    <w:p>
      <w:pPr>
        <w:pStyle w:val="Heading2"/>
      </w:pPr>
      <w:r>
        <w:t>Commercial and team-provided sources</w:t>
      </w:r>
    </w:p>
    <w:p>
      <w:r>
        <w:t>Commercial platforms may aggregate parcels, listings, ownership, transactions, contacts, zoning, utilities, environmental layers, mobility, costs, and market forecasts. They are useful for speed and normalization, but the team should retain the vendor, vintage, license restrictions, and source lineage—and verify decision-critical fields against authoritative records.</w:t>
      </w:r>
    </w:p>
    <w:p>
      <w:pPr>
        <w:pStyle w:val="ListBullet"/>
      </w:pPr>
      <w:r>
        <w:t>Broker and landowner submissions: supply, asking terms, ownership context, off-market opportunities.</w:t>
      </w:r>
    </w:p>
    <w:p>
      <w:pPr>
        <w:pStyle w:val="ListBullet"/>
      </w:pPr>
      <w:r>
        <w:t>Title and transaction platforms: recorded documents, transaction history, entity relationships.</w:t>
      </w:r>
    </w:p>
    <w:p>
      <w:pPr>
        <w:pStyle w:val="ListBullet"/>
      </w:pPr>
      <w:r>
        <w:t>Parcel/GIS vendors: normalized national parcel fabric and prejoined attributes.</w:t>
      </w:r>
    </w:p>
    <w:p>
      <w:pPr>
        <w:pStyle w:val="ListBullet"/>
      </w:pPr>
      <w:r>
        <w:t>Market and cost vendors: rents, land comps, construction cost, taxes, incentives, forecasts.</w:t>
      </w:r>
    </w:p>
    <w:p>
      <w:pPr>
        <w:pStyle w:val="ListBullet"/>
      </w:pPr>
      <w:r>
        <w:t>Utility and telecom consultants: service-territory intelligence, process experience, network context.</w:t>
      </w:r>
    </w:p>
    <w:p>
      <w:pPr>
        <w:pStyle w:val="ListBullet"/>
      </w:pPr>
      <w:r>
        <w:t>Internal portfolio data: actual development cost, schedule, approvals, operating performance, and failure history.</w:t>
      </w:r>
    </w:p>
    <w:p>
      <w:pPr>
        <w:pStyle w:val="Heading1"/>
      </w:pPr>
      <w:r>
        <w:t>13. The evidence and provenance standard</w:t>
      </w:r>
    </w:p>
    <w:p>
      <w:r>
        <w:t>Every material field or conclusion should carry enough metadata to answer: who published it, what exactly was retrieved, when it was retrieved, when it became effective, what geography it covers, how it was transformed, and whether it has been confirmed.</w:t>
      </w:r>
    </w:p>
    <w:tbl>
      <w:tblPr>
        <w:tblStyle w:val="TableGrid"/>
        <w:tblW w:type="dxa" w:w="9360"/>
        <w:jc w:val="left"/>
        <w:tblLayout w:type="fixed"/>
        <w:tblLook w:firstColumn="1" w:firstRow="1" w:lastColumn="0" w:lastRow="0" w:noHBand="0" w:noVBand="1" w:val="04A0"/>
        <w:tblInd w:w="120" w:type="dxa"/>
      </w:tblPr>
      <w:tblGrid>
        <w:gridCol w:w="2000"/>
        <w:gridCol w:w="7360"/>
      </w:tblGrid>
      <w:tr>
        <w:tc>
          <w:tcPr>
            <w:tcW w:type="dxa" w:w="2000"/>
            <w:tcMar>
              <w:top w:w="80" w:type="dxa"/>
              <w:start w:w="120" w:type="dxa"/>
              <w:bottom w:w="80" w:type="dxa"/>
              <w:end w:w="120" w:type="dxa"/>
            </w:tcMar>
            <w:vAlign w:val="top"/>
            <w:shd w:fill="F2F4F7"/>
          </w:tcPr>
          <w:p>
            <w:pPr>
              <w:spacing w:after="0"/>
            </w:pPr>
            <w:r>
              <w:rPr>
                <w:b/>
                <w:color w:val="1F4D78"/>
                <w:sz w:val="18"/>
              </w:rPr>
              <w:t>Field</w:t>
            </w:r>
          </w:p>
        </w:tc>
        <w:tc>
          <w:tcPr>
            <w:tcW w:type="dxa" w:w="7360"/>
            <w:tcMar>
              <w:top w:w="80" w:type="dxa"/>
              <w:start w:w="120" w:type="dxa"/>
              <w:bottom w:w="80" w:type="dxa"/>
              <w:end w:w="120" w:type="dxa"/>
            </w:tcMar>
            <w:vAlign w:val="top"/>
            <w:shd w:fill="F2F4F7"/>
          </w:tcPr>
          <w:p>
            <w:pPr>
              <w:spacing w:after="0"/>
            </w:pPr>
            <w:r>
              <w:rPr>
                <w:b/>
                <w:color w:val="1F4D78"/>
                <w:sz w:val="18"/>
              </w:rPr>
              <w:t>Minimum metadata</w:t>
            </w:r>
          </w:p>
        </w:tc>
        <w:trPr>
          <w:tblHeader/>
        </w:trPr>
      </w:tr>
      <w:tr>
        <w:tc>
          <w:tcPr>
            <w:tcW w:type="dxa" w:w="2000"/>
            <w:tcMar>
              <w:top w:w="80" w:type="dxa"/>
              <w:start w:w="120" w:type="dxa"/>
              <w:bottom w:w="80" w:type="dxa"/>
              <w:end w:w="120" w:type="dxa"/>
            </w:tcMar>
            <w:vAlign w:val="top"/>
          </w:tcPr>
          <w:p>
            <w:pPr>
              <w:spacing w:after="40" w:line="252" w:lineRule="auto"/>
            </w:pPr>
            <w:r>
              <w:rPr>
                <w:sz w:val="18"/>
              </w:rPr>
              <w:t>Document fact</w:t>
            </w:r>
          </w:p>
        </w:tc>
        <w:tc>
          <w:tcPr>
            <w:tcW w:type="dxa" w:w="7360"/>
            <w:tcMar>
              <w:top w:w="80" w:type="dxa"/>
              <w:start w:w="120" w:type="dxa"/>
              <w:bottom w:w="80" w:type="dxa"/>
              <w:end w:w="120" w:type="dxa"/>
            </w:tcMar>
            <w:vAlign w:val="top"/>
          </w:tcPr>
          <w:p>
            <w:pPr>
              <w:spacing w:after="40" w:line="252" w:lineRule="auto"/>
            </w:pPr>
            <w:r>
              <w:rPr>
                <w:sz w:val="18"/>
              </w:rPr>
              <w:t>Source file/URL, publisher, document date, retrieved date, page/section, quoted or normalized value.</w:t>
            </w:r>
          </w:p>
        </w:tc>
      </w:tr>
      <w:tr>
        <w:tc>
          <w:tcPr>
            <w:tcW w:type="dxa" w:w="2000"/>
            <w:tcMar>
              <w:top w:w="80" w:type="dxa"/>
              <w:start w:w="120" w:type="dxa"/>
              <w:bottom w:w="80" w:type="dxa"/>
              <w:end w:w="120" w:type="dxa"/>
            </w:tcMar>
            <w:vAlign w:val="top"/>
          </w:tcPr>
          <w:p>
            <w:pPr>
              <w:spacing w:after="40" w:line="252" w:lineRule="auto"/>
            </w:pPr>
            <w:r>
              <w:rPr>
                <w:sz w:val="18"/>
              </w:rPr>
              <w:t>GIS fact</w:t>
            </w:r>
          </w:p>
        </w:tc>
        <w:tc>
          <w:tcPr>
            <w:tcW w:type="dxa" w:w="7360"/>
            <w:tcMar>
              <w:top w:w="80" w:type="dxa"/>
              <w:start w:w="120" w:type="dxa"/>
              <w:bottom w:w="80" w:type="dxa"/>
              <w:end w:w="120" w:type="dxa"/>
            </w:tcMar>
            <w:vAlign w:val="top"/>
          </w:tcPr>
          <w:p>
            <w:pPr>
              <w:spacing w:after="40" w:line="252" w:lineRule="auto"/>
            </w:pPr>
            <w:r>
              <w:rPr>
                <w:sz w:val="18"/>
              </w:rPr>
              <w:t>Layer name, publisher, service/download URL, version/effective date, retrieved date, CRS, scale/resolution, geometry operation.</w:t>
            </w:r>
          </w:p>
        </w:tc>
      </w:tr>
      <w:tr>
        <w:tc>
          <w:tcPr>
            <w:tcW w:type="dxa" w:w="2000"/>
            <w:tcMar>
              <w:top w:w="80" w:type="dxa"/>
              <w:start w:w="120" w:type="dxa"/>
              <w:bottom w:w="80" w:type="dxa"/>
              <w:end w:w="120" w:type="dxa"/>
            </w:tcMar>
            <w:vAlign w:val="top"/>
          </w:tcPr>
          <w:p>
            <w:pPr>
              <w:spacing w:after="40" w:line="252" w:lineRule="auto"/>
            </w:pPr>
            <w:r>
              <w:rPr>
                <w:sz w:val="18"/>
              </w:rPr>
              <w:t>Vendor attribute</w:t>
            </w:r>
          </w:p>
        </w:tc>
        <w:tc>
          <w:tcPr>
            <w:tcW w:type="dxa" w:w="7360"/>
            <w:tcMar>
              <w:top w:w="80" w:type="dxa"/>
              <w:start w:w="120" w:type="dxa"/>
              <w:bottom w:w="80" w:type="dxa"/>
              <w:end w:w="120" w:type="dxa"/>
            </w:tcMar>
            <w:vAlign w:val="top"/>
          </w:tcPr>
          <w:p>
            <w:pPr>
              <w:spacing w:after="40" w:line="252" w:lineRule="auto"/>
            </w:pPr>
            <w:r>
              <w:rPr>
                <w:sz w:val="18"/>
              </w:rPr>
              <w:t>Vendor, product, attribute definition, data vintage, original source if provided, confidence, license restrictions.</w:t>
            </w:r>
          </w:p>
        </w:tc>
      </w:tr>
      <w:tr>
        <w:tc>
          <w:tcPr>
            <w:tcW w:type="dxa" w:w="2000"/>
            <w:tcMar>
              <w:top w:w="80" w:type="dxa"/>
              <w:start w:w="120" w:type="dxa"/>
              <w:bottom w:w="80" w:type="dxa"/>
              <w:end w:w="120" w:type="dxa"/>
            </w:tcMar>
            <w:vAlign w:val="top"/>
          </w:tcPr>
          <w:p>
            <w:pPr>
              <w:spacing w:after="40" w:line="252" w:lineRule="auto"/>
            </w:pPr>
            <w:r>
              <w:rPr>
                <w:sz w:val="18"/>
              </w:rPr>
              <w:t>Human confirmation</w:t>
            </w:r>
          </w:p>
        </w:tc>
        <w:tc>
          <w:tcPr>
            <w:tcW w:type="dxa" w:w="7360"/>
            <w:tcMar>
              <w:top w:w="80" w:type="dxa"/>
              <w:start w:w="120" w:type="dxa"/>
              <w:bottom w:w="80" w:type="dxa"/>
              <w:end w:w="120" w:type="dxa"/>
            </w:tcMar>
            <w:vAlign w:val="top"/>
          </w:tcPr>
          <w:p>
            <w:pPr>
              <w:spacing w:after="40" w:line="252" w:lineRule="auto"/>
            </w:pPr>
            <w:r>
              <w:rPr>
                <w:sz w:val="18"/>
              </w:rPr>
              <w:t>Person, organization, role, date, site/load/program described, medium, exact statement, follow-up required.</w:t>
            </w:r>
          </w:p>
        </w:tc>
      </w:tr>
      <w:tr>
        <w:tc>
          <w:tcPr>
            <w:tcW w:type="dxa" w:w="2000"/>
            <w:tcMar>
              <w:top w:w="80" w:type="dxa"/>
              <w:start w:w="120" w:type="dxa"/>
              <w:bottom w:w="80" w:type="dxa"/>
              <w:end w:w="120" w:type="dxa"/>
            </w:tcMar>
            <w:vAlign w:val="top"/>
          </w:tcPr>
          <w:p>
            <w:pPr>
              <w:spacing w:after="40" w:line="252" w:lineRule="auto"/>
            </w:pPr>
            <w:r>
              <w:rPr>
                <w:sz w:val="18"/>
              </w:rPr>
              <w:t>Derived score</w:t>
            </w:r>
          </w:p>
        </w:tc>
        <w:tc>
          <w:tcPr>
            <w:tcW w:type="dxa" w:w="7360"/>
            <w:tcMar>
              <w:top w:w="80" w:type="dxa"/>
              <w:start w:w="120" w:type="dxa"/>
              <w:bottom w:w="80" w:type="dxa"/>
              <w:end w:w="120" w:type="dxa"/>
            </w:tcMar>
            <w:vAlign w:val="top"/>
          </w:tcPr>
          <w:p>
            <w:pPr>
              <w:spacing w:after="40" w:line="252" w:lineRule="auto"/>
            </w:pPr>
            <w:r>
              <w:rPr>
                <w:sz w:val="18"/>
              </w:rPr>
              <w:t>Input fields and vintages, formula, hard-filter result, weight version, missing-data treatment, override history.</w:t>
            </w:r>
          </w:p>
        </w:tc>
      </w:tr>
    </w:tbl>
    <w:p>
      <w:pPr>
        <w:pStyle w:val="Heading2"/>
      </w:pPr>
      <w:r>
        <w:t>Reliability ladder</w:t>
      </w:r>
    </w:p>
    <w:p>
      <w:pPr>
        <w:pStyle w:val="ListNumber"/>
      </w:pPr>
      <w:r>
        <w:t>Level 1 — Site-specific executed or professional evidence: recorded instrument, survey, study, service agreement, permit, approved plan.</w:t>
      </w:r>
    </w:p>
    <w:p>
      <w:pPr>
        <w:pStyle w:val="ListNumber"/>
      </w:pPr>
      <w:r>
        <w:t>Level 2 — Formal written confirmation: utility/agency letter, written interpretation, official meeting or application record.</w:t>
      </w:r>
    </w:p>
    <w:p>
      <w:pPr>
        <w:pStyle w:val="ListNumber"/>
      </w:pPr>
      <w:r>
        <w:t>Level 3 — Adopted official source: ordinance, official map, adopted plan, effective federal/state/local dataset.</w:t>
      </w:r>
    </w:p>
    <w:p>
      <w:pPr>
        <w:pStyle w:val="ListNumber"/>
      </w:pPr>
      <w:r>
        <w:t>Level 4 — Aggregated or commercial source: normalized vendor field, listing, broker package, contact dataset.</w:t>
      </w:r>
    </w:p>
    <w:p>
      <w:pPr>
        <w:pStyle w:val="ListNumber"/>
      </w:pPr>
      <w:r>
        <w:t>Level 5 — Inference or proxy: distance, modelled score, image interpretation, unverified oral statement.</w:t>
      </w:r>
    </w:p>
    <w:p>
      <w:r>
        <w:t>The required level depends on the gate. Level 4–5 may be enough for market screening. A capital-commitment decision generally requires Level 1–2 for the risks that could stop the project.</w:t>
      </w:r>
    </w:p>
    <w:p>
      <w:pPr>
        <w:pStyle w:val="Heading1"/>
      </w:pPr>
      <w:r>
        <w:t>14. Scoring without hiding the decision</w:t>
      </w:r>
    </w:p>
    <w:p>
      <w:r>
        <w:t>Scoring is useful only after hard filters, and only when the score remains explainable. The goal is consistent comparison—not mathematical certainty.</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tcMar>
              <w:top w:w="80" w:type="dxa"/>
              <w:start w:w="120" w:type="dxa"/>
              <w:bottom w:w="80" w:type="dxa"/>
              <w:end w:w="120" w:type="dxa"/>
            </w:tcMar>
            <w:vAlign w:val="top"/>
            <w:shd w:fill="F2F4F7"/>
          </w:tcPr>
          <w:p>
            <w:pPr>
              <w:spacing w:after="0"/>
            </w:pPr>
            <w:r>
              <w:rPr>
                <w:b/>
                <w:color w:val="1F4D78"/>
                <w:sz w:val="18"/>
              </w:rPr>
              <w:t>Rule</w:t>
            </w:r>
          </w:p>
        </w:tc>
        <w:tc>
          <w:tcPr>
            <w:tcW w:type="dxa" w:w="6860"/>
            <w:tcMar>
              <w:top w:w="80" w:type="dxa"/>
              <w:start w:w="120" w:type="dxa"/>
              <w:bottom w:w="80" w:type="dxa"/>
              <w:end w:w="120" w:type="dxa"/>
            </w:tcMar>
            <w:vAlign w:val="top"/>
            <w:shd w:fill="F2F4F7"/>
          </w:tcPr>
          <w:p>
            <w:pPr>
              <w:spacing w:after="0"/>
            </w:pPr>
            <w:r>
              <w:rPr>
                <w:b/>
                <w:color w:val="1F4D78"/>
                <w:sz w:val="18"/>
              </w:rPr>
              <w:t>Practical implementation</w:t>
            </w:r>
          </w:p>
        </w:tc>
        <w:trPr>
          <w:tblHeader/>
        </w:trPr>
      </w:tr>
      <w:tr>
        <w:tc>
          <w:tcPr>
            <w:tcW w:type="dxa" w:w="2500"/>
            <w:tcMar>
              <w:top w:w="80" w:type="dxa"/>
              <w:start w:w="120" w:type="dxa"/>
              <w:bottom w:w="80" w:type="dxa"/>
              <w:end w:w="120" w:type="dxa"/>
            </w:tcMar>
            <w:vAlign w:val="top"/>
          </w:tcPr>
          <w:p>
            <w:pPr>
              <w:spacing w:after="40" w:line="252" w:lineRule="auto"/>
            </w:pPr>
            <w:r>
              <w:rPr>
                <w:sz w:val="18"/>
              </w:rPr>
              <w:t>Separate viability from preference</w:t>
            </w:r>
          </w:p>
        </w:tc>
        <w:tc>
          <w:tcPr>
            <w:tcW w:type="dxa" w:w="6860"/>
            <w:tcMar>
              <w:top w:w="80" w:type="dxa"/>
              <w:start w:w="120" w:type="dxa"/>
              <w:bottom w:w="80" w:type="dxa"/>
              <w:end w:w="120" w:type="dxa"/>
            </w:tcMar>
            <w:vAlign w:val="top"/>
          </w:tcPr>
          <w:p>
            <w:pPr>
              <w:spacing w:after="40" w:line="252" w:lineRule="auto"/>
            </w:pPr>
            <w:r>
              <w:rPr>
                <w:sz w:val="18"/>
              </w:rPr>
              <w:t>Show hard-filter status beside the weighted score.</w:t>
            </w:r>
          </w:p>
        </w:tc>
      </w:tr>
      <w:tr>
        <w:tc>
          <w:tcPr>
            <w:tcW w:type="dxa" w:w="2500"/>
            <w:tcMar>
              <w:top w:w="80" w:type="dxa"/>
              <w:start w:w="120" w:type="dxa"/>
              <w:bottom w:w="80" w:type="dxa"/>
              <w:end w:w="120" w:type="dxa"/>
            </w:tcMar>
            <w:vAlign w:val="top"/>
          </w:tcPr>
          <w:p>
            <w:pPr>
              <w:spacing w:after="40" w:line="252" w:lineRule="auto"/>
            </w:pPr>
            <w:r>
              <w:rPr>
                <w:sz w:val="18"/>
              </w:rPr>
              <w:t>Use observable metrics</w:t>
            </w:r>
          </w:p>
        </w:tc>
        <w:tc>
          <w:tcPr>
            <w:tcW w:type="dxa" w:w="6860"/>
            <w:tcMar>
              <w:top w:w="80" w:type="dxa"/>
              <w:start w:w="120" w:type="dxa"/>
              <w:bottom w:w="80" w:type="dxa"/>
              <w:end w:w="120" w:type="dxa"/>
            </w:tcMar>
            <w:vAlign w:val="top"/>
          </w:tcPr>
          <w:p>
            <w:pPr>
              <w:spacing w:after="40" w:line="252" w:lineRule="auto"/>
            </w:pPr>
            <w:r>
              <w:rPr>
                <w:sz w:val="18"/>
              </w:rPr>
              <w:t>Define exactly how acreage, schedule, cost, risk, or labor is calculated.</w:t>
            </w:r>
          </w:p>
        </w:tc>
      </w:tr>
      <w:tr>
        <w:tc>
          <w:tcPr>
            <w:tcW w:type="dxa" w:w="2500"/>
            <w:tcMar>
              <w:top w:w="80" w:type="dxa"/>
              <w:start w:w="120" w:type="dxa"/>
              <w:bottom w:w="80" w:type="dxa"/>
              <w:end w:w="120" w:type="dxa"/>
            </w:tcMar>
            <w:vAlign w:val="top"/>
          </w:tcPr>
          <w:p>
            <w:pPr>
              <w:spacing w:after="40" w:line="252" w:lineRule="auto"/>
            </w:pPr>
            <w:r>
              <w:rPr>
                <w:sz w:val="18"/>
              </w:rPr>
              <w:t>Normalize carefully</w:t>
            </w:r>
          </w:p>
        </w:tc>
        <w:tc>
          <w:tcPr>
            <w:tcW w:type="dxa" w:w="6860"/>
            <w:tcMar>
              <w:top w:w="80" w:type="dxa"/>
              <w:start w:w="120" w:type="dxa"/>
              <w:bottom w:w="80" w:type="dxa"/>
              <w:end w:w="120" w:type="dxa"/>
            </w:tcMar>
            <w:vAlign w:val="top"/>
          </w:tcPr>
          <w:p>
            <w:pPr>
              <w:spacing w:after="40" w:line="252" w:lineRule="auto"/>
            </w:pPr>
            <w:r>
              <w:rPr>
                <w:sz w:val="18"/>
              </w:rPr>
              <w:t>Use comparable geography, units, vintages, directionality, and outlier treatment.</w:t>
            </w:r>
          </w:p>
        </w:tc>
      </w:tr>
      <w:tr>
        <w:tc>
          <w:tcPr>
            <w:tcW w:type="dxa" w:w="2500"/>
            <w:tcMar>
              <w:top w:w="80" w:type="dxa"/>
              <w:start w:w="120" w:type="dxa"/>
              <w:bottom w:w="80" w:type="dxa"/>
              <w:end w:w="120" w:type="dxa"/>
            </w:tcMar>
            <w:vAlign w:val="top"/>
          </w:tcPr>
          <w:p>
            <w:pPr>
              <w:spacing w:after="40" w:line="252" w:lineRule="auto"/>
            </w:pPr>
            <w:r>
              <w:rPr>
                <w:sz w:val="18"/>
              </w:rPr>
              <w:t>Do not reward missing data</w:t>
            </w:r>
          </w:p>
        </w:tc>
        <w:tc>
          <w:tcPr>
            <w:tcW w:type="dxa" w:w="6860"/>
            <w:tcMar>
              <w:top w:w="80" w:type="dxa"/>
              <w:start w:w="120" w:type="dxa"/>
              <w:bottom w:w="80" w:type="dxa"/>
              <w:end w:w="120" w:type="dxa"/>
            </w:tcMar>
            <w:vAlign w:val="top"/>
          </w:tcPr>
          <w:p>
            <w:pPr>
              <w:spacing w:after="40" w:line="252" w:lineRule="auto"/>
            </w:pPr>
            <w:r>
              <w:rPr>
                <w:sz w:val="18"/>
              </w:rPr>
              <w:t>Unknown should reduce confidence or block advancement; it should not silently receive an average score.</w:t>
            </w:r>
          </w:p>
        </w:tc>
      </w:tr>
      <w:tr>
        <w:tc>
          <w:tcPr>
            <w:tcW w:type="dxa" w:w="2500"/>
            <w:tcMar>
              <w:top w:w="80" w:type="dxa"/>
              <w:start w:w="120" w:type="dxa"/>
              <w:bottom w:w="80" w:type="dxa"/>
              <w:end w:w="120" w:type="dxa"/>
            </w:tcMar>
            <w:vAlign w:val="top"/>
          </w:tcPr>
          <w:p>
            <w:pPr>
              <w:spacing w:after="40" w:line="252" w:lineRule="auto"/>
            </w:pPr>
            <w:r>
              <w:rPr>
                <w:sz w:val="18"/>
              </w:rPr>
              <w:t>Show sensitivity</w:t>
            </w:r>
          </w:p>
        </w:tc>
        <w:tc>
          <w:tcPr>
            <w:tcW w:type="dxa" w:w="6860"/>
            <w:tcMar>
              <w:top w:w="80" w:type="dxa"/>
              <w:start w:w="120" w:type="dxa"/>
              <w:bottom w:w="80" w:type="dxa"/>
              <w:end w:w="120" w:type="dxa"/>
            </w:tcMar>
            <w:vAlign w:val="top"/>
          </w:tcPr>
          <w:p>
            <w:pPr>
              <w:spacing w:after="40" w:line="252" w:lineRule="auto"/>
            </w:pPr>
            <w:r>
              <w:rPr>
                <w:sz w:val="18"/>
              </w:rPr>
              <w:t>Re-rank with alternative weights and cost/schedule assumptions.</w:t>
            </w:r>
          </w:p>
        </w:tc>
      </w:tr>
      <w:tr>
        <w:tc>
          <w:tcPr>
            <w:tcW w:type="dxa" w:w="2500"/>
            <w:tcMar>
              <w:top w:w="80" w:type="dxa"/>
              <w:start w:w="120" w:type="dxa"/>
              <w:bottom w:w="80" w:type="dxa"/>
              <w:end w:w="120" w:type="dxa"/>
            </w:tcMar>
            <w:vAlign w:val="top"/>
          </w:tcPr>
          <w:p>
            <w:pPr>
              <w:spacing w:after="40" w:line="252" w:lineRule="auto"/>
            </w:pPr>
            <w:r>
              <w:rPr>
                <w:sz w:val="18"/>
              </w:rPr>
              <w:t>Retain overrides</w:t>
            </w:r>
          </w:p>
        </w:tc>
        <w:tc>
          <w:tcPr>
            <w:tcW w:type="dxa" w:w="6860"/>
            <w:tcMar>
              <w:top w:w="80" w:type="dxa"/>
              <w:start w:w="120" w:type="dxa"/>
              <w:bottom w:w="80" w:type="dxa"/>
              <w:end w:w="120" w:type="dxa"/>
            </w:tcMar>
            <w:vAlign w:val="top"/>
          </w:tcPr>
          <w:p>
            <w:pPr>
              <w:spacing w:after="40" w:line="252" w:lineRule="auto"/>
            </w:pPr>
            <w:r>
              <w:rPr>
                <w:sz w:val="18"/>
              </w:rPr>
              <w:t>Record who overrode what rule, why, when, and what evidence supported the decision.</w:t>
            </w:r>
          </w:p>
        </w:tc>
      </w:tr>
      <w:tr>
        <w:tc>
          <w:tcPr>
            <w:tcW w:type="dxa" w:w="2500"/>
            <w:tcMar>
              <w:top w:w="80" w:type="dxa"/>
              <w:start w:w="120" w:type="dxa"/>
              <w:bottom w:w="80" w:type="dxa"/>
              <w:end w:w="120" w:type="dxa"/>
            </w:tcMar>
            <w:vAlign w:val="top"/>
          </w:tcPr>
          <w:p>
            <w:pPr>
              <w:spacing w:after="40" w:line="252" w:lineRule="auto"/>
            </w:pPr>
            <w:r>
              <w:rPr>
                <w:sz w:val="18"/>
              </w:rPr>
              <w:t>Track confidence</w:t>
            </w:r>
          </w:p>
        </w:tc>
        <w:tc>
          <w:tcPr>
            <w:tcW w:type="dxa" w:w="6860"/>
            <w:tcMar>
              <w:top w:w="80" w:type="dxa"/>
              <w:start w:w="120" w:type="dxa"/>
              <w:bottom w:w="80" w:type="dxa"/>
              <w:end w:w="120" w:type="dxa"/>
            </w:tcMar>
            <w:vAlign w:val="top"/>
          </w:tcPr>
          <w:p>
            <w:pPr>
              <w:spacing w:after="40" w:line="252" w:lineRule="auto"/>
            </w:pPr>
            <w:r>
              <w:rPr>
                <w:sz w:val="18"/>
              </w:rPr>
              <w:t>A high score based on weak evidence should not outrank a slightly lower score based on confirmed evidence without explicit review.</w:t>
            </w:r>
          </w:p>
        </w:tc>
      </w:tr>
    </w:tbl>
    <w:p>
      <w:pPr>
        <w:pStyle w:val="Heading2"/>
      </w:pPr>
      <w:r>
        <w:t>Example scoring structure</w:t>
      </w:r>
    </w:p>
    <w:tbl>
      <w:tblPr>
        <w:tblStyle w:val="TableGrid"/>
        <w:tblW w:type="dxa" w:w="9360"/>
        <w:jc w:val="left"/>
        <w:tblLayout w:type="fixed"/>
        <w:tblLook w:firstColumn="1" w:firstRow="1" w:lastColumn="0" w:lastRow="0" w:noHBand="0" w:noVBand="1" w:val="04A0"/>
        <w:tblInd w:w="120" w:type="dxa"/>
      </w:tblPr>
      <w:tblGrid>
        <w:gridCol w:w="2500"/>
        <w:gridCol w:w="1600"/>
        <w:gridCol w:w="5260"/>
      </w:tblGrid>
      <w:tr>
        <w:tc>
          <w:tcPr>
            <w:tcW w:type="dxa" w:w="2500"/>
            <w:tcMar>
              <w:top w:w="80" w:type="dxa"/>
              <w:start w:w="120" w:type="dxa"/>
              <w:bottom w:w="80" w:type="dxa"/>
              <w:end w:w="120" w:type="dxa"/>
            </w:tcMar>
            <w:vAlign w:val="top"/>
            <w:shd w:fill="F2F4F7"/>
          </w:tcPr>
          <w:p>
            <w:pPr>
              <w:spacing w:after="0"/>
            </w:pPr>
            <w:r>
              <w:rPr>
                <w:b/>
                <w:color w:val="1F4D78"/>
                <w:sz w:val="18"/>
              </w:rPr>
              <w:t>Dimension</w:t>
            </w:r>
          </w:p>
        </w:tc>
        <w:tc>
          <w:tcPr>
            <w:tcW w:type="dxa" w:w="1600"/>
            <w:tcMar>
              <w:top w:w="80" w:type="dxa"/>
              <w:start w:w="120" w:type="dxa"/>
              <w:bottom w:w="80" w:type="dxa"/>
              <w:end w:w="120" w:type="dxa"/>
            </w:tcMar>
            <w:vAlign w:val="top"/>
            <w:shd w:fill="F2F4F7"/>
          </w:tcPr>
          <w:p>
            <w:pPr>
              <w:spacing w:after="0"/>
            </w:pPr>
            <w:r>
              <w:rPr>
                <w:b/>
                <w:color w:val="1F4D78"/>
                <w:sz w:val="18"/>
              </w:rPr>
              <w:t>Example weight</w:t>
            </w:r>
          </w:p>
        </w:tc>
        <w:tc>
          <w:tcPr>
            <w:tcW w:type="dxa" w:w="5260"/>
            <w:tcMar>
              <w:top w:w="80" w:type="dxa"/>
              <w:start w:w="120" w:type="dxa"/>
              <w:bottom w:w="80" w:type="dxa"/>
              <w:end w:w="120" w:type="dxa"/>
            </w:tcMar>
            <w:vAlign w:val="top"/>
            <w:shd w:fill="F2F4F7"/>
          </w:tcPr>
          <w:p>
            <w:pPr>
              <w:spacing w:after="0"/>
            </w:pPr>
            <w:r>
              <w:rPr>
                <w:b/>
                <w:color w:val="1F4D78"/>
                <w:sz w:val="18"/>
              </w:rPr>
              <w:t>Example measures</w:t>
            </w:r>
          </w:p>
        </w:tc>
        <w:trPr>
          <w:tblHeader/>
        </w:trPr>
      </w:tr>
      <w:tr>
        <w:tc>
          <w:tcPr>
            <w:tcW w:type="dxa" w:w="2500"/>
            <w:tcMar>
              <w:top w:w="80" w:type="dxa"/>
              <w:start w:w="120" w:type="dxa"/>
              <w:bottom w:w="80" w:type="dxa"/>
              <w:end w:w="120" w:type="dxa"/>
            </w:tcMar>
            <w:vAlign w:val="top"/>
          </w:tcPr>
          <w:p>
            <w:pPr>
              <w:spacing w:after="40" w:line="252" w:lineRule="auto"/>
            </w:pPr>
            <w:r>
              <w:rPr>
                <w:sz w:val="18"/>
              </w:rPr>
              <w:t>Infrastructure and service date</w:t>
            </w:r>
          </w:p>
        </w:tc>
        <w:tc>
          <w:tcPr>
            <w:tcW w:type="dxa" w:w="1600"/>
            <w:tcMar>
              <w:top w:w="80" w:type="dxa"/>
              <w:start w:w="120" w:type="dxa"/>
              <w:bottom w:w="80" w:type="dxa"/>
              <w:end w:w="120" w:type="dxa"/>
            </w:tcMar>
            <w:vAlign w:val="top"/>
          </w:tcPr>
          <w:p>
            <w:pPr>
              <w:spacing w:after="40" w:line="252" w:lineRule="auto"/>
            </w:pPr>
            <w:r>
              <w:rPr>
                <w:sz w:val="18"/>
              </w:rPr>
              <w:t>30%</w:t>
            </w:r>
          </w:p>
        </w:tc>
        <w:tc>
          <w:tcPr>
            <w:tcW w:type="dxa" w:w="5260"/>
            <w:tcMar>
              <w:top w:w="80" w:type="dxa"/>
              <w:start w:w="120" w:type="dxa"/>
              <w:bottom w:w="80" w:type="dxa"/>
              <w:end w:w="120" w:type="dxa"/>
            </w:tcMar>
            <w:vAlign w:val="top"/>
          </w:tcPr>
          <w:p>
            <w:pPr>
              <w:spacing w:after="40" w:line="252" w:lineRule="auto"/>
            </w:pPr>
            <w:r>
              <w:rPr>
                <w:sz w:val="18"/>
              </w:rPr>
              <w:t>Power/water/fiber path, schedule, redundancy, upgrade exposure.</w:t>
            </w:r>
          </w:p>
        </w:tc>
      </w:tr>
      <w:tr>
        <w:tc>
          <w:tcPr>
            <w:tcW w:type="dxa" w:w="2500"/>
            <w:tcMar>
              <w:top w:w="80" w:type="dxa"/>
              <w:start w:w="120" w:type="dxa"/>
              <w:bottom w:w="80" w:type="dxa"/>
              <w:end w:w="120" w:type="dxa"/>
            </w:tcMar>
            <w:vAlign w:val="top"/>
          </w:tcPr>
          <w:p>
            <w:pPr>
              <w:spacing w:after="40" w:line="252" w:lineRule="auto"/>
            </w:pPr>
            <w:r>
              <w:rPr>
                <w:sz w:val="18"/>
              </w:rPr>
              <w:t>Physical feasibility</w:t>
            </w:r>
          </w:p>
        </w:tc>
        <w:tc>
          <w:tcPr>
            <w:tcW w:type="dxa" w:w="1600"/>
            <w:tcMar>
              <w:top w:w="80" w:type="dxa"/>
              <w:start w:w="120" w:type="dxa"/>
              <w:bottom w:w="80" w:type="dxa"/>
              <w:end w:w="120" w:type="dxa"/>
            </w:tcMar>
            <w:vAlign w:val="top"/>
          </w:tcPr>
          <w:p>
            <w:pPr>
              <w:spacing w:after="40" w:line="252" w:lineRule="auto"/>
            </w:pPr>
            <w:r>
              <w:rPr>
                <w:sz w:val="18"/>
              </w:rPr>
              <w:t>20%</w:t>
            </w:r>
          </w:p>
        </w:tc>
        <w:tc>
          <w:tcPr>
            <w:tcW w:type="dxa" w:w="5260"/>
            <w:tcMar>
              <w:top w:w="80" w:type="dxa"/>
              <w:start w:w="120" w:type="dxa"/>
              <w:bottom w:w="80" w:type="dxa"/>
              <w:end w:w="120" w:type="dxa"/>
            </w:tcMar>
            <w:vAlign w:val="top"/>
          </w:tcPr>
          <w:p>
            <w:pPr>
              <w:spacing w:after="40" w:line="252" w:lineRule="auto"/>
            </w:pPr>
            <w:r>
              <w:rPr>
                <w:sz w:val="18"/>
              </w:rPr>
              <w:t>Usable area, terrain, drainage, access, constraints, expansion.</w:t>
            </w:r>
          </w:p>
        </w:tc>
      </w:tr>
      <w:tr>
        <w:tc>
          <w:tcPr>
            <w:tcW w:type="dxa" w:w="2500"/>
            <w:tcMar>
              <w:top w:w="80" w:type="dxa"/>
              <w:start w:w="120" w:type="dxa"/>
              <w:bottom w:w="80" w:type="dxa"/>
              <w:end w:w="120" w:type="dxa"/>
            </w:tcMar>
            <w:vAlign w:val="top"/>
          </w:tcPr>
          <w:p>
            <w:pPr>
              <w:spacing w:after="40" w:line="252" w:lineRule="auto"/>
            </w:pPr>
            <w:r>
              <w:rPr>
                <w:sz w:val="18"/>
              </w:rPr>
              <w:t>Land use and approvals</w:t>
            </w:r>
          </w:p>
        </w:tc>
        <w:tc>
          <w:tcPr>
            <w:tcW w:type="dxa" w:w="1600"/>
            <w:tcMar>
              <w:top w:w="80" w:type="dxa"/>
              <w:start w:w="120" w:type="dxa"/>
              <w:bottom w:w="80" w:type="dxa"/>
              <w:end w:w="120" w:type="dxa"/>
            </w:tcMar>
            <w:vAlign w:val="top"/>
          </w:tcPr>
          <w:p>
            <w:pPr>
              <w:spacing w:after="40" w:line="252" w:lineRule="auto"/>
            </w:pPr>
            <w:r>
              <w:rPr>
                <w:sz w:val="18"/>
              </w:rPr>
              <w:t>15%</w:t>
            </w:r>
          </w:p>
        </w:tc>
        <w:tc>
          <w:tcPr>
            <w:tcW w:type="dxa" w:w="5260"/>
            <w:tcMar>
              <w:top w:w="80" w:type="dxa"/>
              <w:start w:w="120" w:type="dxa"/>
              <w:bottom w:w="80" w:type="dxa"/>
              <w:end w:w="120" w:type="dxa"/>
            </w:tcMar>
            <w:vAlign w:val="top"/>
          </w:tcPr>
          <w:p>
            <w:pPr>
              <w:spacing w:after="40" w:line="252" w:lineRule="auto"/>
            </w:pPr>
            <w:r>
              <w:rPr>
                <w:sz w:val="18"/>
              </w:rPr>
              <w:t>Allowed use, approval path, precedent, conditions, political risk.</w:t>
            </w:r>
          </w:p>
        </w:tc>
      </w:tr>
      <w:tr>
        <w:tc>
          <w:tcPr>
            <w:tcW w:type="dxa" w:w="2500"/>
            <w:tcMar>
              <w:top w:w="80" w:type="dxa"/>
              <w:start w:w="120" w:type="dxa"/>
              <w:bottom w:w="80" w:type="dxa"/>
              <w:end w:w="120" w:type="dxa"/>
            </w:tcMar>
            <w:vAlign w:val="top"/>
          </w:tcPr>
          <w:p>
            <w:pPr>
              <w:spacing w:after="40" w:line="252" w:lineRule="auto"/>
            </w:pPr>
            <w:r>
              <w:rPr>
                <w:sz w:val="18"/>
              </w:rPr>
              <w:t>Economics</w:t>
            </w:r>
          </w:p>
        </w:tc>
        <w:tc>
          <w:tcPr>
            <w:tcW w:type="dxa" w:w="1600"/>
            <w:tcMar>
              <w:top w:w="80" w:type="dxa"/>
              <w:start w:w="120" w:type="dxa"/>
              <w:bottom w:w="80" w:type="dxa"/>
              <w:end w:w="120" w:type="dxa"/>
            </w:tcMar>
            <w:vAlign w:val="top"/>
          </w:tcPr>
          <w:p>
            <w:pPr>
              <w:spacing w:after="40" w:line="252" w:lineRule="auto"/>
            </w:pPr>
            <w:r>
              <w:rPr>
                <w:sz w:val="18"/>
              </w:rPr>
              <w:t>15%</w:t>
            </w:r>
          </w:p>
        </w:tc>
        <w:tc>
          <w:tcPr>
            <w:tcW w:type="dxa" w:w="5260"/>
            <w:tcMar>
              <w:top w:w="80" w:type="dxa"/>
              <w:start w:w="120" w:type="dxa"/>
              <w:bottom w:w="80" w:type="dxa"/>
              <w:end w:w="120" w:type="dxa"/>
            </w:tcMar>
            <w:vAlign w:val="top"/>
          </w:tcPr>
          <w:p>
            <w:pPr>
              <w:spacing w:after="40" w:line="252" w:lineRule="auto"/>
            </w:pPr>
            <w:r>
              <w:rPr>
                <w:sz w:val="18"/>
              </w:rPr>
              <w:t>Land, off-site work, rates, tax, incentives, operating cost.</w:t>
            </w:r>
          </w:p>
        </w:tc>
      </w:tr>
      <w:tr>
        <w:tc>
          <w:tcPr>
            <w:tcW w:type="dxa" w:w="2500"/>
            <w:tcMar>
              <w:top w:w="80" w:type="dxa"/>
              <w:start w:w="120" w:type="dxa"/>
              <w:bottom w:w="80" w:type="dxa"/>
              <w:end w:w="120" w:type="dxa"/>
            </w:tcMar>
            <w:vAlign w:val="top"/>
          </w:tcPr>
          <w:p>
            <w:pPr>
              <w:spacing w:after="40" w:line="252" w:lineRule="auto"/>
            </w:pPr>
            <w:r>
              <w:rPr>
                <w:sz w:val="18"/>
              </w:rPr>
              <w:t>Market and labor</w:t>
            </w:r>
          </w:p>
        </w:tc>
        <w:tc>
          <w:tcPr>
            <w:tcW w:type="dxa" w:w="1600"/>
            <w:tcMar>
              <w:top w:w="80" w:type="dxa"/>
              <w:start w:w="120" w:type="dxa"/>
              <w:bottom w:w="80" w:type="dxa"/>
              <w:end w:w="120" w:type="dxa"/>
            </w:tcMar>
            <w:vAlign w:val="top"/>
          </w:tcPr>
          <w:p>
            <w:pPr>
              <w:spacing w:after="40" w:line="252" w:lineRule="auto"/>
            </w:pPr>
            <w:r>
              <w:rPr>
                <w:sz w:val="18"/>
              </w:rPr>
              <w:t>10%</w:t>
            </w:r>
          </w:p>
        </w:tc>
        <w:tc>
          <w:tcPr>
            <w:tcW w:type="dxa" w:w="5260"/>
            <w:tcMar>
              <w:top w:w="80" w:type="dxa"/>
              <w:start w:w="120" w:type="dxa"/>
              <w:bottom w:w="80" w:type="dxa"/>
              <w:end w:w="120" w:type="dxa"/>
            </w:tcMar>
            <w:vAlign w:val="top"/>
          </w:tcPr>
          <w:p>
            <w:pPr>
              <w:spacing w:after="40" w:line="252" w:lineRule="auto"/>
            </w:pPr>
            <w:r>
              <w:rPr>
                <w:sz w:val="18"/>
              </w:rPr>
              <w:t>Demand/customer access, labor depth, wage, competition.</w:t>
            </w:r>
          </w:p>
        </w:tc>
      </w:tr>
      <w:tr>
        <w:tc>
          <w:tcPr>
            <w:tcW w:type="dxa" w:w="2500"/>
            <w:tcMar>
              <w:top w:w="80" w:type="dxa"/>
              <w:start w:w="120" w:type="dxa"/>
              <w:bottom w:w="80" w:type="dxa"/>
              <w:end w:w="120" w:type="dxa"/>
            </w:tcMar>
            <w:vAlign w:val="top"/>
          </w:tcPr>
          <w:p>
            <w:pPr>
              <w:spacing w:after="40" w:line="252" w:lineRule="auto"/>
            </w:pPr>
            <w:r>
              <w:rPr>
                <w:sz w:val="18"/>
              </w:rPr>
              <w:t>Resilience and external risk</w:t>
            </w:r>
          </w:p>
        </w:tc>
        <w:tc>
          <w:tcPr>
            <w:tcW w:type="dxa" w:w="1600"/>
            <w:tcMar>
              <w:top w:w="80" w:type="dxa"/>
              <w:start w:w="120" w:type="dxa"/>
              <w:bottom w:w="80" w:type="dxa"/>
              <w:end w:w="120" w:type="dxa"/>
            </w:tcMar>
            <w:vAlign w:val="top"/>
          </w:tcPr>
          <w:p>
            <w:pPr>
              <w:spacing w:after="40" w:line="252" w:lineRule="auto"/>
            </w:pPr>
            <w:r>
              <w:rPr>
                <w:sz w:val="18"/>
              </w:rPr>
              <w:t>10%</w:t>
            </w:r>
          </w:p>
        </w:tc>
        <w:tc>
          <w:tcPr>
            <w:tcW w:type="dxa" w:w="5260"/>
            <w:tcMar>
              <w:top w:w="80" w:type="dxa"/>
              <w:start w:w="120" w:type="dxa"/>
              <w:bottom w:w="80" w:type="dxa"/>
              <w:end w:w="120" w:type="dxa"/>
            </w:tcMar>
            <w:vAlign w:val="top"/>
          </w:tcPr>
          <w:p>
            <w:pPr>
              <w:spacing w:after="40" w:line="252" w:lineRule="auto"/>
            </w:pPr>
            <w:r>
              <w:rPr>
                <w:sz w:val="18"/>
              </w:rPr>
              <w:t>Hazards, water stress, insurance, opposition, change risk.</w:t>
            </w:r>
          </w:p>
        </w:tc>
      </w:tr>
    </w:tbl>
    <w:p>
      <w:pPr>
        <w:pStyle w:val="Smallnote"/>
      </w:pPr>
      <w:r>
        <w:t>Illustrative only. The site-selection brief should determine weights; the tool should never make business priorities appear objective by default.</w:t>
      </w:r>
    </w:p>
    <w:p>
      <w:pPr>
        <w:pStyle w:val="Heading1"/>
      </w:pPr>
      <w:r>
        <w:t>15. Data-center-specific additions</w:t>
      </w:r>
    </w:p>
    <w:p>
      <w:r>
        <w:t>For data centers, power and schedule usually dominate the funnel, but land-use, water, fiber, noise, generators, air permits, tax posture, and public acceptance can become controlling constraints.</w:t>
      </w:r>
    </w:p>
    <w:p>
      <w:pPr>
        <w:pStyle w:val="ListBullet"/>
      </w:pPr>
      <w:r>
        <w:t>Define MW by phase, ramp, coincidence, power factor, voltage, redundancy, and in-service dates.</w:t>
      </w:r>
    </w:p>
    <w:p>
      <w:pPr>
        <w:pStyle w:val="ListBullet"/>
      </w:pPr>
      <w:r>
        <w:t>Map utility, balancing authority, RTO/ISO, tariff, large-load rules, transmission/substation context, and study path—but treat these as context until the serving utility confirms the site.</w:t>
      </w:r>
    </w:p>
    <w:p>
      <w:pPr>
        <w:pStyle w:val="ListBullet"/>
      </w:pPr>
      <w:r>
        <w:t>Evaluate fiber providers, physically diverse routes, meet-me/interconnection options, latency, and rights-of-way rather than simple broadband availability.</w:t>
      </w:r>
    </w:p>
    <w:p>
      <w:pPr>
        <w:pStyle w:val="ListBullet"/>
      </w:pPr>
      <w:r>
        <w:t>Quantify water by design and operating mode; include peak, drought restrictions, quality, discharge, and alternative cooling scenarios.</w:t>
      </w:r>
    </w:p>
    <w:p>
      <w:pPr>
        <w:pStyle w:val="ListBullet"/>
      </w:pPr>
      <w:r>
        <w:t>Screen generator fuel, emissions permitting, testing hours, noise, setbacks, hazardous materials, fire code, and community sensitivity.</w:t>
      </w:r>
    </w:p>
    <w:p>
      <w:pPr>
        <w:pStyle w:val="ListBullet"/>
      </w:pPr>
      <w:r>
        <w:t>Track moratoria, large-load tariffs, tax/incentive changes, comprehensive-plan amendments, utility queue rules, and public opposition continuously.</w:t>
      </w:r>
    </w:p>
    <w:p>
      <w:pPr>
        <w:pStyle w:val="Heading1"/>
      </w:pPr>
      <w:r>
        <w:t>16. Common failure modes</w:t>
      </w:r>
    </w:p>
    <w:tbl>
      <w:tblPr>
        <w:tblStyle w:val="TableGrid"/>
        <w:tblW w:type="dxa" w:w="9360"/>
        <w:jc w:val="left"/>
        <w:tblLayout w:type="fixed"/>
        <w:tblLook w:firstColumn="1" w:firstRow="1" w:lastColumn="0" w:lastRow="0" w:noHBand="0" w:noVBand="1" w:val="04A0"/>
        <w:tblInd w:w="120" w:type="dxa"/>
      </w:tblPr>
      <w:tblGrid>
        <w:gridCol w:w="1900"/>
        <w:gridCol w:w="3270"/>
        <w:gridCol w:w="4190"/>
      </w:tblGrid>
      <w:tr>
        <w:tc>
          <w:tcPr>
            <w:tcW w:type="dxa" w:w="1900"/>
            <w:tcMar>
              <w:top w:w="80" w:type="dxa"/>
              <w:start w:w="120" w:type="dxa"/>
              <w:bottom w:w="80" w:type="dxa"/>
              <w:end w:w="120" w:type="dxa"/>
            </w:tcMar>
            <w:vAlign w:val="top"/>
            <w:shd w:fill="F2F4F7"/>
          </w:tcPr>
          <w:p>
            <w:pPr>
              <w:spacing w:after="0"/>
            </w:pPr>
            <w:r>
              <w:rPr>
                <w:b/>
                <w:color w:val="1F4D78"/>
                <w:sz w:val="18"/>
              </w:rPr>
              <w:t>Failure</w:t>
            </w:r>
          </w:p>
        </w:tc>
        <w:tc>
          <w:tcPr>
            <w:tcW w:type="dxa" w:w="3270"/>
            <w:tcMar>
              <w:top w:w="80" w:type="dxa"/>
              <w:start w:w="120" w:type="dxa"/>
              <w:bottom w:w="80" w:type="dxa"/>
              <w:end w:w="120" w:type="dxa"/>
            </w:tcMar>
            <w:vAlign w:val="top"/>
            <w:shd w:fill="F2F4F7"/>
          </w:tcPr>
          <w:p>
            <w:pPr>
              <w:spacing w:after="0"/>
            </w:pPr>
            <w:r>
              <w:rPr>
                <w:b/>
                <w:color w:val="1F4D78"/>
                <w:sz w:val="18"/>
              </w:rPr>
              <w:t>Why it happens</w:t>
            </w:r>
          </w:p>
        </w:tc>
        <w:tc>
          <w:tcPr>
            <w:tcW w:type="dxa" w:w="4190"/>
            <w:tcMar>
              <w:top w:w="80" w:type="dxa"/>
              <w:start w:w="120" w:type="dxa"/>
              <w:bottom w:w="80" w:type="dxa"/>
              <w:end w:w="120" w:type="dxa"/>
            </w:tcMar>
            <w:vAlign w:val="top"/>
            <w:shd w:fill="F2F4F7"/>
          </w:tcPr>
          <w:p>
            <w:pPr>
              <w:spacing w:after="0"/>
            </w:pPr>
            <w:r>
              <w:rPr>
                <w:b/>
                <w:color w:val="1F4D78"/>
                <w:sz w:val="18"/>
              </w:rPr>
              <w:t>Control</w:t>
            </w:r>
          </w:p>
        </w:tc>
        <w:trPr>
          <w:tblHeader/>
        </w:trPr>
      </w:tr>
      <w:tr>
        <w:tc>
          <w:tcPr>
            <w:tcW w:type="dxa" w:w="1900"/>
            <w:tcMar>
              <w:top w:w="80" w:type="dxa"/>
              <w:start w:w="120" w:type="dxa"/>
              <w:bottom w:w="80" w:type="dxa"/>
              <w:end w:w="120" w:type="dxa"/>
            </w:tcMar>
            <w:vAlign w:val="top"/>
          </w:tcPr>
          <w:p>
            <w:pPr>
              <w:spacing w:after="40" w:line="252" w:lineRule="auto"/>
            </w:pPr>
            <w:r>
              <w:rPr>
                <w:sz w:val="18"/>
              </w:rPr>
              <w:t>The score chooses the site</w:t>
            </w:r>
          </w:p>
        </w:tc>
        <w:tc>
          <w:tcPr>
            <w:tcW w:type="dxa" w:w="3270"/>
            <w:tcMar>
              <w:top w:w="80" w:type="dxa"/>
              <w:start w:w="120" w:type="dxa"/>
              <w:bottom w:w="80" w:type="dxa"/>
              <w:end w:w="120" w:type="dxa"/>
            </w:tcMar>
            <w:vAlign w:val="top"/>
          </w:tcPr>
          <w:p>
            <w:pPr>
              <w:spacing w:after="40" w:line="252" w:lineRule="auto"/>
            </w:pPr>
            <w:r>
              <w:rPr>
                <w:sz w:val="18"/>
              </w:rPr>
              <w:t>Weights hide business judgment and evidence quality.</w:t>
            </w:r>
          </w:p>
        </w:tc>
        <w:tc>
          <w:tcPr>
            <w:tcW w:type="dxa" w:w="4190"/>
            <w:tcMar>
              <w:top w:w="80" w:type="dxa"/>
              <w:start w:w="120" w:type="dxa"/>
              <w:bottom w:w="80" w:type="dxa"/>
              <w:end w:w="120" w:type="dxa"/>
            </w:tcMar>
            <w:vAlign w:val="top"/>
          </w:tcPr>
          <w:p>
            <w:pPr>
              <w:spacing w:after="40" w:line="252" w:lineRule="auto"/>
            </w:pPr>
            <w:r>
              <w:rPr>
                <w:sz w:val="18"/>
              </w:rPr>
              <w:t>Hard filters, confidence rating, sensitivity, and approval gate.</w:t>
            </w:r>
          </w:p>
        </w:tc>
      </w:tr>
      <w:tr>
        <w:tc>
          <w:tcPr>
            <w:tcW w:type="dxa" w:w="1900"/>
            <w:tcMar>
              <w:top w:w="80" w:type="dxa"/>
              <w:start w:w="120" w:type="dxa"/>
              <w:bottom w:w="80" w:type="dxa"/>
              <w:end w:w="120" w:type="dxa"/>
            </w:tcMar>
            <w:vAlign w:val="top"/>
          </w:tcPr>
          <w:p>
            <w:pPr>
              <w:spacing w:after="40" w:line="252" w:lineRule="auto"/>
            </w:pPr>
            <w:r>
              <w:rPr>
                <w:sz w:val="18"/>
              </w:rPr>
              <w:t>Map overlap treated as legal fact</w:t>
            </w:r>
          </w:p>
        </w:tc>
        <w:tc>
          <w:tcPr>
            <w:tcW w:type="dxa" w:w="3270"/>
            <w:tcMar>
              <w:top w:w="80" w:type="dxa"/>
              <w:start w:w="120" w:type="dxa"/>
              <w:bottom w:w="80" w:type="dxa"/>
              <w:end w:w="120" w:type="dxa"/>
            </w:tcMar>
            <w:vAlign w:val="top"/>
          </w:tcPr>
          <w:p>
            <w:pPr>
              <w:spacing w:after="40" w:line="252" w:lineRule="auto"/>
            </w:pPr>
            <w:r>
              <w:rPr>
                <w:sz w:val="18"/>
              </w:rPr>
              <w:t>Screening layer is easier to use than the controlling record.</w:t>
            </w:r>
          </w:p>
        </w:tc>
        <w:tc>
          <w:tcPr>
            <w:tcW w:type="dxa" w:w="4190"/>
            <w:tcMar>
              <w:top w:w="80" w:type="dxa"/>
              <w:start w:w="120" w:type="dxa"/>
              <w:bottom w:w="80" w:type="dxa"/>
              <w:end w:w="120" w:type="dxa"/>
            </w:tcMar>
            <w:vAlign w:val="top"/>
          </w:tcPr>
          <w:p>
            <w:pPr>
              <w:spacing w:after="40" w:line="252" w:lineRule="auto"/>
            </w:pPr>
            <w:r>
              <w:rPr>
                <w:sz w:val="18"/>
              </w:rPr>
              <w:t>Source hierarchy and professional confirmation.</w:t>
            </w:r>
          </w:p>
        </w:tc>
      </w:tr>
      <w:tr>
        <w:tc>
          <w:tcPr>
            <w:tcW w:type="dxa" w:w="1900"/>
            <w:tcMar>
              <w:top w:w="80" w:type="dxa"/>
              <w:start w:w="120" w:type="dxa"/>
              <w:bottom w:w="80" w:type="dxa"/>
              <w:end w:w="120" w:type="dxa"/>
            </w:tcMar>
            <w:vAlign w:val="top"/>
          </w:tcPr>
          <w:p>
            <w:pPr>
              <w:spacing w:after="40" w:line="252" w:lineRule="auto"/>
            </w:pPr>
            <w:r>
              <w:rPr>
                <w:sz w:val="18"/>
              </w:rPr>
              <w:t>Power line equals power capacity</w:t>
            </w:r>
          </w:p>
        </w:tc>
        <w:tc>
          <w:tcPr>
            <w:tcW w:type="dxa" w:w="3270"/>
            <w:tcMar>
              <w:top w:w="80" w:type="dxa"/>
              <w:start w:w="120" w:type="dxa"/>
              <w:bottom w:w="80" w:type="dxa"/>
              <w:end w:w="120" w:type="dxa"/>
            </w:tcMar>
            <w:vAlign w:val="top"/>
          </w:tcPr>
          <w:p>
            <w:pPr>
              <w:spacing w:after="40" w:line="252" w:lineRule="auto"/>
            </w:pPr>
            <w:r>
              <w:rPr>
                <w:sz w:val="18"/>
              </w:rPr>
              <w:t>Distance is visible; system capacity and schedule are not.</w:t>
            </w:r>
          </w:p>
        </w:tc>
        <w:tc>
          <w:tcPr>
            <w:tcW w:type="dxa" w:w="4190"/>
            <w:tcMar>
              <w:top w:w="80" w:type="dxa"/>
              <w:start w:w="120" w:type="dxa"/>
              <w:bottom w:w="80" w:type="dxa"/>
              <w:end w:w="120" w:type="dxa"/>
            </w:tcMar>
            <w:vAlign w:val="top"/>
          </w:tcPr>
          <w:p>
            <w:pPr>
              <w:spacing w:after="40" w:line="252" w:lineRule="auto"/>
            </w:pPr>
            <w:r>
              <w:rPr>
                <w:sz w:val="18"/>
              </w:rPr>
              <w:t>Site-specific utility intake and study.</w:t>
            </w:r>
          </w:p>
        </w:tc>
      </w:tr>
      <w:tr>
        <w:tc>
          <w:tcPr>
            <w:tcW w:type="dxa" w:w="1900"/>
            <w:tcMar>
              <w:top w:w="80" w:type="dxa"/>
              <w:start w:w="120" w:type="dxa"/>
              <w:bottom w:w="80" w:type="dxa"/>
              <w:end w:w="120" w:type="dxa"/>
            </w:tcMar>
            <w:vAlign w:val="top"/>
          </w:tcPr>
          <w:p>
            <w:pPr>
              <w:spacing w:after="40" w:line="252" w:lineRule="auto"/>
            </w:pPr>
            <w:r>
              <w:rPr>
                <w:sz w:val="18"/>
              </w:rPr>
              <w:t>Zoning label equals entitlement path</w:t>
            </w:r>
          </w:p>
        </w:tc>
        <w:tc>
          <w:tcPr>
            <w:tcW w:type="dxa" w:w="3270"/>
            <w:tcMar>
              <w:top w:w="80" w:type="dxa"/>
              <w:start w:w="120" w:type="dxa"/>
              <w:bottom w:w="80" w:type="dxa"/>
              <w:end w:w="120" w:type="dxa"/>
            </w:tcMar>
            <w:vAlign w:val="top"/>
          </w:tcPr>
          <w:p>
            <w:pPr>
              <w:spacing w:after="40" w:line="252" w:lineRule="auto"/>
            </w:pPr>
            <w:r>
              <w:rPr>
                <w:sz w:val="18"/>
              </w:rPr>
              <w:t>Use table, overlays, definitions, and process are skipped.</w:t>
            </w:r>
          </w:p>
        </w:tc>
        <w:tc>
          <w:tcPr>
            <w:tcW w:type="dxa" w:w="4190"/>
            <w:tcMar>
              <w:top w:w="80" w:type="dxa"/>
              <w:start w:w="120" w:type="dxa"/>
              <w:bottom w:w="80" w:type="dxa"/>
              <w:end w:w="120" w:type="dxa"/>
            </w:tcMar>
            <w:vAlign w:val="top"/>
          </w:tcPr>
          <w:p>
            <w:pPr>
              <w:spacing w:after="40" w:line="252" w:lineRule="auto"/>
            </w:pPr>
            <w:r>
              <w:rPr>
                <w:sz w:val="18"/>
              </w:rPr>
              <w:t>Full code review, staff history, and agency confirmation.</w:t>
            </w:r>
          </w:p>
        </w:tc>
      </w:tr>
      <w:tr>
        <w:tc>
          <w:tcPr>
            <w:tcW w:type="dxa" w:w="1900"/>
            <w:tcMar>
              <w:top w:w="80" w:type="dxa"/>
              <w:start w:w="120" w:type="dxa"/>
              <w:bottom w:w="80" w:type="dxa"/>
              <w:end w:w="120" w:type="dxa"/>
            </w:tcMar>
            <w:vAlign w:val="top"/>
          </w:tcPr>
          <w:p>
            <w:pPr>
              <w:spacing w:after="40" w:line="252" w:lineRule="auto"/>
            </w:pPr>
            <w:r>
              <w:rPr>
                <w:sz w:val="18"/>
              </w:rPr>
              <w:t>Owner record equals site control</w:t>
            </w:r>
          </w:p>
        </w:tc>
        <w:tc>
          <w:tcPr>
            <w:tcW w:type="dxa" w:w="3270"/>
            <w:tcMar>
              <w:top w:w="80" w:type="dxa"/>
              <w:start w:w="120" w:type="dxa"/>
              <w:bottom w:w="80" w:type="dxa"/>
              <w:end w:w="120" w:type="dxa"/>
            </w:tcMar>
            <w:vAlign w:val="top"/>
          </w:tcPr>
          <w:p>
            <w:pPr>
              <w:spacing w:after="40" w:line="252" w:lineRule="auto"/>
            </w:pPr>
            <w:r>
              <w:rPr>
                <w:sz w:val="18"/>
              </w:rPr>
              <w:t>Tax owner may be stale or an entity with complex authority.</w:t>
            </w:r>
          </w:p>
        </w:tc>
        <w:tc>
          <w:tcPr>
            <w:tcW w:type="dxa" w:w="4190"/>
            <w:tcMar>
              <w:top w:w="80" w:type="dxa"/>
              <w:start w:w="120" w:type="dxa"/>
              <w:bottom w:w="80" w:type="dxa"/>
              <w:end w:w="120" w:type="dxa"/>
            </w:tcMar>
            <w:vAlign w:val="top"/>
          </w:tcPr>
          <w:p>
            <w:pPr>
              <w:spacing w:after="40" w:line="252" w:lineRule="auto"/>
            </w:pPr>
            <w:r>
              <w:rPr>
                <w:sz w:val="18"/>
              </w:rPr>
              <w:t>Recorded documents, entity resolution, authority and negotiation checks.</w:t>
            </w:r>
          </w:p>
        </w:tc>
      </w:tr>
      <w:tr>
        <w:tc>
          <w:tcPr>
            <w:tcW w:type="dxa" w:w="1900"/>
            <w:tcMar>
              <w:top w:w="80" w:type="dxa"/>
              <w:start w:w="120" w:type="dxa"/>
              <w:bottom w:w="80" w:type="dxa"/>
              <w:end w:w="120" w:type="dxa"/>
            </w:tcMar>
            <w:vAlign w:val="top"/>
          </w:tcPr>
          <w:p>
            <w:pPr>
              <w:spacing w:after="40" w:line="252" w:lineRule="auto"/>
            </w:pPr>
            <w:r>
              <w:rPr>
                <w:sz w:val="18"/>
              </w:rPr>
              <w:t>Unknown becomes average</w:t>
            </w:r>
          </w:p>
        </w:tc>
        <w:tc>
          <w:tcPr>
            <w:tcW w:type="dxa" w:w="3270"/>
            <w:tcMar>
              <w:top w:w="80" w:type="dxa"/>
              <w:start w:w="120" w:type="dxa"/>
              <w:bottom w:w="80" w:type="dxa"/>
              <w:end w:w="120" w:type="dxa"/>
            </w:tcMar>
            <w:vAlign w:val="top"/>
          </w:tcPr>
          <w:p>
            <w:pPr>
              <w:spacing w:after="40" w:line="252" w:lineRule="auto"/>
            </w:pPr>
            <w:r>
              <w:rPr>
                <w:sz w:val="18"/>
              </w:rPr>
              <w:t>Incomplete data is forced into a ranking.</w:t>
            </w:r>
          </w:p>
        </w:tc>
        <w:tc>
          <w:tcPr>
            <w:tcW w:type="dxa" w:w="4190"/>
            <w:tcMar>
              <w:top w:w="80" w:type="dxa"/>
              <w:start w:w="120" w:type="dxa"/>
              <w:bottom w:w="80" w:type="dxa"/>
              <w:end w:w="120" w:type="dxa"/>
            </w:tcMar>
            <w:vAlign w:val="top"/>
          </w:tcPr>
          <w:p>
            <w:pPr>
              <w:spacing w:after="40" w:line="252" w:lineRule="auto"/>
            </w:pPr>
            <w:r>
              <w:rPr>
                <w:sz w:val="18"/>
              </w:rPr>
              <w:t>Explicit unknown state, confidence penalty, or gate block.</w:t>
            </w:r>
          </w:p>
        </w:tc>
      </w:tr>
      <w:tr>
        <w:tc>
          <w:tcPr>
            <w:tcW w:type="dxa" w:w="1900"/>
            <w:tcMar>
              <w:top w:w="80" w:type="dxa"/>
              <w:start w:w="120" w:type="dxa"/>
              <w:bottom w:w="80" w:type="dxa"/>
              <w:end w:w="120" w:type="dxa"/>
            </w:tcMar>
            <w:vAlign w:val="top"/>
          </w:tcPr>
          <w:p>
            <w:pPr>
              <w:spacing w:after="40" w:line="252" w:lineRule="auto"/>
            </w:pPr>
            <w:r>
              <w:rPr>
                <w:sz w:val="18"/>
              </w:rPr>
              <w:t>No backup site</w:t>
            </w:r>
          </w:p>
        </w:tc>
        <w:tc>
          <w:tcPr>
            <w:tcW w:type="dxa" w:w="3270"/>
            <w:tcMar>
              <w:top w:w="80" w:type="dxa"/>
              <w:start w:w="120" w:type="dxa"/>
              <w:bottom w:w="80" w:type="dxa"/>
              <w:end w:w="120" w:type="dxa"/>
            </w:tcMar>
            <w:vAlign w:val="top"/>
          </w:tcPr>
          <w:p>
            <w:pPr>
              <w:spacing w:after="40" w:line="252" w:lineRule="auto"/>
            </w:pPr>
            <w:r>
              <w:rPr>
                <w:sz w:val="18"/>
              </w:rPr>
              <w:t>Team overinvests emotionally and commercially in one candidate.</w:t>
            </w:r>
          </w:p>
        </w:tc>
        <w:tc>
          <w:tcPr>
            <w:tcW w:type="dxa" w:w="4190"/>
            <w:tcMar>
              <w:top w:w="80" w:type="dxa"/>
              <w:start w:w="120" w:type="dxa"/>
              <w:bottom w:w="80" w:type="dxa"/>
              <w:end w:w="120" w:type="dxa"/>
            </w:tcMar>
            <w:vAlign w:val="top"/>
          </w:tcPr>
          <w:p>
            <w:pPr>
              <w:spacing w:after="40" w:line="252" w:lineRule="auto"/>
            </w:pPr>
            <w:r>
              <w:rPr>
                <w:sz w:val="18"/>
              </w:rPr>
              <w:t>Maintain a credible backup through the preferred-site gate.</w:t>
            </w:r>
          </w:p>
        </w:tc>
      </w:tr>
      <w:tr>
        <w:tc>
          <w:tcPr>
            <w:tcW w:type="dxa" w:w="1900"/>
            <w:tcMar>
              <w:top w:w="80" w:type="dxa"/>
              <w:start w:w="120" w:type="dxa"/>
              <w:bottom w:w="80" w:type="dxa"/>
              <w:end w:w="120" w:type="dxa"/>
            </w:tcMar>
            <w:vAlign w:val="top"/>
          </w:tcPr>
          <w:p>
            <w:pPr>
              <w:spacing w:after="40" w:line="252" w:lineRule="auto"/>
            </w:pPr>
            <w:r>
              <w:rPr>
                <w:sz w:val="18"/>
              </w:rPr>
              <w:t>Source disappears</w:t>
            </w:r>
          </w:p>
        </w:tc>
        <w:tc>
          <w:tcPr>
            <w:tcW w:type="dxa" w:w="3270"/>
            <w:tcMar>
              <w:top w:w="80" w:type="dxa"/>
              <w:start w:w="120" w:type="dxa"/>
              <w:bottom w:w="80" w:type="dxa"/>
              <w:end w:w="120" w:type="dxa"/>
            </w:tcMar>
            <w:vAlign w:val="top"/>
          </w:tcPr>
          <w:p>
            <w:pPr>
              <w:spacing w:after="40" w:line="252" w:lineRule="auto"/>
            </w:pPr>
            <w:r>
              <w:rPr>
                <w:sz w:val="18"/>
              </w:rPr>
              <w:t>Web map, meeting packet, or vendor field changes.</w:t>
            </w:r>
          </w:p>
        </w:tc>
        <w:tc>
          <w:tcPr>
            <w:tcW w:type="dxa" w:w="4190"/>
            <w:tcMar>
              <w:top w:w="80" w:type="dxa"/>
              <w:start w:w="120" w:type="dxa"/>
              <w:bottom w:w="80" w:type="dxa"/>
              <w:end w:w="120" w:type="dxa"/>
            </w:tcMar>
            <w:vAlign w:val="top"/>
          </w:tcPr>
          <w:p>
            <w:pPr>
              <w:spacing w:after="40" w:line="252" w:lineRule="auto"/>
            </w:pPr>
            <w:r>
              <w:rPr>
                <w:sz w:val="18"/>
              </w:rPr>
              <w:t>Retain retrieval date, copy/reference, metadata, and version.</w:t>
            </w:r>
          </w:p>
        </w:tc>
      </w:tr>
    </w:tbl>
    <w:p>
      <w:pPr>
        <w:pStyle w:val="Heading1"/>
      </w:pPr>
      <w:r>
        <w:t>17. Team, cadence, and decision rights</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tcMar>
              <w:top w:w="80" w:type="dxa"/>
              <w:start w:w="120" w:type="dxa"/>
              <w:bottom w:w="80" w:type="dxa"/>
              <w:end w:w="120" w:type="dxa"/>
            </w:tcMar>
            <w:vAlign w:val="top"/>
            <w:shd w:fill="F2F4F7"/>
          </w:tcPr>
          <w:p>
            <w:pPr>
              <w:spacing w:after="0"/>
            </w:pPr>
            <w:r>
              <w:rPr>
                <w:b/>
                <w:color w:val="1F4D78"/>
                <w:sz w:val="18"/>
              </w:rPr>
              <w:t>Role</w:t>
            </w:r>
          </w:p>
        </w:tc>
        <w:tc>
          <w:tcPr>
            <w:tcW w:type="dxa" w:w="6660"/>
            <w:tcMar>
              <w:top w:w="80" w:type="dxa"/>
              <w:start w:w="120" w:type="dxa"/>
              <w:bottom w:w="80" w:type="dxa"/>
              <w:end w:w="120" w:type="dxa"/>
            </w:tcMar>
            <w:vAlign w:val="top"/>
            <w:shd w:fill="F2F4F7"/>
          </w:tcPr>
          <w:p>
            <w:pPr>
              <w:spacing w:after="0"/>
            </w:pPr>
            <w:r>
              <w:rPr>
                <w:b/>
                <w:color w:val="1F4D78"/>
                <w:sz w:val="18"/>
              </w:rPr>
              <w:t>Primary responsibility</w:t>
            </w:r>
          </w:p>
        </w:tc>
        <w:trPr>
          <w:tblHeader/>
        </w:trPr>
      </w:tr>
      <w:tr>
        <w:tc>
          <w:tcPr>
            <w:tcW w:type="dxa" w:w="2700"/>
            <w:tcMar>
              <w:top w:w="80" w:type="dxa"/>
              <w:start w:w="120" w:type="dxa"/>
              <w:bottom w:w="80" w:type="dxa"/>
              <w:end w:w="120" w:type="dxa"/>
            </w:tcMar>
            <w:vAlign w:val="top"/>
          </w:tcPr>
          <w:p>
            <w:pPr>
              <w:spacing w:after="40" w:line="252" w:lineRule="auto"/>
            </w:pPr>
            <w:r>
              <w:rPr>
                <w:sz w:val="18"/>
              </w:rPr>
              <w:t>Executive sponsor / investment owner</w:t>
            </w:r>
          </w:p>
        </w:tc>
        <w:tc>
          <w:tcPr>
            <w:tcW w:type="dxa" w:w="6660"/>
            <w:tcMar>
              <w:top w:w="80" w:type="dxa"/>
              <w:start w:w="120" w:type="dxa"/>
              <w:bottom w:w="80" w:type="dxa"/>
              <w:end w:w="120" w:type="dxa"/>
            </w:tcMar>
            <w:vAlign w:val="top"/>
          </w:tcPr>
          <w:p>
            <w:pPr>
              <w:spacing w:after="40" w:line="252" w:lineRule="auto"/>
            </w:pPr>
            <w:r>
              <w:rPr>
                <w:sz w:val="18"/>
              </w:rPr>
              <w:t>Business case, priorities, risk acceptance, capital gates.</w:t>
            </w:r>
          </w:p>
        </w:tc>
      </w:tr>
      <w:tr>
        <w:tc>
          <w:tcPr>
            <w:tcW w:type="dxa" w:w="2700"/>
            <w:tcMar>
              <w:top w:w="80" w:type="dxa"/>
              <w:start w:w="120" w:type="dxa"/>
              <w:bottom w:w="80" w:type="dxa"/>
              <w:end w:w="120" w:type="dxa"/>
            </w:tcMar>
            <w:vAlign w:val="top"/>
          </w:tcPr>
          <w:p>
            <w:pPr>
              <w:spacing w:after="40" w:line="252" w:lineRule="auto"/>
            </w:pPr>
            <w:r>
              <w:rPr>
                <w:sz w:val="18"/>
              </w:rPr>
              <w:t>Site-selection lead</w:t>
            </w:r>
          </w:p>
        </w:tc>
        <w:tc>
          <w:tcPr>
            <w:tcW w:type="dxa" w:w="6660"/>
            <w:tcMar>
              <w:top w:w="80" w:type="dxa"/>
              <w:start w:w="120" w:type="dxa"/>
              <w:bottom w:w="80" w:type="dxa"/>
              <w:end w:w="120" w:type="dxa"/>
            </w:tcMar>
            <w:vAlign w:val="top"/>
          </w:tcPr>
          <w:p>
            <w:pPr>
              <w:spacing w:after="40" w:line="252" w:lineRule="auto"/>
            </w:pPr>
            <w:r>
              <w:rPr>
                <w:sz w:val="18"/>
              </w:rPr>
              <w:t>Process, criteria, search universe, comparison, recommendation, decision log.</w:t>
            </w:r>
          </w:p>
        </w:tc>
      </w:tr>
      <w:tr>
        <w:tc>
          <w:tcPr>
            <w:tcW w:type="dxa" w:w="2700"/>
            <w:tcMar>
              <w:top w:w="80" w:type="dxa"/>
              <w:start w:w="120" w:type="dxa"/>
              <w:bottom w:w="80" w:type="dxa"/>
              <w:end w:w="120" w:type="dxa"/>
            </w:tcMar>
            <w:vAlign w:val="top"/>
          </w:tcPr>
          <w:p>
            <w:pPr>
              <w:spacing w:after="40" w:line="252" w:lineRule="auto"/>
            </w:pPr>
            <w:r>
              <w:rPr>
                <w:sz w:val="18"/>
              </w:rPr>
              <w:t>Real estate / acquisitions</w:t>
            </w:r>
          </w:p>
        </w:tc>
        <w:tc>
          <w:tcPr>
            <w:tcW w:type="dxa" w:w="6660"/>
            <w:tcMar>
              <w:top w:w="80" w:type="dxa"/>
              <w:start w:w="120" w:type="dxa"/>
              <w:bottom w:w="80" w:type="dxa"/>
              <w:end w:w="120" w:type="dxa"/>
            </w:tcMar>
            <w:vAlign w:val="top"/>
          </w:tcPr>
          <w:p>
            <w:pPr>
              <w:spacing w:after="40" w:line="252" w:lineRule="auto"/>
            </w:pPr>
            <w:r>
              <w:rPr>
                <w:sz w:val="18"/>
              </w:rPr>
              <w:t>Owner contact, site control, valuation, negotiations, transaction diligence.</w:t>
            </w:r>
          </w:p>
        </w:tc>
      </w:tr>
      <w:tr>
        <w:tc>
          <w:tcPr>
            <w:tcW w:type="dxa" w:w="2700"/>
            <w:tcMar>
              <w:top w:w="80" w:type="dxa"/>
              <w:start w:w="120" w:type="dxa"/>
              <w:bottom w:w="80" w:type="dxa"/>
              <w:end w:w="120" w:type="dxa"/>
            </w:tcMar>
            <w:vAlign w:val="top"/>
          </w:tcPr>
          <w:p>
            <w:pPr>
              <w:spacing w:after="40" w:line="252" w:lineRule="auto"/>
            </w:pPr>
            <w:r>
              <w:rPr>
                <w:sz w:val="18"/>
              </w:rPr>
              <w:t>GIS / data</w:t>
            </w:r>
          </w:p>
        </w:tc>
        <w:tc>
          <w:tcPr>
            <w:tcW w:type="dxa" w:w="6660"/>
            <w:tcMar>
              <w:top w:w="80" w:type="dxa"/>
              <w:start w:w="120" w:type="dxa"/>
              <w:bottom w:w="80" w:type="dxa"/>
              <w:end w:w="120" w:type="dxa"/>
            </w:tcMar>
            <w:vAlign w:val="top"/>
          </w:tcPr>
          <w:p>
            <w:pPr>
              <w:spacing w:after="40" w:line="252" w:lineRule="auto"/>
            </w:pPr>
            <w:r>
              <w:rPr>
                <w:sz w:val="18"/>
              </w:rPr>
              <w:t>Source register, parcel identity, spatial analysis, reproducibility, evidence lineage.</w:t>
            </w:r>
          </w:p>
        </w:tc>
      </w:tr>
      <w:tr>
        <w:tc>
          <w:tcPr>
            <w:tcW w:type="dxa" w:w="2700"/>
            <w:tcMar>
              <w:top w:w="80" w:type="dxa"/>
              <w:start w:w="120" w:type="dxa"/>
              <w:bottom w:w="80" w:type="dxa"/>
              <w:end w:w="120" w:type="dxa"/>
            </w:tcMar>
            <w:vAlign w:val="top"/>
          </w:tcPr>
          <w:p>
            <w:pPr>
              <w:spacing w:after="40" w:line="252" w:lineRule="auto"/>
            </w:pPr>
            <w:r>
              <w:rPr>
                <w:sz w:val="18"/>
              </w:rPr>
              <w:t>Utilities / infrastructure</w:t>
            </w:r>
          </w:p>
        </w:tc>
        <w:tc>
          <w:tcPr>
            <w:tcW w:type="dxa" w:w="6660"/>
            <w:tcMar>
              <w:top w:w="80" w:type="dxa"/>
              <w:start w:w="120" w:type="dxa"/>
              <w:bottom w:w="80" w:type="dxa"/>
              <w:end w:w="120" w:type="dxa"/>
            </w:tcMar>
            <w:vAlign w:val="top"/>
          </w:tcPr>
          <w:p>
            <w:pPr>
              <w:spacing w:after="40" w:line="252" w:lineRule="auto"/>
            </w:pPr>
            <w:r>
              <w:rPr>
                <w:sz w:val="18"/>
              </w:rPr>
              <w:t>Load/service request, studies, upgrade scope, schedule, cost, commercial path.</w:t>
            </w:r>
          </w:p>
        </w:tc>
      </w:tr>
      <w:tr>
        <w:tc>
          <w:tcPr>
            <w:tcW w:type="dxa" w:w="2700"/>
            <w:tcMar>
              <w:top w:w="80" w:type="dxa"/>
              <w:start w:w="120" w:type="dxa"/>
              <w:bottom w:w="80" w:type="dxa"/>
              <w:end w:w="120" w:type="dxa"/>
            </w:tcMar>
            <w:vAlign w:val="top"/>
          </w:tcPr>
          <w:p>
            <w:pPr>
              <w:spacing w:after="40" w:line="252" w:lineRule="auto"/>
            </w:pPr>
            <w:r>
              <w:rPr>
                <w:sz w:val="18"/>
              </w:rPr>
              <w:t>Design / engineering</w:t>
            </w:r>
          </w:p>
        </w:tc>
        <w:tc>
          <w:tcPr>
            <w:tcW w:type="dxa" w:w="6660"/>
            <w:tcMar>
              <w:top w:w="80" w:type="dxa"/>
              <w:start w:w="120" w:type="dxa"/>
              <w:bottom w:w="80" w:type="dxa"/>
              <w:end w:w="120" w:type="dxa"/>
            </w:tcMar>
            <w:vAlign w:val="top"/>
          </w:tcPr>
          <w:p>
            <w:pPr>
              <w:spacing w:after="40" w:line="252" w:lineRule="auto"/>
            </w:pPr>
            <w:r>
              <w:rPr>
                <w:sz w:val="18"/>
              </w:rPr>
              <w:t>Program, test fit, access, grading, drainage, constructability, estimate.</w:t>
            </w:r>
          </w:p>
        </w:tc>
      </w:tr>
      <w:tr>
        <w:tc>
          <w:tcPr>
            <w:tcW w:type="dxa" w:w="2700"/>
            <w:tcMar>
              <w:top w:w="80" w:type="dxa"/>
              <w:start w:w="120" w:type="dxa"/>
              <w:bottom w:w="80" w:type="dxa"/>
              <w:end w:w="120" w:type="dxa"/>
            </w:tcMar>
            <w:vAlign w:val="top"/>
          </w:tcPr>
          <w:p>
            <w:pPr>
              <w:spacing w:after="40" w:line="252" w:lineRule="auto"/>
            </w:pPr>
            <w:r>
              <w:rPr>
                <w:sz w:val="18"/>
              </w:rPr>
              <w:t>Land use / legal</w:t>
            </w:r>
          </w:p>
        </w:tc>
        <w:tc>
          <w:tcPr>
            <w:tcW w:type="dxa" w:w="6660"/>
            <w:tcMar>
              <w:top w:w="80" w:type="dxa"/>
              <w:start w:w="120" w:type="dxa"/>
              <w:bottom w:w="80" w:type="dxa"/>
              <w:end w:w="120" w:type="dxa"/>
            </w:tcMar>
            <w:vAlign w:val="top"/>
          </w:tcPr>
          <w:p>
            <w:pPr>
              <w:spacing w:after="40" w:line="252" w:lineRule="auto"/>
            </w:pPr>
            <w:r>
              <w:rPr>
                <w:sz w:val="18"/>
              </w:rPr>
              <w:t>Title, code, approvals, restrictions, conditions, hearings, transaction documents.</w:t>
            </w:r>
          </w:p>
        </w:tc>
      </w:tr>
      <w:tr>
        <w:tc>
          <w:tcPr>
            <w:tcW w:type="dxa" w:w="2700"/>
            <w:tcMar>
              <w:top w:w="80" w:type="dxa"/>
              <w:start w:w="120" w:type="dxa"/>
              <w:bottom w:w="80" w:type="dxa"/>
              <w:end w:w="120" w:type="dxa"/>
            </w:tcMar>
            <w:vAlign w:val="top"/>
          </w:tcPr>
          <w:p>
            <w:pPr>
              <w:spacing w:after="40" w:line="252" w:lineRule="auto"/>
            </w:pPr>
            <w:r>
              <w:rPr>
                <w:sz w:val="18"/>
              </w:rPr>
              <w:t>Environmental</w:t>
            </w:r>
          </w:p>
        </w:tc>
        <w:tc>
          <w:tcPr>
            <w:tcW w:type="dxa" w:w="6660"/>
            <w:tcMar>
              <w:top w:w="80" w:type="dxa"/>
              <w:start w:w="120" w:type="dxa"/>
              <w:bottom w:w="80" w:type="dxa"/>
              <w:end w:w="120" w:type="dxa"/>
            </w:tcMar>
            <w:vAlign w:val="top"/>
          </w:tcPr>
          <w:p>
            <w:pPr>
              <w:spacing w:after="40" w:line="252" w:lineRule="auto"/>
            </w:pPr>
            <w:r>
              <w:rPr>
                <w:sz w:val="18"/>
              </w:rPr>
              <w:t>Environmental, wetlands, habitat, permitting and remediation workstreams.</w:t>
            </w:r>
          </w:p>
        </w:tc>
      </w:tr>
      <w:tr>
        <w:tc>
          <w:tcPr>
            <w:tcW w:type="dxa" w:w="2700"/>
            <w:tcMar>
              <w:top w:w="80" w:type="dxa"/>
              <w:start w:w="120" w:type="dxa"/>
              <w:bottom w:w="80" w:type="dxa"/>
              <w:end w:w="120" w:type="dxa"/>
            </w:tcMar>
            <w:vAlign w:val="top"/>
          </w:tcPr>
          <w:p>
            <w:pPr>
              <w:spacing w:after="40" w:line="252" w:lineRule="auto"/>
            </w:pPr>
            <w:r>
              <w:rPr>
                <w:sz w:val="18"/>
              </w:rPr>
              <w:t>Government / community</w:t>
            </w:r>
          </w:p>
        </w:tc>
        <w:tc>
          <w:tcPr>
            <w:tcW w:type="dxa" w:w="6660"/>
            <w:tcMar>
              <w:top w:w="80" w:type="dxa"/>
              <w:start w:w="120" w:type="dxa"/>
              <w:bottom w:w="80" w:type="dxa"/>
              <w:end w:w="120" w:type="dxa"/>
            </w:tcMar>
            <w:vAlign w:val="top"/>
          </w:tcPr>
          <w:p>
            <w:pPr>
              <w:spacing w:after="40" w:line="252" w:lineRule="auto"/>
            </w:pPr>
            <w:r>
              <w:rPr>
                <w:sz w:val="18"/>
              </w:rPr>
              <w:t>Agency process, incentives, public engagement, opposition and change monitoring.</w:t>
            </w:r>
          </w:p>
        </w:tc>
      </w:tr>
    </w:tbl>
    <w:p>
      <w:r>
        <w:t>A weekly site-selection meeting should review only changes, gate decisions, material risks, and owner actions. The detailed evidence stays in the project record; the meeting should not become a tour of every map layer.</w:t>
      </w:r>
    </w:p>
    <w:p>
      <w:pPr>
        <w:pStyle w:val="Heading1"/>
      </w:pPr>
      <w:r>
        <w:t>18. Operator checklists</w:t>
      </w:r>
    </w:p>
    <w:p>
      <w:pPr>
        <w:pStyle w:val="Heading2"/>
      </w:pPr>
      <w:r>
        <w:t>Before parcel search</w:t>
      </w:r>
    </w:p>
    <w:p>
      <w:pPr>
        <w:pStyle w:val="ListBullet"/>
      </w:pPr>
      <w:r>
        <w:t>☐ Business objective and need date approved</w:t>
      </w:r>
    </w:p>
    <w:p>
      <w:pPr>
        <w:pStyle w:val="ListBullet"/>
      </w:pPr>
      <w:r>
        <w:t>☐ Program and phasing defined</w:t>
      </w:r>
    </w:p>
    <w:p>
      <w:pPr>
        <w:pStyle w:val="ListBullet"/>
      </w:pPr>
      <w:r>
        <w:t>☐ Hard filters separated from weights</w:t>
      </w:r>
    </w:p>
    <w:p>
      <w:pPr>
        <w:pStyle w:val="ListBullet"/>
      </w:pPr>
      <w:r>
        <w:t>☐ Evidence standard defined by gate</w:t>
      </w:r>
    </w:p>
    <w:p>
      <w:pPr>
        <w:pStyle w:val="ListBullet"/>
      </w:pPr>
      <w:r>
        <w:t>☐ Geographic unit and search boundary defined</w:t>
      </w:r>
    </w:p>
    <w:p>
      <w:pPr>
        <w:pStyle w:val="ListBullet"/>
      </w:pPr>
      <w:r>
        <w:t>☐ Decision owner and reviewers named</w:t>
      </w:r>
    </w:p>
    <w:p>
      <w:pPr>
        <w:pStyle w:val="Heading2"/>
      </w:pPr>
      <w:r>
        <w:t>Before shortlist approval</w:t>
      </w:r>
    </w:p>
    <w:p>
      <w:pPr>
        <w:pStyle w:val="ListBullet"/>
      </w:pPr>
      <w:r>
        <w:t>☐ Parcel ID, geometry, ownership, and jurisdiction manually checked</w:t>
      </w:r>
    </w:p>
    <w:p>
      <w:pPr>
        <w:pStyle w:val="ListBullet"/>
      </w:pPr>
      <w:r>
        <w:t>☐ Zoning/use and plan context reviewed from official sources</w:t>
      </w:r>
    </w:p>
    <w:p>
      <w:pPr>
        <w:pStyle w:val="ListBullet"/>
      </w:pPr>
      <w:r>
        <w:t>☐ Environmental and physical screen complete</w:t>
      </w:r>
    </w:p>
    <w:p>
      <w:pPr>
        <w:pStyle w:val="ListBullet"/>
      </w:pPr>
      <w:r>
        <w:t>☐ Access and infrastructure paths plausible</w:t>
      </w:r>
    </w:p>
    <w:p>
      <w:pPr>
        <w:pStyle w:val="ListBullet"/>
      </w:pPr>
      <w:r>
        <w:t>☐ Owner/contact status known</w:t>
      </w:r>
    </w:p>
    <w:p>
      <w:pPr>
        <w:pStyle w:val="ListBullet"/>
      </w:pPr>
      <w:r>
        <w:t>☐ Open assumptions and confidence visible</w:t>
      </w:r>
    </w:p>
    <w:p>
      <w:pPr>
        <w:pStyle w:val="Heading2"/>
      </w:pPr>
      <w:r>
        <w:t>Before preferred-site approval</w:t>
      </w:r>
    </w:p>
    <w:p>
      <w:pPr>
        <w:pStyle w:val="ListBullet"/>
      </w:pPr>
      <w:r>
        <w:t>☐ Test fit tied to actual boundary</w:t>
      </w:r>
    </w:p>
    <w:p>
      <w:pPr>
        <w:pStyle w:val="ListBullet"/>
      </w:pPr>
      <w:r>
        <w:t>☐ Utility intake and schedule path documented</w:t>
      </w:r>
    </w:p>
    <w:p>
      <w:pPr>
        <w:pStyle w:val="ListBullet"/>
      </w:pPr>
      <w:r>
        <w:t>☐ Entitlement matrix and decision history reviewed</w:t>
      </w:r>
    </w:p>
    <w:p>
      <w:pPr>
        <w:pStyle w:val="ListBullet"/>
      </w:pPr>
      <w:r>
        <w:t>☐ Development budget and schedule include off-site work</w:t>
      </w:r>
    </w:p>
    <w:p>
      <w:pPr>
        <w:pStyle w:val="ListBullet"/>
      </w:pPr>
      <w:r>
        <w:t>☐ Site-control terms support diligence and approvals</w:t>
      </w:r>
    </w:p>
    <w:p>
      <w:pPr>
        <w:pStyle w:val="ListBullet"/>
      </w:pPr>
      <w:r>
        <w:t>☐ Backup site remains viable</w:t>
      </w:r>
    </w:p>
    <w:p>
      <w:pPr>
        <w:pStyle w:val="ListBullet"/>
      </w:pPr>
      <w:r>
        <w:t>☐ Risk register and evidence register current</w:t>
      </w:r>
    </w:p>
    <w:p>
      <w:pPr>
        <w:pStyle w:val="Heading2"/>
      </w:pPr>
      <w:r>
        <w:t>Before capital commitment</w:t>
      </w:r>
    </w:p>
    <w:p>
      <w:pPr>
        <w:pStyle w:val="ListBullet"/>
      </w:pPr>
      <w:r>
        <w:t>☐ Survey/title and exception review complete</w:t>
      </w:r>
    </w:p>
    <w:p>
      <w:pPr>
        <w:pStyle w:val="ListBullet"/>
      </w:pPr>
      <w:r>
        <w:t>☐ Environmental/geotech/civil work complete to required gate</w:t>
      </w:r>
    </w:p>
    <w:p>
      <w:pPr>
        <w:pStyle w:val="ListBullet"/>
      </w:pPr>
      <w:r>
        <w:t>☐ Serviceability evidence meets project standard</w:t>
      </w:r>
    </w:p>
    <w:p>
      <w:pPr>
        <w:pStyle w:val="ListBullet"/>
      </w:pPr>
      <w:r>
        <w:t>☐ Approval path and conditions risk accepted</w:t>
      </w:r>
    </w:p>
    <w:p>
      <w:pPr>
        <w:pStyle w:val="ListBullet"/>
      </w:pPr>
      <w:r>
        <w:t>☐ Commercial terms and termination rights approved</w:t>
      </w:r>
    </w:p>
    <w:p>
      <w:pPr>
        <w:pStyle w:val="ListBullet"/>
      </w:pPr>
      <w:r>
        <w:t>☐ Material unknowns assigned and accepted</w:t>
      </w:r>
    </w:p>
    <w:p>
      <w:pPr>
        <w:pStyle w:val="ListBullet"/>
      </w:pPr>
      <w:r>
        <w:t>☐ Decision record signed and handoff owners established</w:t>
      </w:r>
    </w:p>
    <w:p>
      <w:r>
        <w:br w:type="page"/>
      </w:r>
    </w:p>
    <w:p>
      <w:pPr>
        <w:pStyle w:val="Heading1"/>
      </w:pPr>
      <w:r>
        <w:t>Sources</w:t>
      </w:r>
    </w:p>
    <w:p>
      <w:pPr>
        <w:ind w:left="360" w:hanging="360"/>
      </w:pPr>
      <w:r>
        <w:rPr>
          <w:b/>
          <w:color w:val="1F4D78"/>
        </w:rPr>
        <w:t xml:space="preserve">[S1] </w:t>
      </w:r>
      <w:hyperlink r:id="rId10">
        <w:r>
          <w:rPr>
            <w:color w:val="2E74B5"/>
            <w:u w:val="single"/>
          </w:rPr>
          <w:t>FEMA Flood Maps and National Flood Hazard Layer</w:t>
        </w:r>
      </w:hyperlink>
      <w:r>
        <w:t>. Accessed July 18, 2026.</w:t>
      </w:r>
    </w:p>
    <w:p>
      <w:pPr>
        <w:ind w:left="360" w:hanging="360"/>
      </w:pPr>
      <w:r>
        <w:rPr>
          <w:b/>
          <w:color w:val="1F4D78"/>
        </w:rPr>
        <w:t xml:space="preserve">[S2] </w:t>
      </w:r>
      <w:hyperlink r:id="rId11">
        <w:r>
          <w:rPr>
            <w:color w:val="2E74B5"/>
            <w:u w:val="single"/>
          </w:rPr>
          <w:t>U.S. Fish &amp; Wildlife Service National Wetlands Inventory — Wetlands Data</w:t>
        </w:r>
      </w:hyperlink>
      <w:r>
        <w:t>. Accessed July 18, 2026.</w:t>
      </w:r>
    </w:p>
    <w:p>
      <w:pPr>
        <w:ind w:left="360" w:hanging="360"/>
      </w:pPr>
      <w:r>
        <w:rPr>
          <w:b/>
          <w:color w:val="1F4D78"/>
        </w:rPr>
        <w:t xml:space="preserve">[S3] </w:t>
      </w:r>
      <w:hyperlink r:id="rId12">
        <w:r>
          <w:rPr>
            <w:color w:val="2E74B5"/>
            <w:u w:val="single"/>
          </w:rPr>
          <w:t>USDA NRCS Web Soil Survey / SSURGO</w:t>
        </w:r>
      </w:hyperlink>
      <w:r>
        <w:t>. Accessed July 18, 2026.</w:t>
      </w:r>
    </w:p>
    <w:p>
      <w:pPr>
        <w:ind w:left="360" w:hanging="360"/>
      </w:pPr>
      <w:r>
        <w:rPr>
          <w:b/>
          <w:color w:val="1F4D78"/>
        </w:rPr>
        <w:t xml:space="preserve">[S4] </w:t>
      </w:r>
      <w:hyperlink r:id="rId13">
        <w:r>
          <w:rPr>
            <w:color w:val="2E74B5"/>
            <w:u w:val="single"/>
          </w:rPr>
          <w:t>U.S. Geological Survey 3D Elevation Program</w:t>
        </w:r>
      </w:hyperlink>
      <w:r>
        <w:t>. Accessed July 18, 2026.</w:t>
      </w:r>
    </w:p>
    <w:p>
      <w:pPr>
        <w:ind w:left="360" w:hanging="360"/>
      </w:pPr>
      <w:r>
        <w:rPr>
          <w:b/>
          <w:color w:val="1F4D78"/>
        </w:rPr>
        <w:t xml:space="preserve">[S5] </w:t>
      </w:r>
      <w:hyperlink r:id="rId14">
        <w:r>
          <w:rPr>
            <w:color w:val="2E74B5"/>
            <w:u w:val="single"/>
          </w:rPr>
          <w:t>U.S. EPA Enforcement and Compliance History Online — About the Data</w:t>
        </w:r>
      </w:hyperlink>
      <w:r>
        <w:t>. Accessed July 18, 2026.</w:t>
      </w:r>
    </w:p>
    <w:p>
      <w:pPr>
        <w:ind w:left="360" w:hanging="360"/>
      </w:pPr>
      <w:r>
        <w:rPr>
          <w:b/>
          <w:color w:val="1F4D78"/>
        </w:rPr>
        <w:t xml:space="preserve">[S6] </w:t>
      </w:r>
      <w:hyperlink r:id="rId15">
        <w:r>
          <w:rPr>
            <w:color w:val="2E74B5"/>
            <w:u w:val="single"/>
          </w:rPr>
          <w:t>U.S. Census Bureau TIGER/Line Shapefiles</w:t>
        </w:r>
      </w:hyperlink>
      <w:r>
        <w:t>. Accessed July 18, 2026.</w:t>
      </w:r>
    </w:p>
    <w:p>
      <w:pPr>
        <w:ind w:left="360" w:hanging="360"/>
      </w:pPr>
      <w:r>
        <w:rPr>
          <w:b/>
          <w:color w:val="1F4D78"/>
        </w:rPr>
        <w:t xml:space="preserve">[S7] </w:t>
      </w:r>
      <w:hyperlink r:id="rId16">
        <w:r>
          <w:rPr>
            <w:color w:val="2E74B5"/>
            <w:u w:val="single"/>
          </w:rPr>
          <w:t>U.S. Census Bureau Data API User Guide</w:t>
        </w:r>
      </w:hyperlink>
      <w:r>
        <w:t>. Accessed July 18, 2026.</w:t>
      </w:r>
    </w:p>
    <w:p>
      <w:pPr>
        <w:ind w:left="360" w:hanging="360"/>
      </w:pPr>
      <w:r>
        <w:rPr>
          <w:b/>
          <w:color w:val="1F4D78"/>
        </w:rPr>
        <w:t xml:space="preserve">[S8] </w:t>
      </w:r>
      <w:hyperlink r:id="rId17">
        <w:r>
          <w:rPr>
            <w:color w:val="2E74B5"/>
            <w:u w:val="single"/>
          </w:rPr>
          <w:t>U.S. Bureau of Labor Statistics Quarterly Census of Employment and Wages</w:t>
        </w:r>
      </w:hyperlink>
      <w:r>
        <w:t>. Accessed July 18, 2026.</w:t>
      </w:r>
    </w:p>
    <w:p>
      <w:pPr>
        <w:ind w:left="360" w:hanging="360"/>
      </w:pPr>
      <w:r>
        <w:rPr>
          <w:b/>
          <w:color w:val="1F4D78"/>
        </w:rPr>
        <w:t xml:space="preserve">[S9] </w:t>
      </w:r>
      <w:hyperlink r:id="rId18">
        <w:r>
          <w:rPr>
            <w:color w:val="2E74B5"/>
            <w:u w:val="single"/>
          </w:rPr>
          <w:t>FCC National Broadband Map</w:t>
        </w:r>
      </w:hyperlink>
      <w:r>
        <w:t>. Accessed July 18, 2026.</w:t>
      </w:r>
    </w:p>
    <w:p>
      <w:pPr>
        <w:ind w:left="360" w:hanging="360"/>
      </w:pPr>
      <w:r>
        <w:rPr>
          <w:b/>
          <w:color w:val="1F4D78"/>
        </w:rPr>
        <w:t xml:space="preserve">[S10] </w:t>
      </w:r>
      <w:hyperlink r:id="rId19">
        <w:r>
          <w:rPr>
            <w:color w:val="2E74B5"/>
            <w:u w:val="single"/>
          </w:rPr>
          <w:t>U.S. Energy Information Administration Open Data</w:t>
        </w:r>
      </w:hyperlink>
      <w:r>
        <w:t>. Accessed July 18, 2026.</w:t>
      </w:r>
    </w:p>
    <w:p>
      <w:pPr>
        <w:ind w:left="360" w:hanging="360"/>
      </w:pPr>
      <w:r>
        <w:rPr>
          <w:b/>
          <w:color w:val="1F4D78"/>
        </w:rPr>
        <w:t xml:space="preserve">[S11] </w:t>
      </w:r>
      <w:hyperlink r:id="rId20">
        <w:r>
          <w:rPr>
            <w:color w:val="2E74B5"/>
            <w:u w:val="single"/>
          </w:rPr>
          <w:t>Federal Energy Regulatory Commission — RTOs and ISOs</w:t>
        </w:r>
      </w:hyperlink>
      <w:r>
        <w:t>. Accessed July 18, 2026.</w:t>
      </w:r>
    </w:p>
    <w:p>
      <w:pPr>
        <w:ind w:left="360" w:hanging="360"/>
      </w:pPr>
      <w:r>
        <w:rPr>
          <w:b/>
          <w:color w:val="1F4D78"/>
        </w:rPr>
        <w:t xml:space="preserve">[S12] </w:t>
      </w:r>
      <w:hyperlink r:id="rId21">
        <w:r>
          <w:rPr>
            <w:color w:val="2E74B5"/>
            <w:u w:val="single"/>
          </w:rPr>
          <w:t>Federal Energy Regulatory Commission — Electric Power Markets</w:t>
        </w:r>
      </w:hyperlink>
      <w:r>
        <w:t>. Accessed July 18, 2026.</w:t>
      </w:r>
    </w:p>
    <w:p>
      <w:pPr>
        <w:pStyle w:val="Smallnote"/>
      </w:pPr>
      <w:r>
        <w:t>Local sources vary by jurisdiction. For each project, add the specific assessor, recorder, zoning code/map, adopted plan, meeting record, permitting portal, DOT/road authority, environmental agency, utility, and project-file references to the source register.</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E6A73"/>
        <w:sz w:val="16"/>
      </w:rPr>
      <w:t xml:space="preserve">Site Selection Operating Guide  •  July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720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00" w:line="252" w:lineRule="auto"/>
    </w:pPr>
    <w:rPr>
      <w:rFonts w:ascii="Calibri" w:hAnsi="Calibri"/>
      <w:color w:val="5E6A7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fema.gov/flood-maps/national-flood-hazard-layer" TargetMode="External"/><Relationship Id="rId11" Type="http://schemas.openxmlformats.org/officeDocument/2006/relationships/hyperlink" Target="https://www.fws.gov/program/national-wetlands-inventory/wetlands-data" TargetMode="External"/><Relationship Id="rId12" Type="http://schemas.openxmlformats.org/officeDocument/2006/relationships/hyperlink" Target="https://www.nrcs.usda.gov/resources/data-and-reports/soil-survey-geographic-database-ssurgo" TargetMode="External"/><Relationship Id="rId13" Type="http://schemas.openxmlformats.org/officeDocument/2006/relationships/hyperlink" Target="https://www.usgs.gov/3d-elevation-program/about-3dep-products-services" TargetMode="External"/><Relationship Id="rId14" Type="http://schemas.openxmlformats.org/officeDocument/2006/relationships/hyperlink" Target="https://echo.epa.gov/resources/echo-data/about-the-data" TargetMode="External"/><Relationship Id="rId15" Type="http://schemas.openxmlformats.org/officeDocument/2006/relationships/hyperlink" Target="https://www.census.gov/geographies/mapping-files/time-series/geo/tiger-line-file.html" TargetMode="External"/><Relationship Id="rId16" Type="http://schemas.openxmlformats.org/officeDocument/2006/relationships/hyperlink" Target="https://www.census.gov/data/developers/guidance/api-user-guide.html" TargetMode="External"/><Relationship Id="rId17" Type="http://schemas.openxmlformats.org/officeDocument/2006/relationships/hyperlink" Target="https://www.bls.gov/cew/" TargetMode="External"/><Relationship Id="rId18" Type="http://schemas.openxmlformats.org/officeDocument/2006/relationships/hyperlink" Target="https://broadbandmap.fcc.gov/" TargetMode="External"/><Relationship Id="rId19" Type="http://schemas.openxmlformats.org/officeDocument/2006/relationships/hyperlink" Target="https://www.eia.gov/opendata/" TargetMode="External"/><Relationship Id="rId20" Type="http://schemas.openxmlformats.org/officeDocument/2006/relationships/hyperlink" Target="https://www.ferc.gov/power-sales-and-markets/rtos-and-isos" TargetMode="External"/><Relationship Id="rId21" Type="http://schemas.openxmlformats.org/officeDocument/2006/relationships/hyperlink" Target="https://www.ferc.gov/electric-power-marke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Selection Operating Guide</dc:title>
  <dc:subject>Development site selection process and data sources</dc:subject>
  <dc:creator>OpenAI</dc:creator>
  <cp:keywords>site selection, development, GIS, due diligence, data sources, industrial, data center</cp:keywords>
  <dc:description>generated by python-docx</dc:description>
  <cp:lastModifiedBy/>
  <cp:revision>1</cp:revision>
  <dcterms:created xsi:type="dcterms:W3CDTF">2013-12-23T23:15:00Z</dcterms:created>
  <dcterms:modified xsi:type="dcterms:W3CDTF">2013-12-23T23:15:00Z</dcterms:modified>
  <cp:category/>
</cp:coreProperties>
</file>