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5F"/>
          <w:sz w:val="44"/>
        </w:rPr>
        <w:t>Project Consulting Report</w:t>
      </w:r>
    </w:p>
    <w:p>
      <w:pPr>
        <w:jc w:val="center"/>
      </w:pPr>
      <w:r>
        <w:rPr>
          <w:color w:val="808080"/>
          <w:sz w:val="20"/>
        </w:rPr>
        <w:t>Generated on 2026-06-16 23:48</w:t>
      </w:r>
    </w:p>
    <w:p/>
    <w:p>
      <w:pPr>
        <w:pStyle w:val="Heading1"/>
      </w:pPr>
      <w:r>
        <w:rPr>
          <w:color w:val="1E3A5F"/>
        </w:rPr>
        <w:t>1. Executive Summary</w:t>
      </w:r>
    </w:p>
    <w:p>
      <w:r>
        <w:t>The clinic seeks a cost‑effective digital intake platform to handle increasing patient volumes while avoiding additional nursing hires. A mobile‑first, serverless web application built on Azure will replace paper forms, automate branching questionnaires, and provide non‑diagnostic guidance in English and Spanish. Key architectural choices—React Vite frontend, SurveyJS for client‑side logic, Azure Functions and Cosmos DB for a pay‑as‑you‑go backend, and Azure AD B2C for simple authentication—meet the functional needs, stay within the $15‑20k budget, and deliver the required reliability and low maintenance. The recommendation is to proceed with an MVP that validates the intake flow, language support, and guidance service before scaling to full deployment.</w:t>
      </w:r>
    </w:p>
    <w:p/>
    <w:p>
      <w:pPr>
        <w:pStyle w:val="Heading1"/>
      </w:pPr>
      <w:r>
        <w:rPr>
          <w:color w:val="1E3A5F"/>
        </w:rPr>
        <w:t>2. Background Summary</w:t>
      </w:r>
    </w:p>
    <w:p>
      <w:r>
        <w:t>The clinic currently relies on paper intake forms and repetitive nurse questioning, leading to rising operational costs as patient numbers grow each year. Language barriers and limited patient computer literacy further impede efficient data capture, while the majority of patients access services via mobile devices, making the existing desktop‑centric processes unsuitable.</w:t>
      </w:r>
    </w:p>
    <w:p/>
    <w:p>
      <w:pPr>
        <w:pStyle w:val="Heading1"/>
      </w:pPr>
      <w:r>
        <w:rPr>
          <w:color w:val="1E3A5F"/>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center"/>
            </w:pPr>
            <w:r>
              <w:rPr>
                <w:b/>
                <w:color w:val="FFFFFF"/>
                <w:sz w:val="20"/>
              </w:rPr>
              <w:t>Problem / Need</w:t>
            </w:r>
          </w:p>
        </w:tc>
        <w:tc>
          <w:tcPr>
            <w:tcW w:type="dxa" w:w="5472"/>
            <w:shd w:val="clear" w:color="auto" w:fill="1E3A5F"/>
          </w:tcPr>
          <w:p>
            <w:pPr>
              <w:jc w:val="center"/>
            </w:pPr>
            <w:r>
              <w:rPr>
                <w:b/>
                <w:color w:val="FFFFFF"/>
                <w:sz w:val="20"/>
              </w:rPr>
              <w:t>Business Impact</w:t>
            </w:r>
          </w:p>
        </w:tc>
      </w:tr>
      <w:tr>
        <w:tc>
          <w:tcPr>
            <w:tcW w:type="dxa" w:w="4032"/>
          </w:tcPr>
          <w:p>
            <w:r>
              <w:t>Increasing patient volume each year leads to rising costs and prevents hiring additional nurses.</w:t>
            </w:r>
          </w:p>
        </w:tc>
        <w:tc>
          <w:tcPr>
            <w:tcW w:type="dxa" w:w="5472"/>
          </w:tcPr>
          <w:p>
            <w:r>
              <w:t>Higher labor expenses and potential service bottlenecks as demand outpaces staffing.</w:t>
            </w:r>
          </w:p>
        </w:tc>
      </w:tr>
      <w:tr>
        <w:tc>
          <w:tcPr>
            <w:tcW w:type="dxa" w:w="4032"/>
          </w:tcPr>
          <w:p>
            <w:r>
              <w:t>Nurses spend excessive time repeating the same intake questions for each patient.</w:t>
            </w:r>
          </w:p>
        </w:tc>
        <w:tc>
          <w:tcPr>
            <w:tcW w:type="dxa" w:w="5472"/>
          </w:tcPr>
          <w:p>
            <w:r>
              <w:t>Reduced nurse productivity and increased operational costs.</w:t>
            </w:r>
          </w:p>
        </w:tc>
      </w:tr>
      <w:tr>
        <w:tc>
          <w:tcPr>
            <w:tcW w:type="dxa" w:w="4032"/>
          </w:tcPr>
          <w:p>
            <w:r>
              <w:t>Patients often self‑diagnose using Google, causing confusion and liability concerns.</w:t>
            </w:r>
          </w:p>
        </w:tc>
        <w:tc>
          <w:tcPr>
            <w:tcW w:type="dxa" w:w="5472"/>
          </w:tcPr>
          <w:p>
            <w:r>
              <w:t>Elevated risk of misinformation and potential legal exposure.</w:t>
            </w:r>
          </w:p>
        </w:tc>
      </w:tr>
      <w:tr>
        <w:tc>
          <w:tcPr>
            <w:tcW w:type="dxa" w:w="4032"/>
          </w:tcPr>
          <w:p>
            <w:r>
              <w:t>Half of the patients do not need immediate care, yet they consume nurse time with routine questions.</w:t>
            </w:r>
          </w:p>
        </w:tc>
        <w:tc>
          <w:tcPr>
            <w:tcW w:type="dxa" w:w="5472"/>
          </w:tcPr>
          <w:p>
            <w:r>
              <w:t>Inefficient allocation of clinical resources and longer wait times.</w:t>
            </w:r>
          </w:p>
        </w:tc>
      </w:tr>
      <w:tr>
        <w:tc>
          <w:tcPr>
            <w:tcW w:type="dxa" w:w="4032"/>
          </w:tcPr>
          <w:p>
            <w:r>
              <w:t>Language barrier: 20-25% of patients prefer Spanish, creating communication challenges.</w:t>
            </w:r>
          </w:p>
        </w:tc>
        <w:tc>
          <w:tcPr>
            <w:tcW w:type="dxa" w:w="5472"/>
          </w:tcPr>
          <w:p>
            <w:r>
              <w:t>Decreased patient satisfaction and higher chance of miscommunication.</w:t>
            </w:r>
          </w:p>
        </w:tc>
      </w:tr>
      <w:tr>
        <w:tc>
          <w:tcPr>
            <w:tcW w:type="dxa" w:w="4032"/>
          </w:tcPr>
          <w:p>
            <w:r>
              <w:t>Older patients have low computer literacy, making digital intake difficult.</w:t>
            </w:r>
          </w:p>
        </w:tc>
        <w:tc>
          <w:tcPr>
            <w:tcW w:type="dxa" w:w="5472"/>
          </w:tcPr>
          <w:p>
            <w:r>
              <w:t>Potential exclusion of a demographic segment, leading to continued paper reliance.</w:t>
            </w:r>
          </w:p>
        </w:tc>
      </w:tr>
      <w:tr>
        <w:tc>
          <w:tcPr>
            <w:tcW w:type="dxa" w:w="4032"/>
          </w:tcPr>
          <w:p>
            <w:r>
              <w:t>Most patients use mobile devices, so desktop‑centric interfaces are unsuitable.</w:t>
            </w:r>
          </w:p>
        </w:tc>
        <w:tc>
          <w:tcPr>
            <w:tcW w:type="dxa" w:w="5472"/>
          </w:tcPr>
          <w:p>
            <w:r>
              <w:t>Low adoption of digital forms, maintaining inefficient workflows.</w:t>
            </w:r>
          </w:p>
        </w:tc>
      </w:tr>
      <w:tr>
        <w:tc>
          <w:tcPr>
            <w:tcW w:type="dxa" w:w="4032"/>
          </w:tcPr>
          <w:p>
            <w:r>
              <w:t>The clinic still uses paper forms in many locations, leading to inefficiency and embarrassment.</w:t>
            </w:r>
          </w:p>
        </w:tc>
        <w:tc>
          <w:tcPr>
            <w:tcW w:type="dxa" w:w="5472"/>
          </w:tcPr>
          <w:p>
            <w:r>
              <w:t>Manual handling increases error rates and operational overhead.</w:t>
            </w:r>
          </w:p>
        </w:tc>
      </w:tr>
      <w:tr>
        <w:tc>
          <w:tcPr>
            <w:tcW w:type="dxa" w:w="4032"/>
          </w:tcPr>
          <w:p>
            <w:r>
              <w:t>Vendors promise AI capabilities without clear evidence that nurse intake time will be reduced.</w:t>
            </w:r>
          </w:p>
        </w:tc>
        <w:tc>
          <w:tcPr>
            <w:tcW w:type="dxa" w:w="5472"/>
          </w:tcPr>
          <w:p>
            <w:r>
              <w:t>Risk of investing in technology that does not deliver measurable efficiency gains.</w:t>
            </w:r>
          </w:p>
        </w:tc>
      </w:tr>
      <w:tr>
        <w:tc>
          <w:tcPr>
            <w:tcW w:type="dxa" w:w="4032"/>
          </w:tcPr>
          <w:p>
            <w:r>
              <w:t>Liability risk from software providing diagnoses is unacceptable.</w:t>
            </w:r>
          </w:p>
        </w:tc>
        <w:tc>
          <w:tcPr>
            <w:tcW w:type="dxa" w:w="5472"/>
          </w:tcPr>
          <w:p>
            <w:r>
              <w:t>Potential legal penalties and damage to clinic reputation.</w:t>
            </w:r>
          </w:p>
        </w:tc>
      </w:tr>
    </w:tbl>
    <w:p/>
    <w:p>
      <w:pPr>
        <w:pStyle w:val="Heading1"/>
      </w:pPr>
      <w:r>
        <w:rPr>
          <w:color w:val="1E3A5F"/>
        </w:rPr>
        <w:t>4. Requirements Analysis</w:t>
      </w:r>
    </w:p>
    <w:p>
      <w:pPr>
        <w:pStyle w:val="Heading2"/>
      </w:pPr>
      <w:r>
        <w:rPr>
          <w:color w:val="1E3A5F"/>
        </w:rPr>
        <w:t>Functional Requirements</w:t>
      </w:r>
    </w:p>
    <w:tbl>
      <w:tblPr>
        <w:tblStyle w:val="TableGrid"/>
        <w:tblW w:type="auto" w:w="0"/>
        <w:tblLook w:firstColumn="1" w:firstRow="1" w:lastColumn="0" w:lastRow="0" w:noHBand="0" w:noVBand="1" w:val="04A0"/>
      </w:tblPr>
      <w:tblGrid>
        <w:gridCol w:w="4320"/>
        <w:gridCol w:w="4320"/>
      </w:tblGrid>
      <w:tr>
        <w:tc>
          <w:tcPr>
            <w:tcW w:type="dxa" w:w="1440"/>
            <w:shd w:val="clear" w:color="auto" w:fill="1E3A5F"/>
          </w:tcPr>
          <w:p>
            <w:pPr>
              <w:jc w:val="center"/>
            </w:pPr>
            <w:r>
              <w:rPr>
                <w:b/>
                <w:color w:val="FFFFFF"/>
                <w:sz w:val="20"/>
              </w:rPr>
              <w:t>ID</w:t>
            </w:r>
          </w:p>
        </w:tc>
        <w:tc>
          <w:tcPr>
            <w:tcW w:type="dxa" w:w="8064"/>
            <w:shd w:val="clear" w:color="auto" w:fill="1E3A5F"/>
          </w:tcPr>
          <w:p>
            <w:pPr>
              <w:jc w:val="center"/>
            </w:pPr>
            <w:r>
              <w:rPr>
                <w:b/>
                <w:color w:val="FFFFFF"/>
                <w:sz w:val="20"/>
              </w:rPr>
              <w:t>Requirement</w:t>
            </w:r>
          </w:p>
        </w:tc>
      </w:tr>
      <w:tr>
        <w:tc>
          <w:tcPr>
            <w:tcW w:type="dxa" w:w="1440"/>
          </w:tcPr>
          <w:p>
            <w:r>
              <w:t>FR-001</w:t>
            </w:r>
          </w:p>
        </w:tc>
        <w:tc>
          <w:tcPr>
            <w:tcW w:type="dxa" w:w="8064"/>
          </w:tcPr>
          <w:p>
            <w:r>
              <w:t>The system must automate patient intake questionnaires with branching logic to reduce nurse time.</w:t>
            </w:r>
          </w:p>
        </w:tc>
      </w:tr>
      <w:tr>
        <w:tc>
          <w:tcPr>
            <w:tcW w:type="dxa" w:w="1440"/>
          </w:tcPr>
          <w:p>
            <w:r>
              <w:t>FR-002</w:t>
            </w:r>
          </w:p>
        </w:tc>
        <w:tc>
          <w:tcPr>
            <w:tcW w:type="dxa" w:w="8064"/>
          </w:tcPr>
          <w:p>
            <w:r>
              <w:t>It should ask standard questions (age, symptoms, duration, pain level, medical history, medications, family and travel history) and dynamically follow up based on answers.</w:t>
            </w:r>
          </w:p>
        </w:tc>
      </w:tr>
      <w:tr>
        <w:tc>
          <w:tcPr>
            <w:tcW w:type="dxa" w:w="1440"/>
          </w:tcPr>
          <w:p>
            <w:r>
              <w:t>FR-003</w:t>
            </w:r>
          </w:p>
        </w:tc>
        <w:tc>
          <w:tcPr>
            <w:tcW w:type="dxa" w:w="8064"/>
          </w:tcPr>
          <w:p>
            <w:r>
              <w:t>The solution must provide guidance and suggestions only, explicitly avoiding medical diagnosis.</w:t>
            </w:r>
          </w:p>
        </w:tc>
      </w:tr>
      <w:tr>
        <w:tc>
          <w:tcPr>
            <w:tcW w:type="dxa" w:w="1440"/>
          </w:tcPr>
          <w:p>
            <w:r>
              <w:t>FR-004</w:t>
            </w:r>
          </w:p>
        </w:tc>
        <w:tc>
          <w:tcPr>
            <w:tcW w:type="dxa" w:w="8064"/>
          </w:tcPr>
          <w:p>
            <w:r>
              <w:t>It must support Spanish language for roughly 20-25% of patients.</w:t>
            </w:r>
          </w:p>
        </w:tc>
      </w:tr>
      <w:tr>
        <w:tc>
          <w:tcPr>
            <w:tcW w:type="dxa" w:w="1440"/>
          </w:tcPr>
          <w:p>
            <w:r>
              <w:t>FR-005</w:t>
            </w:r>
          </w:p>
        </w:tc>
        <w:tc>
          <w:tcPr>
            <w:tcW w:type="dxa" w:w="8064"/>
          </w:tcPr>
          <w:p>
            <w:r>
              <w:t>The interface must be mobile-friendly, optimized for phones rather than desktops.</w:t>
            </w:r>
          </w:p>
        </w:tc>
      </w:tr>
      <w:tr>
        <w:tc>
          <w:tcPr>
            <w:tcW w:type="dxa" w:w="1440"/>
          </w:tcPr>
          <w:p>
            <w:r>
              <w:t>FR-006</w:t>
            </w:r>
          </w:p>
        </w:tc>
        <w:tc>
          <w:tcPr>
            <w:tcW w:type="dxa" w:w="8064"/>
          </w:tcPr>
          <w:p>
            <w:r>
              <w:t>It should accommodate users with limited computer skills, offering a simple and intuitive experience.</w:t>
            </w:r>
          </w:p>
        </w:tc>
      </w:tr>
      <w:tr>
        <w:tc>
          <w:tcPr>
            <w:tcW w:type="dxa" w:w="1440"/>
          </w:tcPr>
          <w:p>
            <w:r>
              <w:t>FR-007</w:t>
            </w:r>
          </w:p>
        </w:tc>
        <w:tc>
          <w:tcPr>
            <w:tcW w:type="dxa" w:w="8064"/>
          </w:tcPr>
          <w:p>
            <w:r>
              <w:t>The solution should replace existing paper forms with electronic intake.</w:t>
            </w:r>
          </w:p>
        </w:tc>
      </w:tr>
      <w:tr>
        <w:tc>
          <w:tcPr>
            <w:tcW w:type="dxa" w:w="1440"/>
          </w:tcPr>
          <w:p>
            <w:r>
              <w:t>FR-008</w:t>
            </w:r>
          </w:p>
        </w:tc>
        <w:tc>
          <w:tcPr>
            <w:tcW w:type="dxa" w:w="8064"/>
          </w:tcPr>
          <w:p>
            <w:r>
              <w:t>The system must operate within a budget of approximately $15,000-$20,000.</w:t>
            </w:r>
          </w:p>
        </w:tc>
      </w:tr>
      <w:tr>
        <w:tc>
          <w:tcPr>
            <w:tcW w:type="dxa" w:w="1440"/>
          </w:tcPr>
          <w:p>
            <w:r>
              <w:t>FR-009</w:t>
            </w:r>
          </w:p>
        </w:tc>
        <w:tc>
          <w:tcPr>
            <w:tcW w:type="dxa" w:w="8064"/>
          </w:tcPr>
          <w:p>
            <w:r>
              <w:t>It must be reliable and low-maintenance, akin to a “Toyota” rather than a high-end “Ferrari”.</w:t>
            </w:r>
          </w:p>
        </w:tc>
      </w:tr>
      <w:tr>
        <w:tc>
          <w:tcPr>
            <w:tcW w:type="dxa" w:w="1440"/>
          </w:tcPr>
          <w:p>
            <w:r>
              <w:t>FR-010</w:t>
            </w:r>
          </w:p>
        </w:tc>
        <w:tc>
          <w:tcPr>
            <w:tcW w:type="dxa" w:w="8064"/>
          </w:tcPr>
          <w:p>
            <w:r>
              <w:t>Performance should handle daily patient volumes of around 330-350 patients.</w:t>
            </w:r>
          </w:p>
        </w:tc>
      </w:tr>
    </w:tbl>
    <w:p/>
    <w:p>
      <w:pPr>
        <w:pStyle w:val="Heading2"/>
      </w:pPr>
      <w:r>
        <w:rPr>
          <w:color w:val="1E3A5F"/>
        </w:rPr>
        <w:t>Non-Functional Requirements</w:t>
      </w:r>
    </w:p>
    <w:tbl>
      <w:tblPr>
        <w:tblStyle w:val="TableGrid"/>
        <w:tblW w:type="auto" w:w="0"/>
        <w:tblLook w:firstColumn="1" w:firstRow="1" w:lastColumn="0" w:lastRow="0" w:noHBand="0" w:noVBand="1" w:val="04A0"/>
      </w:tblPr>
      <w:tblGrid>
        <w:gridCol w:w="4320"/>
        <w:gridCol w:w="4320"/>
      </w:tblGrid>
      <w:tr>
        <w:tc>
          <w:tcPr>
            <w:tcW w:type="dxa" w:w="2592"/>
            <w:shd w:val="clear" w:color="auto" w:fill="1E3A5F"/>
          </w:tcPr>
          <w:p>
            <w:pPr>
              <w:jc w:val="center"/>
            </w:pPr>
            <w:r>
              <w:rPr>
                <w:b/>
                <w:color w:val="FFFFFF"/>
                <w:sz w:val="20"/>
              </w:rPr>
              <w:t>Category</w:t>
            </w:r>
          </w:p>
        </w:tc>
        <w:tc>
          <w:tcPr>
            <w:tcW w:type="dxa" w:w="6912"/>
            <w:shd w:val="clear" w:color="auto" w:fill="1E3A5F"/>
          </w:tcPr>
          <w:p>
            <w:pPr>
              <w:jc w:val="center"/>
            </w:pPr>
            <w:r>
              <w:rPr>
                <w:b/>
                <w:color w:val="FFFFFF"/>
                <w:sz w:val="20"/>
              </w:rPr>
              <w:t>Requirement</w:t>
            </w:r>
          </w:p>
        </w:tc>
      </w:tr>
      <w:tr>
        <w:tc>
          <w:tcPr>
            <w:tcW w:type="dxa" w:w="2592"/>
          </w:tcPr>
          <w:p>
            <w:r>
              <w:t>Performance</w:t>
            </w:r>
          </w:p>
        </w:tc>
        <w:tc>
          <w:tcPr>
            <w:tcW w:type="dxa" w:w="6912"/>
          </w:tcPr>
          <w:p>
            <w:r>
              <w:t>The application must respond to user actions within 2 seconds for 95% of interactions under a load of 350 concurrent daily sessions.</w:t>
            </w:r>
          </w:p>
        </w:tc>
      </w:tr>
      <w:tr>
        <w:tc>
          <w:tcPr>
            <w:tcW w:type="dxa" w:w="2592"/>
          </w:tcPr>
          <w:p>
            <w:r>
              <w:t>Scalability</w:t>
            </w:r>
          </w:p>
        </w:tc>
        <w:tc>
          <w:tcPr>
            <w:tcW w:type="dxa" w:w="6912"/>
          </w:tcPr>
          <w:p>
            <w:r>
              <w:t>Serverless components must automatically scale to handle peak daily volumes without manual intervention.</w:t>
            </w:r>
          </w:p>
        </w:tc>
      </w:tr>
      <w:tr>
        <w:tc>
          <w:tcPr>
            <w:tcW w:type="dxa" w:w="2592"/>
          </w:tcPr>
          <w:p>
            <w:r>
              <w:t>Security</w:t>
            </w:r>
          </w:p>
        </w:tc>
        <w:tc>
          <w:tcPr>
            <w:tcW w:type="dxa" w:w="6912"/>
          </w:tcPr>
          <w:p>
            <w:r>
              <w:t>All patient data must be encrypted at rest and in transit, and the solution must comply with HIPAA through Azure services covered by a BAA.</w:t>
            </w:r>
          </w:p>
        </w:tc>
      </w:tr>
      <w:tr>
        <w:tc>
          <w:tcPr>
            <w:tcW w:type="dxa" w:w="2592"/>
          </w:tcPr>
          <w:p>
            <w:r>
              <w:t>Availability</w:t>
            </w:r>
          </w:p>
        </w:tc>
        <w:tc>
          <w:tcPr>
            <w:tcW w:type="dxa" w:w="6912"/>
          </w:tcPr>
          <w:p>
            <w:r>
              <w:t>The system should achieve 99.5% monthly uptime, leveraging Azure’s built‑in redundancy.</w:t>
            </w:r>
          </w:p>
        </w:tc>
      </w:tr>
      <w:tr>
        <w:tc>
          <w:tcPr>
            <w:tcW w:type="dxa" w:w="2592"/>
          </w:tcPr>
          <w:p>
            <w:r>
              <w:t>Maintainability</w:t>
            </w:r>
          </w:p>
        </w:tc>
        <w:tc>
          <w:tcPr>
            <w:tcW w:type="dxa" w:w="6912"/>
          </w:tcPr>
          <w:p>
            <w:r>
              <w:t>Deployments must be automated via CI/CD pipelines to ensure low operational overhead.</w:t>
            </w:r>
          </w:p>
        </w:tc>
      </w:tr>
    </w:tbl>
    <w:p/>
    <w:p>
      <w:pPr>
        <w:pStyle w:val="Heading2"/>
      </w:pPr>
      <w:r>
        <w:rPr>
          <w:color w:val="1E3A5F"/>
        </w:rPr>
        <w:t>Constraints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Constraint</w:t>
            </w:r>
          </w:p>
        </w:tc>
      </w:tr>
      <w:tr>
        <w:tc>
          <w:tcPr>
            <w:tcW w:type="dxa" w:w="8640"/>
          </w:tcPr>
          <w:p>
            <w:r>
              <w:t>Budget is limited to roughly $15,000 to $20,000.</w:t>
            </w:r>
          </w:p>
        </w:tc>
      </w:tr>
      <w:tr>
        <w:tc>
          <w:tcPr>
            <w:tcW w:type="dxa" w:w="8640"/>
          </w:tcPr>
          <w:p>
            <w:r>
              <w:t>The clinic is a single location, not a large hospital network, limiting scale.</w:t>
            </w:r>
          </w:p>
        </w:tc>
      </w:tr>
      <w:tr>
        <w:tc>
          <w:tcPr>
            <w:tcW w:type="dxa" w:w="8640"/>
          </w:tcPr>
          <w:p>
            <w:r>
              <w:t>Solution must not provide diagnostic conclusions to avoid liability.</w:t>
            </w:r>
          </w:p>
        </w:tc>
      </w:tr>
      <w:tr>
        <w:tc>
          <w:tcPr>
            <w:tcW w:type="dxa" w:w="8640"/>
          </w:tcPr>
          <w:p>
            <w:r>
              <w:t>Must work on mobile devices as most patients will not use desktops.</w:t>
            </w:r>
          </w:p>
        </w:tc>
      </w:tr>
      <w:tr>
        <w:tc>
          <w:tcPr>
            <w:tcW w:type="dxa" w:w="8640"/>
          </w:tcPr>
          <w:p>
            <w:r>
              <w:t>Must support Spanish language but not necessarily all languages.</w:t>
            </w:r>
          </w:p>
        </w:tc>
      </w:tr>
      <w:tr>
        <w:tc>
          <w:tcPr>
            <w:tcW w:type="dxa" w:w="8640"/>
          </w:tcPr>
          <w:p>
            <w:r>
              <w:t>Implementation must integrate with existing paper-based processes during transition.</w:t>
            </w:r>
          </w:p>
        </w:tc>
      </w:tr>
    </w:tbl>
    <w:p/>
    <w:p>
      <w:pPr>
        <w:pStyle w:val="Heading2"/>
      </w:pPr>
      <w:r>
        <w:rPr>
          <w:color w:val="1E3A5F"/>
        </w:rPr>
        <w:t>Business Goals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Goal</w:t>
            </w:r>
          </w:p>
        </w:tc>
      </w:tr>
      <w:tr>
        <w:tc>
          <w:tcPr>
            <w:tcW w:type="dxa" w:w="8640"/>
          </w:tcPr>
          <w:p>
            <w:r>
              <w:t>Avoid hiring additional nurses despite growing patient volume.</w:t>
            </w:r>
          </w:p>
        </w:tc>
      </w:tr>
      <w:tr>
        <w:tc>
          <w:tcPr>
            <w:tcW w:type="dxa" w:w="8640"/>
          </w:tcPr>
          <w:p>
            <w:r>
              <w:t>Reduce nurse intake time and eliminate repetitive questioning.</w:t>
            </w:r>
          </w:p>
        </w:tc>
      </w:tr>
      <w:tr>
        <w:tc>
          <w:tcPr>
            <w:tcW w:type="dxa" w:w="8640"/>
          </w:tcPr>
          <w:p>
            <w:r>
              <w:t>Minimize costs while improving patient intake efficiency.</w:t>
            </w:r>
          </w:p>
        </w:tc>
      </w:tr>
      <w:tr>
        <w:tc>
          <w:tcPr>
            <w:tcW w:type="dxa" w:w="8640"/>
          </w:tcPr>
          <w:p>
            <w:r>
              <w:t>Provide patient guidance without delivering diagnoses to limit liability.</w:t>
            </w:r>
          </w:p>
        </w:tc>
      </w:tr>
      <w:tr>
        <w:tc>
          <w:tcPr>
            <w:tcW w:type="dxa" w:w="8640"/>
          </w:tcPr>
          <w:p>
            <w:r>
              <w:t>Offer multilingual support to improve patient experience for Spanish-speaking users.</w:t>
            </w:r>
          </w:p>
        </w:tc>
      </w:tr>
      <w:tr>
        <w:tc>
          <w:tcPr>
            <w:tcW w:type="dxa" w:w="8640"/>
          </w:tcPr>
          <w:p>
            <w:r>
              <w:t>Transition from paper forms to a modern digital system.</w:t>
            </w:r>
          </w:p>
        </w:tc>
      </w:tr>
    </w:tbl>
    <w:p/>
    <w:p>
      <w:pPr>
        <w:pStyle w:val="Heading2"/>
      </w:pPr>
      <w:r>
        <w:rPr>
          <w:color w:val="1E3A5F"/>
        </w:rPr>
        <w:t>Technology Context</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Technology Context</w:t>
            </w:r>
          </w:p>
        </w:tc>
      </w:tr>
      <w:tr>
        <w:tc>
          <w:tcPr>
            <w:tcW w:type="dxa" w:w="8640"/>
          </w:tcPr>
          <w:p>
            <w:r>
              <w:t>Preferred Cloud: Azure</w:t>
            </w:r>
          </w:p>
        </w:tc>
      </w:tr>
      <w:tr>
        <w:tc>
          <w:tcPr>
            <w:tcW w:type="dxa" w:w="8640"/>
          </w:tcPr>
          <w:p>
            <w:r>
              <w:t>Existing CRM: Salesforce</w:t>
            </w:r>
          </w:p>
        </w:tc>
      </w:tr>
    </w:tbl>
    <w:p/>
    <w:p>
      <w:pPr>
        <w:pStyle w:val="Heading1"/>
      </w:pPr>
      <w:r>
        <w:rPr>
          <w:color w:val="1E3A5F"/>
        </w:rPr>
        <w:t>5. Assumptions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Assumption</w:t>
            </w:r>
          </w:p>
        </w:tc>
      </w:tr>
      <w:tr>
        <w:tc>
          <w:tcPr>
            <w:tcW w:type="dxa" w:w="8640"/>
          </w:tcPr>
          <w:p>
            <w:r>
              <w:t>Azure subscription is available and provisioned.</w:t>
            </w:r>
          </w:p>
        </w:tc>
      </w:tr>
      <w:tr>
        <w:tc>
          <w:tcPr>
            <w:tcW w:type="dxa" w:w="8640"/>
          </w:tcPr>
          <w:p>
            <w:r>
              <w:t>Client will provide API credentials for third-party integrations.</w:t>
            </w:r>
          </w:p>
        </w:tc>
      </w:tr>
      <w:tr>
        <w:tc>
          <w:tcPr>
            <w:tcW w:type="dxa" w:w="8640"/>
          </w:tcPr>
          <w:p>
            <w:r>
              <w:t>Existing infrastructure remains unchanged during the POC phase.</w:t>
            </w:r>
          </w:p>
        </w:tc>
      </w:tr>
    </w:tbl>
    <w:p/>
    <w:p>
      <w:pPr>
        <w:pStyle w:val="Heading1"/>
      </w:pPr>
      <w:r>
        <w:rPr>
          <w:color w:val="1E3A5F"/>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E3A5F"/>
          </w:tcPr>
          <w:p>
            <w:pPr>
              <w:jc w:val="center"/>
            </w:pPr>
            <w:r>
              <w:rPr>
                <w:b/>
                <w:color w:val="FFFFFF"/>
                <w:sz w:val="20"/>
              </w:rPr>
              <w:t>Module</w:t>
            </w:r>
          </w:p>
        </w:tc>
        <w:tc>
          <w:tcPr>
            <w:tcW w:type="dxa" w:w="4032"/>
            <w:shd w:val="clear" w:color="auto" w:fill="1E3A5F"/>
          </w:tcPr>
          <w:p>
            <w:pPr>
              <w:jc w:val="center"/>
            </w:pPr>
            <w:r>
              <w:rPr>
                <w:b/>
                <w:color w:val="FFFFFF"/>
                <w:sz w:val="20"/>
              </w:rPr>
              <w:t>Feature / Functionality</w:t>
            </w:r>
          </w:p>
        </w:tc>
        <w:tc>
          <w:tcPr>
            <w:tcW w:type="dxa" w:w="3312"/>
            <w:shd w:val="clear" w:color="auto" w:fill="1E3A5F"/>
          </w:tcPr>
          <w:p>
            <w:pPr>
              <w:jc w:val="center"/>
            </w:pPr>
            <w:r>
              <w:rPr>
                <w:b/>
                <w:color w:val="FFFFFF"/>
                <w:sz w:val="20"/>
              </w:rPr>
              <w:t>Technologies Used</w:t>
            </w:r>
          </w:p>
        </w:tc>
      </w:tr>
      <w:tr>
        <w:tc>
          <w:tcPr>
            <w:tcW w:type="dxa" w:w="2160"/>
          </w:tcPr>
          <w:p>
            <w:r>
              <w:t>Frontend</w:t>
            </w:r>
          </w:p>
        </w:tc>
        <w:tc>
          <w:tcPr>
            <w:tcW w:type="dxa" w:w="4032"/>
          </w:tcPr>
          <w:p>
            <w:r>
              <w:t>Responsive mobile SPA delivering questionnaire UI and login flow.</w:t>
            </w:r>
          </w:p>
        </w:tc>
        <w:tc>
          <w:tcPr>
            <w:tcW w:type="dxa" w:w="3312"/>
          </w:tcPr>
          <w:p>
            <w:r>
              <w:t>React 18, Vite, Material‑UI</w:t>
            </w:r>
          </w:p>
        </w:tc>
      </w:tr>
      <w:tr>
        <w:tc>
          <w:tcPr>
            <w:tcW w:type="dxa" w:w="2160"/>
          </w:tcPr>
          <w:p>
            <w:r>
              <w:t>Questionnaire Engine</w:t>
            </w:r>
          </w:p>
        </w:tc>
        <w:tc>
          <w:tcPr>
            <w:tcW w:type="dxa" w:w="4032"/>
          </w:tcPr>
          <w:p>
            <w:r>
              <w:t>Client‑side branching logic, multilingual text handling.</w:t>
            </w:r>
          </w:p>
        </w:tc>
        <w:tc>
          <w:tcPr>
            <w:tcW w:type="dxa" w:w="3312"/>
          </w:tcPr>
          <w:p>
            <w:r>
              <w:t>SurveyJS v2</w:t>
            </w:r>
          </w:p>
        </w:tc>
      </w:tr>
      <w:tr>
        <w:tc>
          <w:tcPr>
            <w:tcW w:type="dxa" w:w="2160"/>
          </w:tcPr>
          <w:p>
            <w:r>
              <w:t>Backend API</w:t>
            </w:r>
          </w:p>
        </w:tc>
        <w:tc>
          <w:tcPr>
            <w:tcW w:type="dxa" w:w="4032"/>
          </w:tcPr>
          <w:p>
            <w:r>
              <w:t>Serverless HTTP endpoints for saving responses, fetching guidance, and admin tasks.</w:t>
            </w:r>
          </w:p>
        </w:tc>
        <w:tc>
          <w:tcPr>
            <w:tcW w:type="dxa" w:w="3312"/>
          </w:tcPr>
          <w:p>
            <w:r>
              <w:t>Azure Functions (Node.js 18)</w:t>
            </w:r>
          </w:p>
        </w:tc>
      </w:tr>
      <w:tr>
        <w:tc>
          <w:tcPr>
            <w:tcW w:type="dxa" w:w="2160"/>
          </w:tcPr>
          <w:p>
            <w:r>
              <w:t>Database</w:t>
            </w:r>
          </w:p>
        </w:tc>
        <w:tc>
          <w:tcPr>
            <w:tcW w:type="dxa" w:w="4032"/>
          </w:tcPr>
          <w:p>
            <w:r>
              <w:t>Document store for questionnaire responses and audit logs.</w:t>
            </w:r>
          </w:p>
        </w:tc>
        <w:tc>
          <w:tcPr>
            <w:tcW w:type="dxa" w:w="3312"/>
          </w:tcPr>
          <w:p>
            <w:r>
              <w:t>Azure Cosmos DB (Core SQL API)</w:t>
            </w:r>
          </w:p>
        </w:tc>
      </w:tr>
      <w:tr>
        <w:tc>
          <w:tcPr>
            <w:tcW w:type="dxa" w:w="2160"/>
          </w:tcPr>
          <w:p>
            <w:r>
              <w:t>Hosting</w:t>
            </w:r>
          </w:p>
        </w:tc>
        <w:tc>
          <w:tcPr>
            <w:tcW w:type="dxa" w:w="4032"/>
          </w:tcPr>
          <w:p>
            <w:r>
              <w:t>Static web hosting for the SPA with automatic CI/CD integration.</w:t>
            </w:r>
          </w:p>
        </w:tc>
        <w:tc>
          <w:tcPr>
            <w:tcW w:type="dxa" w:w="3312"/>
          </w:tcPr>
          <w:p>
            <w:r>
              <w:t>Azure Static Web Apps</w:t>
            </w:r>
          </w:p>
        </w:tc>
      </w:tr>
      <w:tr>
        <w:tc>
          <w:tcPr>
            <w:tcW w:type="dxa" w:w="2160"/>
          </w:tcPr>
          <w:p>
            <w:r>
              <w:t>Authentication</w:t>
            </w:r>
          </w:p>
        </w:tc>
        <w:tc>
          <w:tcPr>
            <w:tcW w:type="dxa" w:w="4032"/>
          </w:tcPr>
          <w:p>
            <w:r>
              <w:t>User sign‑in, optional social/anonymous access, token issuance.</w:t>
            </w:r>
          </w:p>
        </w:tc>
        <w:tc>
          <w:tcPr>
            <w:tcW w:type="dxa" w:w="3312"/>
          </w:tcPr>
          <w:p>
            <w:r>
              <w:t>Azure AD B2C</w:t>
            </w:r>
          </w:p>
        </w:tc>
      </w:tr>
      <w:tr>
        <w:tc>
          <w:tcPr>
            <w:tcW w:type="dxa" w:w="2160"/>
          </w:tcPr>
          <w:p>
            <w:r>
              <w:t>i18n</w:t>
            </w:r>
          </w:p>
        </w:tc>
        <w:tc>
          <w:tcPr>
            <w:tcW w:type="dxa" w:w="4032"/>
          </w:tcPr>
          <w:p>
            <w:r>
              <w:t>Language resource bundles for English and Spanish UI strings.</w:t>
            </w:r>
          </w:p>
        </w:tc>
        <w:tc>
          <w:tcPr>
            <w:tcW w:type="dxa" w:w="3312"/>
          </w:tcPr>
          <w:p>
            <w:r>
              <w:t>react‑i18next (v13)</w:t>
            </w:r>
          </w:p>
        </w:tc>
      </w:tr>
      <w:tr>
        <w:tc>
          <w:tcPr>
            <w:tcW w:type="dxa" w:w="2160"/>
          </w:tcPr>
          <w:p>
            <w:r>
              <w:t>Guidance Service</w:t>
            </w:r>
          </w:p>
        </w:tc>
        <w:tc>
          <w:tcPr>
            <w:tcW w:type="dxa" w:w="4032"/>
          </w:tcPr>
          <w:p>
            <w:r>
              <w:t>Rule‑based non‑diagnostic suggestions based on questionnaire answers.</w:t>
            </w:r>
          </w:p>
        </w:tc>
        <w:tc>
          <w:tcPr>
            <w:tcW w:type="dxa" w:w="3312"/>
          </w:tcPr>
          <w:p>
            <w:r>
              <w:t>Azure Functions</w:t>
            </w:r>
          </w:p>
        </w:tc>
      </w:tr>
      <w:tr>
        <w:tc>
          <w:tcPr>
            <w:tcW w:type="dxa" w:w="2160"/>
          </w:tcPr>
          <w:p>
            <w:r>
              <w:t>Compliance Auditing</w:t>
            </w:r>
          </w:p>
        </w:tc>
        <w:tc>
          <w:tcPr>
            <w:tcW w:type="dxa" w:w="4032"/>
          </w:tcPr>
          <w:p>
            <w:r>
              <w:t>Logging of API calls and data access for audit trails.</w:t>
            </w:r>
          </w:p>
        </w:tc>
        <w:tc>
          <w:tcPr>
            <w:tcW w:type="dxa" w:w="3312"/>
          </w:tcPr>
          <w:p>
            <w:r>
              <w:t>Azure Monitor, Azure Policy</w:t>
            </w:r>
          </w:p>
        </w:tc>
      </w:tr>
      <w:tr>
        <w:tc>
          <w:tcPr>
            <w:tcW w:type="dxa" w:w="2160"/>
          </w:tcPr>
          <w:p>
            <w:r>
              <w:t>Monitoring</w:t>
            </w:r>
          </w:p>
        </w:tc>
        <w:tc>
          <w:tcPr>
            <w:tcW w:type="dxa" w:w="4032"/>
          </w:tcPr>
          <w:p>
            <w:r>
              <w:t>Performance metrics, error tracking, usage dashboards.</w:t>
            </w:r>
          </w:p>
        </w:tc>
        <w:tc>
          <w:tcPr>
            <w:tcW w:type="dxa" w:w="3312"/>
          </w:tcPr>
          <w:p>
            <w:r>
              <w:t>Azure Application Insights</w:t>
            </w:r>
          </w:p>
        </w:tc>
      </w:tr>
    </w:tbl>
    <w:p/>
    <w:p>
      <w:pPr>
        <w:pStyle w:val="Heading1"/>
      </w:pPr>
      <w:r>
        <w:rPr>
          <w:color w:val="1E3A5F"/>
        </w:rPr>
        <w:t>7. Solution Architecture</w:t>
      </w:r>
    </w:p>
    <w:p>
      <w:r>
        <w:t>Architecture diagram could not be rendered.</w:t>
      </w:r>
    </w:p>
    <w:p/>
    <w:p>
      <w:pPr>
        <w:pStyle w:val="Heading1"/>
      </w:pPr>
      <w:r>
        <w:rPr>
          <w:color w:val="1E3A5F"/>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E3A5F"/>
          </w:tcPr>
          <w:p>
            <w:pPr>
              <w:jc w:val="center"/>
            </w:pPr>
            <w:r>
              <w:rPr>
                <w:b/>
                <w:color w:val="FFFFFF"/>
                <w:sz w:val="20"/>
              </w:rPr>
              <w:t>Metric</w:t>
            </w:r>
          </w:p>
        </w:tc>
        <w:tc>
          <w:tcPr>
            <w:tcW w:type="dxa" w:w="1728"/>
            <w:shd w:val="clear" w:color="auto" w:fill="1E3A5F"/>
          </w:tcPr>
          <w:p>
            <w:pPr>
              <w:jc w:val="center"/>
            </w:pPr>
            <w:r>
              <w:rPr>
                <w:b/>
                <w:color w:val="FFFFFF"/>
                <w:sz w:val="20"/>
              </w:rPr>
              <w:t>Value</w:t>
            </w:r>
          </w:p>
        </w:tc>
        <w:tc>
          <w:tcPr>
            <w:tcW w:type="dxa" w:w="5184"/>
            <w:shd w:val="clear" w:color="auto" w:fill="1E3A5F"/>
          </w:tcPr>
          <w:p>
            <w:pPr>
              <w:jc w:val="center"/>
            </w:pPr>
            <w:r>
              <w:rPr>
                <w:b/>
                <w:color w:val="FFFFFF"/>
                <w:sz w:val="20"/>
              </w:rPr>
              <w:t>Reason</w:t>
            </w:r>
          </w:p>
        </w:tc>
      </w:tr>
      <w:tr>
        <w:tc>
          <w:tcPr>
            <w:tcW w:type="dxa" w:w="2592"/>
          </w:tcPr>
          <w:p>
            <w:r>
              <w:t>Complexity</w:t>
            </w:r>
          </w:p>
        </w:tc>
        <w:tc>
          <w:tcPr>
            <w:tcW w:type="dxa" w:w="1728"/>
          </w:tcPr>
          <w:p>
            <w:r>
              <w:t>Medium</w:t>
            </w:r>
          </w:p>
        </w:tc>
        <w:tc>
          <w:tcPr>
            <w:tcW w:type="dxa" w:w="5184"/>
          </w:tcPr>
          <w:p>
            <w:r>
              <w:t>The solution combines standard serverless services and client‑side questionnaire logic, requiring moderate integration effort.</w:t>
            </w:r>
          </w:p>
        </w:tc>
      </w:tr>
      <w:tr>
        <w:tc>
          <w:tcPr>
            <w:tcW w:type="dxa" w:w="2592"/>
          </w:tcPr>
          <w:p>
            <w:r>
              <w:t>Architecture Confidence</w:t>
            </w:r>
          </w:p>
        </w:tc>
        <w:tc>
          <w:tcPr>
            <w:tcW w:type="dxa" w:w="1728"/>
          </w:tcPr>
          <w:p>
            <w:r>
              <w:t>Medium</w:t>
            </w:r>
          </w:p>
        </w:tc>
        <w:tc>
          <w:tcPr>
            <w:tcW w:type="dxa" w:w="5184"/>
          </w:tcPr>
          <w:p>
            <w:r>
              <w:t>Azure managed services provide proven reliability, but HIPAA compliance needs explicit verification.</w:t>
            </w:r>
          </w:p>
        </w:tc>
      </w:tr>
      <w:tr>
        <w:tc>
          <w:tcPr>
            <w:tcW w:type="dxa" w:w="2592"/>
          </w:tcPr>
          <w:p>
            <w:r>
              <w:t>Feasibility Confidence</w:t>
            </w:r>
          </w:p>
        </w:tc>
        <w:tc>
          <w:tcPr>
            <w:tcW w:type="dxa" w:w="1728"/>
          </w:tcPr>
          <w:p>
            <w:r>
              <w:t>Medium</w:t>
            </w:r>
          </w:p>
        </w:tc>
        <w:tc>
          <w:tcPr>
            <w:tcW w:type="dxa" w:w="5184"/>
          </w:tcPr>
          <w:p>
            <w:r>
              <w:t>Budget and performance targets are realistic, yet cost monitoring and usability for low‑literacy users add uncertainty.</w:t>
            </w:r>
          </w:p>
        </w:tc>
      </w:tr>
    </w:tbl>
    <w:p/>
    <w:p>
      <w:pPr>
        <w:pStyle w:val="Heading1"/>
      </w:pPr>
      <w:r>
        <w:rPr>
          <w:color w:val="1E3A5F"/>
        </w:rPr>
        <w:t>9. Risk Assessment</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1E3A5F"/>
          </w:tcPr>
          <w:p>
            <w:pPr>
              <w:jc w:val="center"/>
            </w:pPr>
            <w:r>
              <w:rPr>
                <w:b/>
                <w:color w:val="FFFFFF"/>
                <w:sz w:val="20"/>
              </w:rPr>
              <w:t>Risk</w:t>
            </w:r>
          </w:p>
        </w:tc>
        <w:tc>
          <w:tcPr>
            <w:tcW w:type="dxa" w:w="2160"/>
            <w:shd w:val="clear" w:color="auto" w:fill="1E3A5F"/>
          </w:tcPr>
          <w:p>
            <w:pPr>
              <w:jc w:val="center"/>
            </w:pPr>
            <w:r>
              <w:rPr>
                <w:b/>
                <w:color w:val="FFFFFF"/>
                <w:sz w:val="20"/>
              </w:rPr>
              <w:t>Impact</w:t>
            </w:r>
          </w:p>
        </w:tc>
        <w:tc>
          <w:tcPr>
            <w:tcW w:type="dxa" w:w="4176"/>
            <w:shd w:val="clear" w:color="auto" w:fill="1E3A5F"/>
          </w:tcPr>
          <w:p>
            <w:pPr>
              <w:jc w:val="center"/>
            </w:pPr>
            <w:r>
              <w:rPr>
                <w:b/>
                <w:color w:val="FFFFFF"/>
                <w:sz w:val="20"/>
              </w:rPr>
              <w:t>Mitigation Strategy</w:t>
            </w:r>
          </w:p>
        </w:tc>
      </w:tr>
      <w:tr>
        <w:tc>
          <w:tcPr>
            <w:tcW w:type="dxa" w:w="3168"/>
          </w:tcPr>
          <w:p>
            <w:r>
              <w:t>PHI compliance and HIPAA coverage</w:t>
            </w:r>
          </w:p>
        </w:tc>
        <w:tc>
          <w:tcPr>
            <w:tcW w:type="dxa" w:w="2160"/>
          </w:tcPr>
          <w:p>
            <w:r>
              <w:t>Potential legal liability and breach penalties if patient health data is not protected according to regulations.</w:t>
            </w:r>
          </w:p>
        </w:tc>
        <w:tc>
          <w:tcPr>
            <w:tcW w:type="dxa" w:w="4176"/>
          </w:tcPr>
          <w:p>
            <w:r>
              <w:t>Select Azure services covered by a Business Associate Agreement (BAA), enable encryption at rest and in transit, enforce strict RBAC, and configure Azure Monitor logs for audit trails. Conduct a compliance audit before go‑live.</w:t>
            </w:r>
          </w:p>
        </w:tc>
      </w:tr>
      <w:tr>
        <w:tc>
          <w:tcPr>
            <w:tcW w:type="dxa" w:w="3168"/>
          </w:tcPr>
          <w:p>
            <w:r>
              <w:t>Budget overruns from Cosmos DB serverless and Azure AD B2C usage</w:t>
            </w:r>
          </w:p>
        </w:tc>
        <w:tc>
          <w:tcPr>
            <w:tcW w:type="dxa" w:w="2160"/>
          </w:tcPr>
          <w:p>
            <w:r>
              <w:t>Monthly costs could exceed the $20k ceiling, jeopardizing project financial constraints.</w:t>
            </w:r>
          </w:p>
        </w:tc>
        <w:tc>
          <w:tcPr>
            <w:tcW w:type="dxa" w:w="4176"/>
          </w:tcPr>
          <w:p>
            <w:r>
              <w:t>Implement Azure Cost Management alerts, cap RU consumption, regularly review usage patterns, and consider switching to a lower‑cost storage option (e.g., Azure Table Storage) if consumption grows. Use the free tier of Azure AD B2C where possible.</w:t>
            </w:r>
          </w:p>
        </w:tc>
      </w:tr>
      <w:tr>
        <w:tc>
          <w:tcPr>
            <w:tcW w:type="dxa" w:w="3168"/>
          </w:tcPr>
          <w:p>
            <w:r>
              <w:t>Usability for patients with low computer literacy and intermittent connectivity</w:t>
            </w:r>
          </w:p>
        </w:tc>
        <w:tc>
          <w:tcPr>
            <w:tcW w:type="dxa" w:w="2160"/>
          </w:tcPr>
          <w:p>
            <w:r>
              <w:t>Low adoption rates may force continued reliance on paper forms, negating efficiency gains.</w:t>
            </w:r>
          </w:p>
        </w:tc>
        <w:tc>
          <w:tcPr>
            <w:tcW w:type="dxa" w:w="4176"/>
          </w:tcPr>
          <w:p>
            <w:r>
              <w:t>Design an ultra‑simple, large‑button UI with progressive disclosure, add offline support via Service Workers that cache the questionnaire and sync when online, and provide on‑site tablets/kiosks for assisted completion.</w:t>
            </w:r>
          </w:p>
        </w:tc>
      </w:tr>
      <w:tr>
        <w:tc>
          <w:tcPr>
            <w:tcW w:type="dxa" w:w="3168"/>
          </w:tcPr>
          <w:p>
            <w:r>
              <w:t>Integration gap with existing paper‑based workflow</w:t>
            </w:r>
          </w:p>
        </w:tc>
        <w:tc>
          <w:tcPr>
            <w:tcW w:type="dxa" w:w="2160"/>
          </w:tcPr>
          <w:p>
            <w:r>
              <w:t>Without a clear export or printing mechanism, staff may still need manual transcription, increasing workload.</w:t>
            </w:r>
          </w:p>
        </w:tc>
        <w:tc>
          <w:tcPr>
            <w:tcW w:type="dxa" w:w="4176"/>
          </w:tcPr>
          <w:p>
            <w:r>
              <w:t>Add a server‑side PDF generation endpoint that produces printable versions of completed questionnaires, and create a simple admin portal for staff to view, export, or print responses.</w:t>
            </w:r>
          </w:p>
        </w:tc>
      </w:tr>
    </w:tbl>
    <w:p/>
    <w:p>
      <w:pPr>
        <w:pStyle w:val="Heading1"/>
      </w:pPr>
      <w:r>
        <w:rPr>
          <w:color w:val="1E3A5F"/>
        </w:rPr>
        <w:t>10. Recommendations &amp; Next Steps</w:t>
      </w:r>
    </w:p>
    <w:p>
      <w:r>
        <w:t>Begin with a short‑term MVP that implements the mobile questionnaire, bilingual support, and rule‑based guidance while integrating Azure AD B2C and Cosmos DB. Assemble a cross‑functional team comprising a solution architect, a frontend developer, a backend/serverless engineer, and a DevOps specialist to set up CI/CD and cost monitoring. Target a 6‑week delivery timeline: 2 weeks for environment provisioning, 3 weeks for core functionality, and 1 week for testing and stakeholder review. After MVP validation, plan incremental enhancements such as offline kiosk mode, PDF export, and expanded analytics.</w:t>
      </w:r>
    </w:p>
    <w:p/>
    <w:p>
      <w:pPr>
        <w:pStyle w:val="Heading1"/>
      </w:pPr>
      <w:r>
        <w:rPr>
          <w:color w:val="1E3A5F"/>
        </w:rPr>
        <w:t>11. Architecture Summary</w:t>
      </w:r>
    </w:p>
    <w:p>
      <w:r>
        <w:t>The chosen serverless, mobile‑first architecture aligns with the clinic’s need for a low‑cost, low‑maintenance intake system. By hosting the React SPA on Azure Static Web Apps and handling all business logic through Azure Functions, the solution eliminates server management overhead while automatically scaling to the expected 350 daily patients. Built‑in Azure services provide the required security, auditability, and reliability, ensuring HIPAA‑compatible handling of PHI. This design directly supports the business goals of reducing nurse workload, offering bilingual mobile access, and replacing paper forms within the constrained budget.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