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714F2">
      <w:pPr>
        <w:spacing w:before="200"/>
      </w:pPr>
    </w:p>
    <w:p w14:paraId="2F63E5FA">
      <w:pPr>
        <w:spacing w:before="100"/>
        <w:jc w:val="center"/>
        <w:rPr>
          <w:rFonts w:hint="default" w:ascii="Arial" w:hAnsi="Arial" w:cs="Arial"/>
        </w:rPr>
      </w:pPr>
      <w:r>
        <w:rPr>
          <w:rFonts w:hint="default" w:ascii="Arial" w:hAnsi="Arial" w:eastAsia="Times New Roman" w:cs="Arial"/>
          <w:b/>
          <w:bCs/>
          <w:sz w:val="24"/>
          <w:szCs w:val="24"/>
        </w:rPr>
        <w:t>PROJECT REPORT OF CO-OP</w:t>
      </w:r>
      <w:r>
        <w:rPr>
          <w:rFonts w:hint="default" w:ascii="Arial" w:hAnsi="Arial" w:cs="Arial"/>
          <w:b/>
          <w:bCs/>
          <w:sz w:val="24"/>
          <w:szCs w:val="24"/>
          <w:lang w:val="en-IN"/>
        </w:rPr>
        <w:t xml:space="preserve"> </w:t>
      </w:r>
      <w:r>
        <w:rPr>
          <w:rFonts w:hint="default" w:ascii="Arial" w:hAnsi="Arial" w:eastAsia="Times New Roman" w:cs="Arial"/>
          <w:b/>
          <w:bCs/>
          <w:sz w:val="24"/>
          <w:szCs w:val="24"/>
        </w:rPr>
        <w:t>Project at Industry (Module-2)</w:t>
      </w:r>
    </w:p>
    <w:p w14:paraId="488BECD4">
      <w:pPr>
        <w:spacing w:before="200"/>
        <w:jc w:val="center"/>
      </w:pPr>
      <w:r>
        <w:rPr>
          <w:rFonts w:ascii="Times New Roman" w:hAnsi="Times New Roman" w:eastAsia="Times New Roman" w:cs="Times New Roman"/>
          <w:b/>
          <w:bCs/>
          <w:sz w:val="24"/>
          <w:szCs w:val="24"/>
        </w:rPr>
        <w:t>ON</w:t>
      </w:r>
    </w:p>
    <w:p w14:paraId="1745D4CA">
      <w:pPr>
        <w:spacing w:before="200"/>
        <w:jc w:val="center"/>
        <w:rPr>
          <w:rFonts w:hint="default" w:ascii="Arial" w:hAnsi="Arial" w:cs="Arial"/>
          <w:sz w:val="28"/>
          <w:szCs w:val="28"/>
        </w:rPr>
      </w:pPr>
      <w:r>
        <w:rPr>
          <w:rFonts w:hint="default" w:ascii="Arial" w:hAnsi="Arial" w:eastAsia="Times New Roman" w:cs="Arial"/>
          <w:sz w:val="28"/>
          <w:szCs w:val="28"/>
          <w:u w:val="single"/>
        </w:rPr>
        <w:t>Privacy-Preserving Machine Learning using Federated Learning: Opportunities and Challenges</w:t>
      </w:r>
    </w:p>
    <w:p w14:paraId="7420C43B">
      <w:pPr>
        <w:spacing w:before="200"/>
      </w:pPr>
    </w:p>
    <w:p w14:paraId="2C1A740E">
      <w:pPr>
        <w:jc w:val="center"/>
        <w:rPr>
          <w:rFonts w:hint="default" w:ascii="Arial" w:hAnsi="Arial" w:eastAsia="Times New Roman" w:cs="Arial"/>
          <w:b/>
          <w:bCs/>
          <w:sz w:val="24"/>
          <w:szCs w:val="24"/>
        </w:rPr>
      </w:pPr>
      <w:r>
        <w:rPr>
          <w:rFonts w:hint="default" w:ascii="Arial" w:hAnsi="Arial" w:eastAsia="Times New Roman" w:cs="Arial"/>
          <w:b/>
          <w:bCs/>
          <w:sz w:val="24"/>
          <w:szCs w:val="24"/>
        </w:rPr>
        <w:t>submitted in partial fulfi</w:t>
      </w:r>
      <w:r>
        <w:rPr>
          <w:rFonts w:hint="default" w:ascii="Arial" w:hAnsi="Arial" w:cs="Arial"/>
          <w:b/>
          <w:bCs/>
          <w:sz w:val="24"/>
          <w:szCs w:val="24"/>
          <w:lang w:val="en-US"/>
        </w:rPr>
        <w:t>l</w:t>
      </w:r>
      <w:r>
        <w:rPr>
          <w:rFonts w:hint="default" w:ascii="Arial" w:hAnsi="Arial" w:eastAsia="Times New Roman" w:cs="Arial"/>
          <w:b/>
          <w:bCs/>
          <w:sz w:val="24"/>
          <w:szCs w:val="24"/>
        </w:rPr>
        <w:t>lment of the requirements for the award of degree of</w:t>
      </w:r>
    </w:p>
    <w:p w14:paraId="4241CD2A">
      <w:pPr>
        <w:jc w:val="center"/>
        <w:rPr>
          <w:rFonts w:hint="default" w:ascii="Arial" w:hAnsi="Arial" w:eastAsia="Times New Roman" w:cs="Arial"/>
          <w:b/>
          <w:bCs/>
          <w:sz w:val="24"/>
          <w:szCs w:val="24"/>
        </w:rPr>
      </w:pPr>
    </w:p>
    <w:p w14:paraId="6BFF6B17">
      <w:pPr>
        <w:spacing w:before="100"/>
      </w:pPr>
    </w:p>
    <w:p w14:paraId="54B42879">
      <w:pPr>
        <w:jc w:val="center"/>
        <w:rPr>
          <w:rFonts w:hint="default" w:ascii="Arial" w:hAnsi="Arial" w:eastAsia="Times New Roman" w:cs="Arial"/>
          <w:b/>
          <w:bCs/>
          <w:sz w:val="24"/>
          <w:szCs w:val="24"/>
        </w:rPr>
      </w:pPr>
      <w:r>
        <w:rPr>
          <w:rFonts w:hint="default" w:ascii="Arial" w:hAnsi="Arial" w:eastAsia="Times New Roman" w:cs="Arial"/>
          <w:b/>
          <w:bCs/>
          <w:sz w:val="24"/>
          <w:szCs w:val="24"/>
        </w:rPr>
        <w:t>BACHELOR OF ENGINEERING</w:t>
      </w:r>
    </w:p>
    <w:p w14:paraId="53332EF4">
      <w:pPr>
        <w:jc w:val="center"/>
        <w:rPr>
          <w:rFonts w:hint="default" w:ascii="Arial" w:hAnsi="Arial" w:eastAsia="Times New Roman" w:cs="Arial"/>
          <w:b/>
          <w:bCs/>
          <w:sz w:val="24"/>
          <w:szCs w:val="24"/>
        </w:rPr>
      </w:pPr>
    </w:p>
    <w:p w14:paraId="20D9E9D1">
      <w:pPr>
        <w:jc w:val="center"/>
        <w:rPr>
          <w:rFonts w:hint="default" w:ascii="Arial" w:hAnsi="Arial" w:eastAsia="Times New Roman" w:cs="Arial"/>
          <w:b/>
          <w:bCs/>
          <w:sz w:val="24"/>
          <w:szCs w:val="24"/>
        </w:rPr>
      </w:pPr>
      <w:r>
        <w:rPr>
          <w:rFonts w:hint="default" w:ascii="Arial" w:hAnsi="Arial" w:eastAsia="Times New Roman" w:cs="Arial"/>
          <w:b/>
          <w:bCs/>
          <w:sz w:val="24"/>
          <w:szCs w:val="24"/>
        </w:rPr>
        <w:t>In</w:t>
      </w:r>
    </w:p>
    <w:p w14:paraId="29778FFB">
      <w:pPr>
        <w:jc w:val="center"/>
        <w:rPr>
          <w:rFonts w:hint="default" w:ascii="Arial" w:hAnsi="Arial" w:eastAsia="Times New Roman" w:cs="Arial"/>
          <w:b/>
          <w:bCs/>
          <w:sz w:val="24"/>
          <w:szCs w:val="24"/>
        </w:rPr>
      </w:pPr>
    </w:p>
    <w:p w14:paraId="65FC0DB8">
      <w:pPr>
        <w:jc w:val="center"/>
        <w:rPr>
          <w:rFonts w:hint="default" w:ascii="Arial" w:hAnsi="Arial" w:cs="Arial"/>
        </w:rPr>
      </w:pPr>
      <w:r>
        <w:rPr>
          <w:rFonts w:hint="default" w:ascii="Arial" w:hAnsi="Arial" w:eastAsia="Times New Roman" w:cs="Arial"/>
          <w:b/>
          <w:bCs/>
          <w:sz w:val="24"/>
          <w:szCs w:val="24"/>
        </w:rPr>
        <w:t>COMPUTER SCIENCE AND ENGINEERING</w:t>
      </w:r>
    </w:p>
    <w:p w14:paraId="7FCCFC96">
      <w:pPr>
        <w:spacing w:before="200"/>
      </w:pPr>
    </w:p>
    <w:p w14:paraId="3757FF56">
      <w:pPr>
        <w:tabs>
          <w:tab w:val="left" w:pos="5400"/>
        </w:tabs>
        <w:spacing w:before="240"/>
        <w:rPr>
          <w:rFonts w:hint="default" w:ascii="Arial" w:hAnsi="Arial" w:cs="Arial"/>
          <w:b/>
          <w:bCs/>
          <w:sz w:val="22"/>
          <w:szCs w:val="22"/>
        </w:rPr>
      </w:pPr>
      <w:r>
        <w:rPr>
          <w:rFonts w:hint="default" w:ascii="Arial" w:hAnsi="Arial" w:eastAsia="Times New Roman" w:cs="Arial"/>
          <w:b/>
          <w:bCs/>
          <w:sz w:val="22"/>
          <w:szCs w:val="22"/>
        </w:rPr>
        <w:t>Submitted by:</w:t>
      </w:r>
      <w:r>
        <w:rPr>
          <w:rFonts w:hint="default" w:ascii="Arial" w:hAnsi="Arial" w:eastAsia="Times New Roman" w:cs="Arial"/>
          <w:b/>
          <w:bCs/>
          <w:sz w:val="22"/>
          <w:szCs w:val="22"/>
        </w:rPr>
        <w:tab/>
      </w:r>
      <w:r>
        <w:rPr>
          <w:rFonts w:hint="default" w:ascii="Arial" w:hAnsi="Arial" w:eastAsia="Times New Roman" w:cs="Arial"/>
          <w:b/>
          <w:bCs/>
          <w:sz w:val="22"/>
          <w:szCs w:val="22"/>
        </w:rPr>
        <w:t>Supervised By:</w:t>
      </w:r>
    </w:p>
    <w:p w14:paraId="1AAF95D1">
      <w:pPr>
        <w:tabs>
          <w:tab w:val="left" w:pos="5400"/>
        </w:tabs>
        <w:rPr>
          <w:rFonts w:hint="default" w:ascii="Arial" w:hAnsi="Arial" w:cs="Arial"/>
          <w:b/>
          <w:bCs/>
          <w:sz w:val="22"/>
          <w:szCs w:val="22"/>
          <w:lang w:val="en-US"/>
        </w:rPr>
      </w:pPr>
      <w:r>
        <w:rPr>
          <w:rFonts w:hint="default" w:ascii="Arial" w:hAnsi="Arial" w:eastAsia="Times New Roman" w:cs="Arial"/>
          <w:b/>
          <w:bCs/>
          <w:sz w:val="22"/>
          <w:szCs w:val="22"/>
        </w:rPr>
        <w:t>Vrinda Puri</w:t>
      </w:r>
      <w:r>
        <w:rPr>
          <w:rFonts w:hint="default" w:ascii="Arial" w:hAnsi="Arial" w:eastAsia="Times New Roman" w:cs="Arial"/>
          <w:b/>
          <w:bCs/>
          <w:sz w:val="22"/>
          <w:szCs w:val="22"/>
        </w:rPr>
        <w:tab/>
      </w:r>
      <w:r>
        <w:rPr>
          <w:rFonts w:hint="default" w:ascii="Arial" w:hAnsi="Arial" w:cs="Arial"/>
          <w:b/>
          <w:bCs/>
          <w:sz w:val="22"/>
          <w:szCs w:val="22"/>
          <w:lang w:val="en-US"/>
        </w:rPr>
        <w:t>Dr. Simarj</w:t>
      </w:r>
      <w:r>
        <w:rPr>
          <w:rFonts w:hint="default" w:ascii="Arial" w:hAnsi="Arial" w:cs="Arial"/>
          <w:b/>
          <w:bCs/>
          <w:sz w:val="22"/>
          <w:szCs w:val="22"/>
          <w:lang w:val="en-IN"/>
        </w:rPr>
        <w:t>i</w:t>
      </w:r>
      <w:r>
        <w:rPr>
          <w:rFonts w:hint="default" w:ascii="Arial" w:hAnsi="Arial" w:cs="Arial"/>
          <w:b/>
          <w:bCs/>
          <w:sz w:val="22"/>
          <w:szCs w:val="22"/>
          <w:lang w:val="en-US"/>
        </w:rPr>
        <w:t>t Kaur</w:t>
      </w:r>
    </w:p>
    <w:p w14:paraId="110E9711">
      <w:pPr>
        <w:tabs>
          <w:tab w:val="left" w:pos="5400"/>
        </w:tabs>
        <w:rPr>
          <w:b/>
          <w:bCs/>
        </w:rPr>
      </w:pPr>
      <w:r>
        <w:rPr>
          <w:rFonts w:hint="default" w:ascii="Arial" w:hAnsi="Arial" w:eastAsia="Times New Roman" w:cs="Arial"/>
          <w:b/>
          <w:bCs/>
          <w:sz w:val="22"/>
          <w:szCs w:val="22"/>
        </w:rPr>
        <w:t xml:space="preserve">Roll No.: </w:t>
      </w:r>
      <w:r>
        <w:rPr>
          <w:rFonts w:hint="default" w:ascii="Arial" w:hAnsi="Arial" w:cs="Arial"/>
          <w:b/>
          <w:bCs/>
          <w:sz w:val="22"/>
          <w:szCs w:val="22"/>
          <w:lang w:val="en-US"/>
        </w:rPr>
        <w:t xml:space="preserve">2210992549     </w:t>
      </w:r>
      <w:r>
        <w:rPr>
          <w:rFonts w:hint="default" w:cs="Times New Roman"/>
          <w:b/>
          <w:bCs/>
          <w:sz w:val="24"/>
          <w:szCs w:val="24"/>
          <w:lang w:val="en-US"/>
        </w:rPr>
        <w:t xml:space="preserve">                                                 </w:t>
      </w:r>
      <w:r>
        <w:rPr>
          <w:rFonts w:hint="default" w:ascii="Arial" w:hAnsi="Arial" w:cs="Arial"/>
          <w:b/>
          <w:bCs/>
          <w:sz w:val="22"/>
          <w:szCs w:val="22"/>
          <w:lang w:val="en-US"/>
        </w:rPr>
        <w:t>Ass</w:t>
      </w:r>
      <w:r>
        <w:rPr>
          <w:rFonts w:hint="default" w:ascii="Arial" w:hAnsi="Arial" w:cs="Arial"/>
          <w:b/>
          <w:bCs/>
          <w:sz w:val="22"/>
          <w:szCs w:val="22"/>
          <w:lang w:val="en-IN"/>
        </w:rPr>
        <w:t>ociate</w:t>
      </w:r>
      <w:r>
        <w:rPr>
          <w:rFonts w:hint="default" w:ascii="Arial" w:hAnsi="Arial" w:cs="Arial"/>
          <w:b/>
          <w:bCs/>
          <w:sz w:val="22"/>
          <w:szCs w:val="22"/>
          <w:lang w:val="en-US"/>
        </w:rPr>
        <w:t xml:space="preserve"> Professor</w:t>
      </w:r>
      <w:r>
        <w:rPr>
          <w:rFonts w:hint="default" w:ascii="Arial" w:hAnsi="Arial" w:eastAsia="Times New Roman" w:cs="Arial"/>
          <w:b/>
          <w:bCs/>
          <w:sz w:val="22"/>
          <w:szCs w:val="22"/>
        </w:rPr>
        <w:tab/>
      </w:r>
    </w:p>
    <w:p w14:paraId="43211FDC">
      <w:pPr>
        <w:rPr>
          <w:rFonts w:hint="default"/>
          <w:b/>
          <w:bCs/>
          <w:lang w:val="en-US"/>
        </w:rPr>
      </w:pPr>
      <w:r>
        <w:rPr>
          <w:rFonts w:hint="default" w:cs="Times New Roman"/>
          <w:b/>
          <w:bCs/>
          <w:sz w:val="24"/>
          <w:szCs w:val="24"/>
          <w:lang w:val="en-US"/>
        </w:rPr>
        <w:t xml:space="preserve">                           </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r>
        <w:rPr>
          <w:rFonts w:hint="default" w:ascii="Times New Roman" w:hAnsi="Times New Roman" w:eastAsia="Times New Roman" w:cs="Times New Roman"/>
          <w:b/>
          <w:color w:val="000000"/>
          <w:lang w:val="en-IN" w:bidi="ar-SA"/>
        </w:rPr>
        <w:t xml:space="preserve"> </w:t>
      </w:r>
      <w:r>
        <w:rPr>
          <w:rFonts w:ascii="Times New Roman" w:hAnsi="Times New Roman" w:eastAsia="Times New Roman" w:cs="Times New Roman"/>
          <w:b/>
          <w:color w:val="000000"/>
          <w:lang w:bidi="ar-SA"/>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hint="default" w:ascii="Arial" w:hAnsi="Arial" w:eastAsia="Times New Roman" w:cs="Arial"/>
          <w:b/>
          <w:color w:val="000000"/>
          <w:sz w:val="22"/>
          <w:szCs w:val="22"/>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r>
        <w:rPr>
          <w:rFonts w:hint="default" w:ascii="Arial" w:hAnsi="Arial" w:eastAsia="Times New Roman" w:cs="Arial"/>
          <w:b/>
          <w:color w:val="000000"/>
          <w:sz w:val="22"/>
          <w:szCs w:val="22"/>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r>
        <w:rPr>
          <w:rFonts w:hint="default" w:ascii="Arial" w:hAnsi="Arial" w:eastAsia="Times New Roman" w:cs="Arial"/>
          <w:b/>
          <w:color w:val="000000"/>
          <w:sz w:val="22"/>
          <w:szCs w:val="22"/>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sz w:val="22"/>
          <w:szCs w:val="22"/>
        </w:rPr>
      </w:pPr>
      <w:r>
        <w:rPr>
          <w:rFonts w:hint="default" w:ascii="Arial" w:hAnsi="Arial" w:eastAsia="Times New Roman" w:cs="Arial"/>
          <w:b/>
          <w:color w:val="000000"/>
          <w:sz w:val="22"/>
          <w:szCs w:val="22"/>
        </w:rPr>
        <w:t>CHITKARA UNIVERSITY, PUNJAB, INDIA</w:t>
      </w:r>
    </w:p>
    <w:p w14:paraId="3CE0B313">
      <w:pPr>
        <w:jc w:val="center"/>
        <w:rPr>
          <w:rFonts w:ascii="Times New Roman" w:hAnsi="Times New Roman" w:cs="Times New Roman"/>
          <w:b/>
          <w:sz w:val="32"/>
          <w:szCs w:val="32"/>
          <w:u w:val="single"/>
        </w:rPr>
      </w:pP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5"/>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ind w:firstLine="280" w:firstLineChars="100"/>
              <w:rPr>
                <w:rFonts w:hint="default" w:ascii="Times New Roman" w:hAnsi="Times New Roman" w:cs="Times New Roman"/>
                <w:bCs/>
                <w:sz w:val="28"/>
                <w:szCs w:val="28"/>
                <w:lang w:val="en-IN"/>
              </w:rPr>
            </w:pPr>
            <w:r>
              <w:rPr>
                <w:rFonts w:hint="default" w:cs="Times New Roman"/>
                <w:bCs/>
                <w:sz w:val="28"/>
                <w:szCs w:val="28"/>
                <w:lang w:val="en-IN"/>
              </w:rPr>
              <w:t xml:space="preserve">1 </w:t>
            </w:r>
          </w:p>
        </w:tc>
        <w:tc>
          <w:tcPr>
            <w:tcW w:w="5103" w:type="dxa"/>
          </w:tcPr>
          <w:p w14:paraId="6325E737">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pPr>
              <w:spacing w:line="240" w:lineRule="auto"/>
              <w:jc w:val="center"/>
              <w:rPr>
                <w:rFonts w:hint="default" w:ascii="Times New Roman" w:hAnsi="Times New Roman" w:cs="Times New Roman"/>
                <w:bCs/>
                <w:sz w:val="28"/>
                <w:szCs w:val="28"/>
                <w:lang w:val="en-IN"/>
              </w:rPr>
            </w:pPr>
            <w:r>
              <w:rPr>
                <w:rFonts w:hint="default" w:cs="Times New Roman"/>
                <w:bCs/>
                <w:sz w:val="28"/>
                <w:szCs w:val="28"/>
                <w:lang w:val="en-IN"/>
              </w:rPr>
              <w:t>4</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ind w:firstLine="280" w:firstLineChars="100"/>
              <w:rPr>
                <w:rFonts w:hint="default" w:ascii="Times New Roman" w:hAnsi="Times New Roman" w:cs="Times New Roman"/>
                <w:bCs/>
                <w:sz w:val="28"/>
                <w:szCs w:val="28"/>
                <w:lang w:val="en-IN"/>
              </w:rPr>
            </w:pPr>
            <w:r>
              <w:rPr>
                <w:rFonts w:hint="default" w:cs="Times New Roman"/>
                <w:bCs/>
                <w:sz w:val="28"/>
                <w:szCs w:val="28"/>
                <w:lang w:val="en-IN"/>
              </w:rPr>
              <w:t>2</w:t>
            </w:r>
          </w:p>
        </w:tc>
        <w:tc>
          <w:tcPr>
            <w:tcW w:w="5103" w:type="dxa"/>
          </w:tcPr>
          <w:p w14:paraId="79AAA9FA">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2347CA1E">
            <w:pPr>
              <w:spacing w:line="240" w:lineRule="auto"/>
              <w:jc w:val="center"/>
              <w:rPr>
                <w:rFonts w:hint="default" w:ascii="Times New Roman" w:hAnsi="Times New Roman" w:cs="Times New Roman"/>
                <w:bCs/>
                <w:sz w:val="28"/>
                <w:szCs w:val="28"/>
                <w:lang w:val="en-IN"/>
              </w:rPr>
            </w:pPr>
            <w:r>
              <w:rPr>
                <w:rFonts w:hint="default" w:cs="Times New Roman"/>
                <w:bCs/>
                <w:sz w:val="28"/>
                <w:szCs w:val="28"/>
                <w:lang w:val="en-IN"/>
              </w:rPr>
              <w:t>5</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3</w:t>
            </w: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B1C4868">
            <w:pPr>
              <w:spacing w:line="240" w:lineRule="auto"/>
              <w:jc w:val="center"/>
              <w:rPr>
                <w:rFonts w:hint="default" w:ascii="Times New Roman" w:hAnsi="Times New Roman" w:cs="Times New Roman"/>
                <w:bCs/>
                <w:sz w:val="28"/>
                <w:szCs w:val="28"/>
                <w:lang w:val="en-IN"/>
              </w:rPr>
            </w:pPr>
            <w:r>
              <w:rPr>
                <w:rFonts w:hint="default" w:cs="Times New Roman"/>
                <w:bCs/>
                <w:sz w:val="28"/>
                <w:szCs w:val="28"/>
                <w:lang w:val="en-IN"/>
              </w:rPr>
              <w:t>6</w:t>
            </w: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4</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393CAA84">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7-8</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5</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5DFF6224">
            <w:pPr>
              <w:spacing w:line="240" w:lineRule="auto"/>
              <w:jc w:val="center"/>
              <w:rPr>
                <w:rFonts w:hint="default" w:ascii="Times New Roman" w:hAnsi="Times New Roman" w:cs="Times New Roman"/>
                <w:bCs/>
                <w:sz w:val="28"/>
                <w:szCs w:val="28"/>
                <w:lang w:val="en-IN"/>
              </w:rPr>
            </w:pPr>
            <w:r>
              <w:rPr>
                <w:rFonts w:hint="default" w:cs="Times New Roman"/>
                <w:bCs/>
                <w:sz w:val="28"/>
                <w:szCs w:val="28"/>
                <w:lang w:val="en-IN"/>
              </w:rPr>
              <w:t>9</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6</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w:t>
            </w:r>
            <w:bookmarkStart w:id="0" w:name="_GoBack"/>
            <w:bookmarkEnd w:id="0"/>
            <w:r>
              <w:rPr>
                <w:rFonts w:ascii="Times New Roman" w:hAnsi="Times New Roman" w:cs="Times New Roman"/>
                <w:bCs/>
                <w:sz w:val="28"/>
                <w:szCs w:val="28"/>
              </w:rPr>
              <w:t>n</w:t>
            </w:r>
          </w:p>
        </w:tc>
        <w:tc>
          <w:tcPr>
            <w:tcW w:w="2620" w:type="dxa"/>
          </w:tcPr>
          <w:p w14:paraId="36F5DF9A">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10-11</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7</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4519283D">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12</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8</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Conclusion </w:t>
            </w:r>
          </w:p>
        </w:tc>
        <w:tc>
          <w:tcPr>
            <w:tcW w:w="2620" w:type="dxa"/>
          </w:tcPr>
          <w:p w14:paraId="5AE0A7A1">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13-14</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both"/>
              <w:rPr>
                <w:rFonts w:hint="default" w:ascii="Times New Roman" w:hAnsi="Times New Roman" w:cs="Times New Roman"/>
                <w:bCs/>
                <w:sz w:val="28"/>
                <w:szCs w:val="28"/>
                <w:lang w:val="en-IN"/>
              </w:rPr>
            </w:pPr>
            <w:r>
              <w:rPr>
                <w:rFonts w:hint="default" w:cs="Times New Roman"/>
                <w:bCs/>
                <w:sz w:val="28"/>
                <w:szCs w:val="28"/>
                <w:lang w:val="en-IN"/>
              </w:rPr>
              <w:t xml:space="preserve">    9</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Future Scope</w:t>
            </w:r>
          </w:p>
        </w:tc>
        <w:tc>
          <w:tcPr>
            <w:tcW w:w="2620" w:type="dxa"/>
          </w:tcPr>
          <w:p w14:paraId="4DFF3BF5">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15-16</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10</w:t>
            </w: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rPr>
                <w:rFonts w:hint="default" w:ascii="Times New Roman" w:hAnsi="Times New Roman" w:cs="Times New Roman"/>
                <w:bCs/>
                <w:sz w:val="28"/>
                <w:szCs w:val="28"/>
                <w:lang w:val="en-IN"/>
              </w:rPr>
            </w:pPr>
            <w:r>
              <w:rPr>
                <w:rFonts w:hint="default" w:cs="Times New Roman"/>
                <w:bCs/>
                <w:sz w:val="28"/>
                <w:szCs w:val="28"/>
                <w:lang w:val="en-IN"/>
              </w:rPr>
              <w:t xml:space="preserve">               17</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hint="default" w:ascii="Times New Roman" w:hAnsi="Times New Roman" w:cs="Times New Roman"/>
                <w:bCs/>
                <w:sz w:val="28"/>
                <w:szCs w:val="28"/>
                <w:lang w:val="en-IN"/>
              </w:rPr>
            </w:pPr>
          </w:p>
        </w:tc>
        <w:tc>
          <w:tcPr>
            <w:tcW w:w="5103" w:type="dxa"/>
          </w:tcPr>
          <w:p w14:paraId="6639D755">
            <w:pPr>
              <w:spacing w:line="240" w:lineRule="auto"/>
              <w:rPr>
                <w:rFonts w:ascii="Times New Roman" w:hAnsi="Times New Roman" w:cs="Times New Roman"/>
                <w:bCs/>
                <w:sz w:val="28"/>
                <w:szCs w:val="28"/>
              </w:rPr>
            </w:pPr>
          </w:p>
        </w:tc>
        <w:tc>
          <w:tcPr>
            <w:tcW w:w="2620" w:type="dxa"/>
          </w:tcPr>
          <w:p w14:paraId="5406C56C">
            <w:pPr>
              <w:spacing w:line="240" w:lineRule="auto"/>
              <w:rPr>
                <w:rFonts w:ascii="Times New Roman" w:hAnsi="Times New Roman" w:cs="Times New Roman"/>
                <w:bCs/>
                <w:sz w:val="28"/>
                <w:szCs w:val="28"/>
              </w:rPr>
            </w:pPr>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2FC3D2B9"/>
    <w:p w14:paraId="1E18623C"/>
    <w:p w14:paraId="5131F28D"/>
    <w:p w14:paraId="020E7769"/>
    <w:p w14:paraId="7D50C188"/>
    <w:p w14:paraId="777475FC"/>
    <w:p w14:paraId="43359D81"/>
    <w:p w14:paraId="2403C00E"/>
    <w:p w14:paraId="6375A3C0"/>
    <w:p w14:paraId="60DE6E94"/>
    <w:p w14:paraId="70F51395"/>
    <w:p w14:paraId="28C712CF"/>
    <w:p w14:paraId="715ED377"/>
    <w:p w14:paraId="5DF27E05"/>
    <w:p w14:paraId="406A4DE4"/>
    <w:p w14:paraId="5B6BF48B"/>
    <w:p w14:paraId="2D91B45F"/>
    <w:p w14:paraId="0D83E760"/>
    <w:p w14:paraId="1B89EC08"/>
    <w:p w14:paraId="3FA2FF5C"/>
    <w:p w14:paraId="5F4EF6A7"/>
    <w:p w14:paraId="146381E5"/>
    <w:p w14:paraId="35ED12A3"/>
    <w:p w14:paraId="3C3595E4"/>
    <w:p w14:paraId="031BB9F6"/>
    <w:p w14:paraId="5F3E2660"/>
    <w:p w14:paraId="46B78A3D">
      <w:pPr>
        <w:spacing w:before="200" w:after="240"/>
        <w:jc w:val="center"/>
        <w:rPr>
          <w:u w:val="single"/>
        </w:rPr>
      </w:pPr>
      <w:r>
        <w:rPr>
          <w:rFonts w:ascii="Times New Roman" w:hAnsi="Times New Roman" w:eastAsia="Times New Roman" w:cs="Times New Roman"/>
          <w:b/>
          <w:bCs/>
          <w:color w:val="000000" w:themeColor="text1"/>
          <w:sz w:val="28"/>
          <w:szCs w:val="28"/>
          <w:u w:val="single"/>
          <w14:textFill>
            <w14:solidFill>
              <w14:schemeClr w14:val="tx1"/>
            </w14:solidFill>
          </w14:textFill>
        </w:rPr>
        <w:t>DECLARATION</w:t>
      </w:r>
    </w:p>
    <w:p w14:paraId="1EC5ABB1">
      <w:pPr>
        <w:spacing w:before="80" w:after="80" w:line="360" w:lineRule="auto"/>
        <w:jc w:val="both"/>
      </w:pPr>
      <w:r>
        <w:rPr>
          <w:rFonts w:ascii="Times New Roman" w:hAnsi="Times New Roman" w:eastAsia="Times New Roman" w:cs="Times New Roman"/>
          <w:sz w:val="24"/>
          <w:szCs w:val="24"/>
        </w:rPr>
        <w:t>I hereby certify that the work which is being presented in the project report entitled</w:t>
      </w:r>
      <w:r>
        <w:rPr>
          <w:rFonts w:ascii="Times New Roman" w:hAnsi="Times New Roman" w:eastAsia="Times New Roman" w:cs="Times New Roman"/>
          <w:b/>
          <w:bCs/>
          <w:color w:val="000000" w:themeColor="text1"/>
          <w:sz w:val="24"/>
          <w:szCs w:val="24"/>
          <w14:textFill>
            <w14:solidFill>
              <w14:schemeClr w14:val="tx1"/>
            </w14:solidFill>
          </w14:textFill>
        </w:rPr>
        <w:t xml:space="preserve"> "Privacy-Preserving Machine Learning using Federated Learning: Opportunities and Challenges"</w:t>
      </w:r>
      <w:r>
        <w:rPr>
          <w:rFonts w:ascii="Times New Roman" w:hAnsi="Times New Roman" w:eastAsia="Times New Roman" w:cs="Times New Roman"/>
          <w:sz w:val="24"/>
          <w:szCs w:val="24"/>
        </w:rPr>
        <w:t xml:space="preserve"> in partial fulfil</w:t>
      </w:r>
      <w:r>
        <w:rPr>
          <w:rFonts w:hint="default" w:cs="Times New Roman"/>
          <w:sz w:val="24"/>
          <w:szCs w:val="24"/>
          <w:lang w:val="en-US"/>
        </w:rPr>
        <w:t>l</w:t>
      </w:r>
      <w:r>
        <w:rPr>
          <w:rFonts w:ascii="Times New Roman" w:hAnsi="Times New Roman" w:eastAsia="Times New Roman" w:cs="Times New Roman"/>
          <w:sz w:val="24"/>
          <w:szCs w:val="24"/>
        </w:rPr>
        <w:t>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w:t>
      </w:r>
      <w:r>
        <w:rPr>
          <w:rFonts w:ascii="Times New Roman" w:hAnsi="Times New Roman" w:eastAsia="Times New Roman" w:cs="Times New Roman"/>
          <w:b/>
          <w:bCs/>
          <w:sz w:val="24"/>
          <w:szCs w:val="24"/>
        </w:rPr>
        <w:t xml:space="preserve"> </w:t>
      </w:r>
      <w:r>
        <w:rPr>
          <w:rFonts w:hint="default" w:cs="Times New Roman"/>
          <w:b/>
          <w:bCs/>
          <w:sz w:val="24"/>
          <w:szCs w:val="24"/>
          <w:lang w:val="en-US"/>
        </w:rPr>
        <w:t>Dr. Simarj</w:t>
      </w:r>
      <w:r>
        <w:rPr>
          <w:rFonts w:hint="default" w:cs="Times New Roman"/>
          <w:b/>
          <w:bCs/>
          <w:sz w:val="24"/>
          <w:szCs w:val="24"/>
          <w:lang w:val="en-IN"/>
        </w:rPr>
        <w:t>it</w:t>
      </w:r>
      <w:r>
        <w:rPr>
          <w:rFonts w:hint="default" w:cs="Times New Roman"/>
          <w:b/>
          <w:bCs/>
          <w:sz w:val="24"/>
          <w:szCs w:val="24"/>
          <w:lang w:val="en-US"/>
        </w:rPr>
        <w:t xml:space="preserve"> Kaur</w:t>
      </w:r>
      <w:r>
        <w:rPr>
          <w:rFonts w:ascii="Times New Roman" w:hAnsi="Times New Roman" w:eastAsia="Times New Roman" w:cs="Times New Roman"/>
          <w:sz w:val="24"/>
          <w:szCs w:val="24"/>
        </w:rPr>
        <w:t>. The matter presented in this project report has not been submitted in any other university/institute for the award of any degree.</w:t>
      </w:r>
    </w:p>
    <w:p w14:paraId="0EB02970">
      <w:pPr>
        <w:spacing w:before="400"/>
      </w:pPr>
    </w:p>
    <w:p w14:paraId="79E49CD2">
      <w:pPr>
        <w:tabs>
          <w:tab w:val="left" w:pos="5760"/>
        </w:tabs>
      </w:pPr>
      <w:r>
        <w:rPr>
          <w:rFonts w:ascii="Times New Roman" w:hAnsi="Times New Roman" w:eastAsia="Times New Roman" w:cs="Times New Roman"/>
          <w:sz w:val="24"/>
          <w:szCs w:val="24"/>
        </w:rPr>
        <w:t>Place:</w:t>
      </w:r>
      <w:r>
        <w:rPr>
          <w:rFonts w:hint="default" w:cs="Times New Roman"/>
          <w:sz w:val="24"/>
          <w:szCs w:val="24"/>
          <w:lang w:val="en-US"/>
        </w:rPr>
        <w:t xml:space="preserve"> Rajpura</w:t>
      </w:r>
      <w:r>
        <w:rPr>
          <w:rFonts w:ascii="Times New Roman" w:hAnsi="Times New Roman" w:eastAsia="Times New Roman" w:cs="Times New Roman"/>
          <w:sz w:val="24"/>
          <w:szCs w:val="24"/>
        </w:rPr>
        <w:tab/>
      </w:r>
      <w:r>
        <w:rPr>
          <w:rFonts w:hint="default" w:cs="Times New Roman"/>
          <w:sz w:val="24"/>
          <w:szCs w:val="24"/>
          <w:lang w:val="en-US"/>
        </w:rPr>
        <w:t xml:space="preserve">              </w:t>
      </w:r>
      <w:r>
        <w:rPr>
          <w:rFonts w:ascii="Times New Roman" w:hAnsi="Times New Roman" w:eastAsia="Times New Roman" w:cs="Times New Roman"/>
        </w:rPr>
        <w:tab/>
      </w:r>
      <w:r>
        <w:rPr>
          <w:rFonts w:hint="default" w:cs="Times New Roman"/>
          <w:lang w:val="en-IN"/>
        </w:rPr>
        <w:t xml:space="preserve"> </w:t>
      </w:r>
      <w:r>
        <w:rPr>
          <w:rFonts w:ascii="Times New Roman" w:hAnsi="Times New Roman" w:eastAsia="Times New Roman" w:cs="Times New Roman"/>
          <w:b/>
          <w:bCs/>
          <w:sz w:val="24"/>
          <w:szCs w:val="24"/>
        </w:rPr>
        <w:t>Vrinda Puri</w:t>
      </w:r>
    </w:p>
    <w:p w14:paraId="703C1F69">
      <w:pPr>
        <w:rPr>
          <w:rFonts w:hint="default"/>
          <w:lang w:val="en-US"/>
        </w:rPr>
      </w:pPr>
      <w:r>
        <w:rPr>
          <w:rFonts w:ascii="Times New Roman" w:hAnsi="Times New Roman" w:eastAsia="Times New Roman" w:cs="Times New Roman"/>
          <w:sz w:val="24"/>
          <w:szCs w:val="24"/>
        </w:rPr>
        <w:t xml:space="preserve">Date: </w:t>
      </w:r>
      <w:r>
        <w:rPr>
          <w:rFonts w:hint="default" w:cs="Times New Roman"/>
          <w:sz w:val="24"/>
          <w:szCs w:val="24"/>
          <w:lang w:val="en-US"/>
        </w:rPr>
        <w:t>25</w:t>
      </w:r>
      <w:r>
        <w:rPr>
          <w:rFonts w:hint="default" w:cs="Times New Roman"/>
          <w:sz w:val="24"/>
          <w:szCs w:val="24"/>
          <w:vertAlign w:val="superscript"/>
          <w:lang w:val="en-US"/>
        </w:rPr>
        <w:t>th</w:t>
      </w:r>
      <w:r>
        <w:rPr>
          <w:rFonts w:hint="default" w:cs="Times New Roman"/>
          <w:sz w:val="24"/>
          <w:szCs w:val="24"/>
          <w:lang w:val="en-US"/>
        </w:rPr>
        <w:t xml:space="preserve"> April, 2026                                                                                   2210992549</w:t>
      </w:r>
    </w:p>
    <w:p w14:paraId="56731332">
      <w:pPr>
        <w:spacing w:before="280"/>
      </w:pPr>
    </w:p>
    <w:p w14:paraId="4F01EEB3">
      <w:pPr>
        <w:spacing w:before="80" w:after="80" w:line="360" w:lineRule="auto"/>
        <w:jc w:val="both"/>
      </w:pPr>
      <w:r>
        <w:rPr>
          <w:rFonts w:ascii="Times New Roman" w:hAnsi="Times New Roman" w:eastAsia="Times New Roman" w:cs="Times New Roman"/>
          <w:sz w:val="24"/>
          <w:szCs w:val="24"/>
        </w:rPr>
        <w:t>This is to certify that the above statement made by the candidate is correct to the best of my knowledge and belief.</w:t>
      </w:r>
    </w:p>
    <w:p w14:paraId="55B4F089">
      <w:pPr>
        <w:spacing w:before="400"/>
      </w:pPr>
    </w:p>
    <w:p w14:paraId="06B46DB7">
      <w:pPr>
        <w:rPr>
          <w:rFonts w:hint="default" w:cs="Times New Roman"/>
          <w:sz w:val="24"/>
          <w:szCs w:val="24"/>
          <w:lang w:val="en-US"/>
        </w:rPr>
      </w:pPr>
      <w:r>
        <w:rPr>
          <w:rFonts w:hint="default" w:cs="Times New Roman"/>
          <w:sz w:val="24"/>
          <w:szCs w:val="24"/>
          <w:lang w:val="en-US"/>
        </w:rPr>
        <w:t>Dr. Simarjeet Kaur</w:t>
      </w:r>
    </w:p>
    <w:p w14:paraId="73CFA86A">
      <w:pPr>
        <w:rPr>
          <w:rFonts w:hint="default" w:cs="Times New Roman"/>
          <w:sz w:val="24"/>
          <w:szCs w:val="24"/>
          <w:lang w:val="en-US"/>
        </w:rPr>
      </w:pPr>
      <w:r>
        <w:rPr>
          <w:rFonts w:hint="default" w:cs="Times New Roman"/>
          <w:sz w:val="24"/>
          <w:szCs w:val="24"/>
          <w:lang w:val="en-US"/>
        </w:rPr>
        <w:t>Ass</w:t>
      </w:r>
      <w:r>
        <w:rPr>
          <w:rFonts w:hint="default" w:cs="Times New Roman"/>
          <w:sz w:val="24"/>
          <w:szCs w:val="24"/>
          <w:lang w:val="en-IN"/>
        </w:rPr>
        <w:t>ociate</w:t>
      </w:r>
      <w:r>
        <w:rPr>
          <w:rFonts w:hint="default" w:cs="Times New Roman"/>
          <w:sz w:val="24"/>
          <w:szCs w:val="24"/>
          <w:lang w:val="en-US"/>
        </w:rPr>
        <w:t xml:space="preserve"> Professor</w:t>
      </w:r>
    </w:p>
    <w:p w14:paraId="325C3B0F">
      <w:r>
        <w:rPr>
          <w:rFonts w:ascii="Times New Roman" w:hAnsi="Times New Roman" w:eastAsia="Times New Roman" w:cs="Times New Roman"/>
          <w:sz w:val="24"/>
          <w:szCs w:val="24"/>
        </w:rPr>
        <w:t>Department of Computer Science and Engineering</w:t>
      </w:r>
    </w:p>
    <w:p w14:paraId="1498CF80">
      <w:r>
        <w:rPr>
          <w:rFonts w:ascii="Times New Roman" w:hAnsi="Times New Roman" w:eastAsia="Times New Roman" w:cs="Times New Roman"/>
          <w:sz w:val="24"/>
          <w:szCs w:val="24"/>
        </w:rPr>
        <w:t>Chitkara University Institute of Engineering and Technology,</w:t>
      </w:r>
    </w:p>
    <w:p w14:paraId="15BC1140">
      <w:r>
        <w:rPr>
          <w:rFonts w:ascii="Times New Roman" w:hAnsi="Times New Roman" w:eastAsia="Times New Roman" w:cs="Times New Roman"/>
          <w:sz w:val="24"/>
          <w:szCs w:val="24"/>
        </w:rPr>
        <w:t>Chitkara University, Punjab, India</w:t>
      </w:r>
    </w:p>
    <w:p w14:paraId="77529BBC">
      <w:r>
        <w:br w:type="page"/>
      </w:r>
    </w:p>
    <w:p w14:paraId="33568734">
      <w:pPr>
        <w:spacing w:before="200" w:after="240"/>
        <w:jc w:val="center"/>
      </w:pPr>
      <w:r>
        <w:rPr>
          <w:rFonts w:ascii="Times New Roman" w:hAnsi="Times New Roman" w:eastAsia="Times New Roman" w:cs="Times New Roman"/>
          <w:b/>
          <w:bCs/>
          <w:sz w:val="28"/>
          <w:szCs w:val="28"/>
        </w:rPr>
        <w:t>ACKNOWLEDGEMENT</w:t>
      </w:r>
    </w:p>
    <w:p w14:paraId="3AA3C41B">
      <w:pPr>
        <w:rPr>
          <w:rFonts w:hint="default" w:cs="Times New Roman"/>
          <w:sz w:val="24"/>
          <w:szCs w:val="24"/>
          <w:lang w:val="en-US"/>
        </w:rPr>
      </w:pPr>
      <w:r>
        <w:rPr>
          <w:rFonts w:ascii="Times New Roman" w:hAnsi="Times New Roman" w:eastAsia="Times New Roman" w:cs="Times New Roman"/>
          <w:sz w:val="24"/>
          <w:szCs w:val="24"/>
        </w:rPr>
        <w:t>I would like to express my sincere gratitude to my mentor</w:t>
      </w:r>
      <w:r>
        <w:rPr>
          <w:rFonts w:hint="default" w:cs="Times New Roman"/>
          <w:sz w:val="24"/>
          <w:szCs w:val="24"/>
          <w:lang w:val="en-US"/>
        </w:rPr>
        <w:t xml:space="preserve"> Dr. Simarjeet Kaur, Ass</w:t>
      </w:r>
      <w:r>
        <w:rPr>
          <w:rFonts w:hint="default" w:cs="Times New Roman"/>
          <w:sz w:val="24"/>
          <w:szCs w:val="24"/>
          <w:lang w:val="en-IN"/>
        </w:rPr>
        <w:t>ociate</w:t>
      </w:r>
      <w:r>
        <w:rPr>
          <w:rFonts w:hint="default" w:cs="Times New Roman"/>
          <w:sz w:val="24"/>
          <w:szCs w:val="24"/>
          <w:lang w:val="en-US"/>
        </w:rPr>
        <w:t xml:space="preserve"> Professor,</w:t>
      </w:r>
    </w:p>
    <w:p w14:paraId="11A3EFC8">
      <w:pPr>
        <w:spacing w:before="80" w:after="80" w:line="360" w:lineRule="auto"/>
        <w:jc w:val="both"/>
      </w:pPr>
      <w:r>
        <w:rPr>
          <w:rFonts w:ascii="Times New Roman" w:hAnsi="Times New Roman" w:eastAsia="Times New Roman" w:cs="Times New Roman"/>
          <w:sz w:val="24"/>
          <w:szCs w:val="24"/>
        </w:rPr>
        <w:t>Chitkara University, for their invaluable guidance, continuous support, and encouragement throughout the course of this project. Their insightful suggestions and constructive feedback have been instrumental in shaping this work.</w:t>
      </w:r>
    </w:p>
    <w:p w14:paraId="6EFBC76C">
      <w:pPr>
        <w:spacing w:before="80" w:after="80" w:line="360" w:lineRule="auto"/>
        <w:jc w:val="both"/>
      </w:pPr>
      <w:r>
        <w:rPr>
          <w:rFonts w:ascii="Times New Roman" w:hAnsi="Times New Roman" w:eastAsia="Times New Roman" w:cs="Times New Roman"/>
          <w:sz w:val="24"/>
          <w:szCs w:val="24"/>
        </w:rPr>
        <w:t>I am deeply thankful to the Department of Computer Science and Engineering, Chitkara University Institute of Engineering and Technology, for providing an excellent academic environment and the necessary resources to carry out this research.</w:t>
      </w:r>
    </w:p>
    <w:p w14:paraId="1D5A7A93">
      <w:pPr>
        <w:spacing w:before="80" w:after="80" w:line="360" w:lineRule="auto"/>
        <w:jc w:val="both"/>
      </w:pPr>
      <w:r>
        <w:rPr>
          <w:rFonts w:ascii="Times New Roman" w:hAnsi="Times New Roman" w:eastAsia="Times New Roman" w:cs="Times New Roman"/>
          <w:sz w:val="24"/>
          <w:szCs w:val="24"/>
        </w:rPr>
        <w:t>I also extend my heartfelt thanks to my family and friends for their moral support and motivation during this endeavour.</w:t>
      </w:r>
    </w:p>
    <w:p w14:paraId="7140A293">
      <w:pPr>
        <w:spacing w:before="200"/>
      </w:pPr>
    </w:p>
    <w:p w14:paraId="208EB6B0">
      <w:pPr>
        <w:jc w:val="right"/>
      </w:pPr>
      <w:r>
        <w:rPr>
          <w:rFonts w:ascii="Times New Roman" w:hAnsi="Times New Roman" w:eastAsia="Times New Roman" w:cs="Times New Roman"/>
          <w:sz w:val="24"/>
          <w:szCs w:val="24"/>
        </w:rPr>
        <w:t>Vrinda Puri</w:t>
      </w:r>
    </w:p>
    <w:p w14:paraId="1D09F7D0">
      <w:r>
        <w:br w:type="page"/>
      </w:r>
    </w:p>
    <w:p w14:paraId="796C067D">
      <w:pPr>
        <w:spacing w:before="200" w:after="240"/>
        <w:jc w:val="center"/>
      </w:pPr>
      <w:r>
        <w:rPr>
          <w:rFonts w:ascii="Times New Roman" w:hAnsi="Times New Roman" w:eastAsia="Times New Roman" w:cs="Times New Roman"/>
          <w:b/>
          <w:bCs/>
          <w:sz w:val="28"/>
          <w:szCs w:val="28"/>
        </w:rPr>
        <w:t>ABSTRACT</w:t>
      </w:r>
    </w:p>
    <w:p w14:paraId="4743A00F">
      <w:pPr>
        <w:spacing w:before="80" w:after="80" w:line="360" w:lineRule="auto"/>
        <w:jc w:val="both"/>
      </w:pPr>
      <w:r>
        <w:rPr>
          <w:rFonts w:ascii="Times New Roman" w:hAnsi="Times New Roman" w:eastAsia="Times New Roman" w:cs="Times New Roman"/>
          <w:sz w:val="24"/>
          <w:szCs w:val="24"/>
        </w:rPr>
        <w:t>Sensitive user data is being collected on a wide scale as a result of the rapid expansion of machine learning applications, which has raised serious privacy, security, and legal compliance issues. Traditional centralized learning systems require user data to be aggregated on a central server for training, increasing the risk of data breaches and unauthorized access. Federated Learning (FL) is a promising distributed machine learning approach that protects user privacy by enabling collaborative model training without sharing raw data.</w:t>
      </w:r>
    </w:p>
    <w:p w14:paraId="4B93DAB4">
      <w:pPr>
        <w:spacing w:before="80" w:after="80" w:line="360" w:lineRule="auto"/>
        <w:jc w:val="both"/>
      </w:pPr>
      <w:r>
        <w:rPr>
          <w:rFonts w:ascii="Times New Roman" w:hAnsi="Times New Roman" w:eastAsia="Times New Roman" w:cs="Times New Roman"/>
          <w:sz w:val="24"/>
          <w:szCs w:val="24"/>
        </w:rPr>
        <w:t>This research investigates how privacy-preserving machine learning systems are made possible through federated learning. We examine the mathematical underpinnings and architecture of federated learning, explore key privacy-enhancing strategies such as homomorphic encryption, differential privacy, and secure multi-party computation, and identify significant opportunities in healthcare, finance, mobile computing, and the Internet of Things. We also assess critical technical and security challenges that hinder widespread implementation, including communication overhead, data heterogeneity, model poisoning, and gradient inversion attacks.</w:t>
      </w:r>
    </w:p>
    <w:p w14:paraId="392D4B29">
      <w:pPr>
        <w:spacing w:before="80" w:after="80" w:line="360" w:lineRule="auto"/>
        <w:jc w:val="both"/>
      </w:pPr>
      <w:r>
        <w:rPr>
          <w:rFonts w:ascii="Times New Roman" w:hAnsi="Times New Roman" w:eastAsia="Times New Roman" w:cs="Times New Roman"/>
          <w:sz w:val="24"/>
          <w:szCs w:val="24"/>
        </w:rPr>
        <w:t>To overcome these limitations, we propose a novel Privacy-Preserving Federated Learning system with Homomorphic Encryption (PFed-HE) that integrates encrypted gradient aggregation, differential privacy, dynamic key management, and batch processing optimization. Experimental evaluation demonstrates that PFed-HE achieves accuracy within 1.8% of the non-private baseline on MNIST and within 3.2% on CIFAR-10, while offering stronger (ε = 0.5)-DP guarantees than comparable approaches.</w:t>
      </w:r>
    </w:p>
    <w:p w14:paraId="3212BB19">
      <w:pPr>
        <w:spacing w:before="160"/>
      </w:pPr>
    </w:p>
    <w:p w14:paraId="1305A3B8">
      <w:r>
        <w:br w:type="page"/>
      </w:r>
    </w:p>
    <w:p w14:paraId="1BA30B84">
      <w:pPr>
        <w:spacing w:before="300" w:after="120"/>
        <w:jc w:val="left"/>
      </w:pPr>
      <w:r>
        <w:rPr>
          <w:rFonts w:ascii="Times New Roman" w:hAnsi="Times New Roman" w:eastAsia="Times New Roman" w:cs="Times New Roman"/>
          <w:b/>
          <w:bCs/>
          <w:sz w:val="28"/>
          <w:szCs w:val="28"/>
        </w:rPr>
        <w:t>1. INTRODUCTION</w:t>
      </w:r>
    </w:p>
    <w:p w14:paraId="0BED4C97">
      <w:pPr>
        <w:spacing w:before="80" w:after="80" w:line="360" w:lineRule="auto"/>
        <w:jc w:val="both"/>
      </w:pPr>
      <w:r>
        <w:rPr>
          <w:rFonts w:ascii="Times New Roman" w:hAnsi="Times New Roman" w:eastAsia="Times New Roman" w:cs="Times New Roman"/>
          <w:sz w:val="24"/>
          <w:szCs w:val="24"/>
        </w:rPr>
        <w:t>Machine learning (ML) has become widely used in a variety of industries, including healthcare, banking, e-commerce, and mobile applications, due to its rapid development. Large amounts of user data are crucial to these systems’ high accuracy and performance. However, the gathering and centralization of such data raises serious privacy, security, and regulatory compliance concerns. Risks including data breaches, unauthorized access, and abuse can affect sensitive information, including financial, medical, and personal data [1].</w:t>
      </w:r>
    </w:p>
    <w:p w14:paraId="7A336D9A">
      <w:pPr>
        <w:spacing w:before="80" w:after="80" w:line="360" w:lineRule="auto"/>
        <w:jc w:val="both"/>
      </w:pPr>
      <w:r>
        <w:rPr>
          <w:rFonts w:ascii="Times New Roman" w:hAnsi="Times New Roman" w:eastAsia="Times New Roman" w:cs="Times New Roman"/>
          <w:sz w:val="24"/>
          <w:szCs w:val="24"/>
        </w:rPr>
        <w:t>Traditional machine learning approaches follow a centralized paradigm, where data from multiple sources is aggregated and stored on a central server for training. While this approach simplifies model development, it introduces vulnerabilities and violates data privacy principles. With increasing awareness and enforcement of strict regulations such as the General Data Protection Regulation (GDPR) in the European Union, there is a growing demand for privacy-preserving machine learning techniques that minimize data exposure while maintaining model utility [2].</w:t>
      </w:r>
    </w:p>
    <w:p w14:paraId="58D3A31F">
      <w:pPr>
        <w:spacing w:before="80" w:after="80" w:line="360" w:lineRule="auto"/>
        <w:jc w:val="both"/>
      </w:pPr>
      <w:r>
        <w:rPr>
          <w:rFonts w:ascii="Times New Roman" w:hAnsi="Times New Roman" w:eastAsia="Times New Roman" w:cs="Times New Roman"/>
          <w:sz w:val="24"/>
          <w:szCs w:val="24"/>
        </w:rPr>
        <w:t>Federated Learning (FL), formally introduced by McMahan et al. (2017), addresses these challenges by allowing multiple clients to collaboratively train a shared global model without sending raw data to a central server. Instead, each client performs local training and transmits only model updates (gradients), which are aggregated at the server. This architecture ensures that sensitive data never leaves the originating device or institution.</w:t>
      </w:r>
    </w:p>
    <w:p w14:paraId="4D07D6B3">
      <w:pPr>
        <w:spacing w:before="80" w:after="80" w:line="360" w:lineRule="auto"/>
        <w:jc w:val="both"/>
      </w:pPr>
      <w:r>
        <w:rPr>
          <w:rFonts w:ascii="Times New Roman" w:hAnsi="Times New Roman" w:eastAsia="Times New Roman" w:cs="Times New Roman"/>
          <w:sz w:val="24"/>
          <w:szCs w:val="24"/>
        </w:rPr>
        <w:t>However, FL also brings challenges such as communication overhead from frequent model update exchanges, system heterogeneity from different hardware and data distributions, and potential security flaws like data poisoning and model inversion attacks. Incorporating complementary strategies like Secure Multi-Party Computation (SMC) and Differential Privacy (DP) is necessary to ensure robust privacy assurances [4].</w:t>
      </w:r>
    </w:p>
    <w:p w14:paraId="070D13BE">
      <w:pPr>
        <w:spacing w:before="80" w:after="80" w:line="360" w:lineRule="auto"/>
        <w:jc w:val="both"/>
      </w:pPr>
      <w:r>
        <w:rPr>
          <w:rFonts w:ascii="Times New Roman" w:hAnsi="Times New Roman" w:eastAsia="Times New Roman" w:cs="Times New Roman"/>
          <w:sz w:val="24"/>
          <w:szCs w:val="24"/>
        </w:rPr>
        <w:t>The goal of this report is to present a thorough analysis of federated learning as a privacy-preserving machine learning framework. The fundamental architecture and mathematical formulation of FL are presented, along with an overview of the primary privacy-enhancing strategies, prospects in various application domains, and an analysis of the technical and security challenges that affect widespread adoption. Furthermore, we propose a novel PFed-HE system that combines homomorphic encryption with differential privacy for strong, end-to-end privacy guarantees in federated contexts.</w:t>
      </w:r>
    </w:p>
    <w:p w14:paraId="37C87C48">
      <w:r>
        <w:br w:type="page"/>
      </w:r>
    </w:p>
    <w:p w14:paraId="0D5B034A">
      <w:pPr>
        <w:spacing w:before="300" w:after="120"/>
        <w:jc w:val="left"/>
      </w:pPr>
      <w:r>
        <w:rPr>
          <w:rFonts w:ascii="Times New Roman" w:hAnsi="Times New Roman" w:eastAsia="Times New Roman" w:cs="Times New Roman"/>
          <w:b/>
          <w:bCs/>
          <w:sz w:val="28"/>
          <w:szCs w:val="28"/>
        </w:rPr>
        <w:t>2. METHODOLOGY</w:t>
      </w:r>
    </w:p>
    <w:p w14:paraId="09DA6057">
      <w:pPr>
        <w:spacing w:before="200" w:after="80"/>
        <w:rPr>
          <w:rFonts w:hint="default"/>
          <w:lang w:val="en-IN"/>
        </w:rPr>
      </w:pPr>
      <w:r>
        <w:rPr>
          <w:rFonts w:ascii="Times New Roman" w:hAnsi="Times New Roman" w:eastAsia="Times New Roman" w:cs="Times New Roman"/>
          <w:b/>
          <w:bCs/>
          <w:sz w:val="24"/>
          <w:szCs w:val="24"/>
        </w:rPr>
        <w:t xml:space="preserve">2.1 </w:t>
      </w:r>
      <w:r>
        <w:rPr>
          <w:rFonts w:hint="default" w:cs="Times New Roman"/>
          <w:b/>
          <w:bCs/>
          <w:sz w:val="24"/>
          <w:szCs w:val="24"/>
          <w:lang w:val="en-IN"/>
        </w:rPr>
        <w:t>Architecture Involved</w:t>
      </w:r>
    </w:p>
    <w:p w14:paraId="2DD1366E">
      <w:pPr>
        <w:spacing w:before="80" w:after="80" w:line="360" w:lineRule="auto"/>
        <w:jc w:val="both"/>
      </w:pPr>
      <w:r>
        <w:rPr>
          <w:rFonts w:ascii="Times New Roman" w:hAnsi="Times New Roman" w:eastAsia="Times New Roman" w:cs="Times New Roman"/>
          <w:sz w:val="24"/>
          <w:szCs w:val="24"/>
        </w:rPr>
        <w:t>Before model training begins, traditional centralized machine learning gathers, transports, and stores all data in a single repository. While this makes it possible to generate high-quality models from vast aggregated datasets, it creates a single point of failure from a security and privacy standpoint. Organizations that collect and process personal data are subject to stringent regulations such as GDPR, HIPAA, and PCI-DSS, providing legal incentives for privacy-by-design machine learning systems [5].</w:t>
      </w:r>
    </w:p>
    <w:p w14:paraId="04F7AD49">
      <w:pPr>
        <w:spacing w:before="80" w:after="80" w:line="360" w:lineRule="auto"/>
        <w:jc w:val="both"/>
      </w:pPr>
      <w:r>
        <w:rPr>
          <w:rFonts w:ascii="Times New Roman" w:hAnsi="Times New Roman" w:eastAsia="Times New Roman" w:cs="Times New Roman"/>
          <w:sz w:val="24"/>
          <w:szCs w:val="24"/>
        </w:rPr>
        <w:t>McMahan et al. (2017) formally introduced Federated Learning as a way to train language models on mobile devices without sending user input to Google’s servers. The key insight was that a shared global model could be jointly improved by sharing gradient updates rather than raw data. FL systems are commonly categorized along three axes: (i) horizontal FL, where participants share the same feature space but differ in data samples; (ii) vertical FL, where participants hold different feature sets for overlapping subjects; and (iii) federated transfer learning, for scenarios where neither sample overlap nor feature space alignment is significant [6].</w:t>
      </w:r>
    </w:p>
    <w:p w14:paraId="45577B85">
      <w:pPr>
        <w:spacing w:before="200" w:after="80"/>
      </w:pPr>
      <w:r>
        <w:rPr>
          <w:rFonts w:ascii="Times New Roman" w:hAnsi="Times New Roman" w:eastAsia="Times New Roman" w:cs="Times New Roman"/>
          <w:b/>
          <w:bCs/>
          <w:sz w:val="24"/>
          <w:szCs w:val="24"/>
        </w:rPr>
        <w:t>2.2 Federated Learning Architecture</w:t>
      </w:r>
    </w:p>
    <w:p w14:paraId="3128C9CD">
      <w:pPr>
        <w:spacing w:before="80" w:after="80" w:line="360" w:lineRule="auto"/>
        <w:jc w:val="both"/>
      </w:pPr>
      <w:r>
        <w:rPr>
          <w:rFonts w:ascii="Times New Roman" w:hAnsi="Times New Roman" w:eastAsia="Times New Roman" w:cs="Times New Roman"/>
          <w:sz w:val="24"/>
          <w:szCs w:val="24"/>
        </w:rPr>
        <w:t>A federated learning system consists of three main components: (1) a collection of N dispersed clients, each with a private local dataset D_k; (2) a central aggregation server that organizes training cycles and combines model updates; and (3) a communication protocol regulating the transfer of model parameters. Clients in cross-device FL are typically mobile devices (IoT sensors or smartphones), while in cross-silo FL they are institutional players such as banks and hospitals [6].</w:t>
      </w:r>
    </w:p>
    <w:p w14:paraId="7DCE1D78">
      <w:pPr>
        <w:spacing w:before="80" w:after="80" w:line="360" w:lineRule="auto"/>
        <w:jc w:val="both"/>
      </w:pPr>
      <w:r>
        <w:rPr>
          <w:rFonts w:ascii="Times New Roman" w:hAnsi="Times New Roman" w:eastAsia="Times New Roman" w:cs="Times New Roman"/>
          <w:sz w:val="24"/>
          <w:szCs w:val="24"/>
        </w:rPr>
        <w:t>The FL training protocol proceeds in iterative rounds. In each round t: (i) the server selects a subset of available clients; (ii) each selected client downloads the current global model; (iii) each client performs E epochs of local gradient descent on its private dataset; (iv) each client transmits its locally updated weights back to the server; and (v) the server aggregates the received updates into a new global model using FedAvg or an alternative aggregation strategy. The global FL objective minimizes the weighted sum of local loss functions across all participating clients [3].</w:t>
      </w:r>
    </w:p>
    <w:p w14:paraId="2A903F12">
      <w:pPr>
        <w:spacing w:before="200" w:after="80"/>
      </w:pPr>
      <w:r>
        <w:rPr>
          <w:rFonts w:ascii="Times New Roman" w:hAnsi="Times New Roman" w:eastAsia="Times New Roman" w:cs="Times New Roman"/>
          <w:b/>
          <w:bCs/>
          <w:sz w:val="24"/>
          <w:szCs w:val="24"/>
        </w:rPr>
        <w:t>2.3 Privacy-Preserving Techniques</w:t>
      </w:r>
    </w:p>
    <w:p w14:paraId="0D4BEC74">
      <w:pPr>
        <w:spacing w:before="80" w:after="80" w:line="360" w:lineRule="auto"/>
        <w:jc w:val="both"/>
      </w:pPr>
      <w:r>
        <w:rPr>
          <w:rFonts w:ascii="Times New Roman" w:hAnsi="Times New Roman" w:eastAsia="Times New Roman" w:cs="Times New Roman"/>
          <w:sz w:val="24"/>
          <w:szCs w:val="24"/>
        </w:rPr>
        <w:t>Differential Privacy (DP) provides a mathematically rigorous privacy guarantee by ensuring that the inclusion or exclusion of any individual’s data has negligible effect on the output of a computation. In FL, DP is implemented by adding calibrated Gaussian or Laplacian noise to model updates before transmission. A randomized mechanism M satisfies (ε, δ)-differential privacy if the probability ratio of any output on adjacent datasets is bounded by e^ε, with δ accounting for a small failure probability. Smaller ε values correspond to stronger privacy guarantees but typically result in reduced model accuracy [8].</w:t>
      </w:r>
    </w:p>
    <w:p w14:paraId="79D525F7">
      <w:pPr>
        <w:spacing w:before="80" w:after="80" w:line="360" w:lineRule="auto"/>
        <w:jc w:val="both"/>
      </w:pPr>
      <w:r>
        <w:rPr>
          <w:rFonts w:ascii="Times New Roman" w:hAnsi="Times New Roman" w:eastAsia="Times New Roman" w:cs="Times New Roman"/>
          <w:sz w:val="24"/>
          <w:szCs w:val="24"/>
        </w:rPr>
        <w:t>Homomorphic Encryption (HE) enables direct computation on encrypted data without requiring decryption. In FL, clients encrypt their gradient updates prior to transmission, and the server aggregates the encrypted ciphertexts without ever accessing individual contributions. Fully Homomorphic Encryption (FHE) supports unrestricted computations on ciphertexts, while Partially Homomorphic Encryption (PHE) supports only addition or multiplication. The CKKS approximation scheme facilitates efficient operations over real-valued vectors, making it particularly suitable for FL gradient aggregation [9].</w:t>
      </w:r>
    </w:p>
    <w:p w14:paraId="7BF5093F">
      <w:pPr>
        <w:spacing w:before="80" w:after="80" w:line="360" w:lineRule="auto"/>
        <w:jc w:val="both"/>
      </w:pPr>
      <w:r>
        <w:rPr>
          <w:rFonts w:ascii="Times New Roman" w:hAnsi="Times New Roman" w:eastAsia="Times New Roman" w:cs="Times New Roman"/>
          <w:sz w:val="24"/>
          <w:szCs w:val="24"/>
        </w:rPr>
        <w:t>Secure Multi-Party Computation (SMPC) allows multiple parties to collaboratively compute a function over their private inputs without disclosing those inputs to any party. In FL, SMPC-based secure aggregation methods (such as those proposed by Bonawitz et al., 2017) use secret sharing to guarantee that the server can only learn the sum of client updates, not individual contributions. Each client’s update is divided into n shares distributed among other clients, and reconstruction of the aggregate requires a threshold number of shares [7].</w:t>
      </w:r>
    </w:p>
    <w:p w14:paraId="0BA5FFEE">
      <w:r>
        <w:br w:type="page"/>
      </w:r>
    </w:p>
    <w:p w14:paraId="6F048EB1">
      <w:pPr>
        <w:spacing w:before="300" w:after="120"/>
        <w:jc w:val="left"/>
      </w:pPr>
      <w:r>
        <w:rPr>
          <w:rFonts w:ascii="Times New Roman" w:hAnsi="Times New Roman" w:eastAsia="Times New Roman" w:cs="Times New Roman"/>
          <w:b/>
          <w:bCs/>
          <w:sz w:val="28"/>
          <w:szCs w:val="28"/>
        </w:rPr>
        <w:t>3. TOOLS AND TECHNOLOGIES</w:t>
      </w:r>
    </w:p>
    <w:p w14:paraId="5135296E">
      <w:pPr>
        <w:spacing w:before="200" w:after="80"/>
      </w:pPr>
      <w:r>
        <w:rPr>
          <w:rFonts w:ascii="Times New Roman" w:hAnsi="Times New Roman" w:eastAsia="Times New Roman" w:cs="Times New Roman"/>
          <w:b/>
          <w:bCs/>
          <w:sz w:val="24"/>
          <w:szCs w:val="24"/>
        </w:rPr>
        <w:t>3.1 Machine Learning Frameworks</w:t>
      </w:r>
    </w:p>
    <w:p w14:paraId="315697FF">
      <w:pPr>
        <w:spacing w:before="80" w:after="80" w:line="360" w:lineRule="auto"/>
        <w:jc w:val="both"/>
      </w:pPr>
      <w:r>
        <w:rPr>
          <w:rFonts w:ascii="Times New Roman" w:hAnsi="Times New Roman" w:eastAsia="Times New Roman" w:cs="Times New Roman"/>
          <w:sz w:val="24"/>
          <w:szCs w:val="24"/>
        </w:rPr>
        <w:t>PyTorch and TensorFlow are the primary deep learning frameworks used in federated learning research. They provide automatic differentiation, GPU acceleration, and modular model building blocks essential for implementing FL training loops, gradient clipping, and noise injection for differential privacy.</w:t>
      </w:r>
    </w:p>
    <w:p w14:paraId="373D7AF2">
      <w:pPr>
        <w:spacing w:before="200" w:after="80"/>
      </w:pPr>
      <w:r>
        <w:rPr>
          <w:rFonts w:ascii="Times New Roman" w:hAnsi="Times New Roman" w:eastAsia="Times New Roman" w:cs="Times New Roman"/>
          <w:b/>
          <w:bCs/>
          <w:sz w:val="24"/>
          <w:szCs w:val="24"/>
        </w:rPr>
        <w:t>3.2 Federated Learning Libraries</w:t>
      </w:r>
    </w:p>
    <w:p w14:paraId="6268FE74">
      <w:pPr>
        <w:spacing w:before="80" w:after="80" w:line="360" w:lineRule="auto"/>
        <w:jc w:val="both"/>
      </w:pPr>
      <w:r>
        <w:rPr>
          <w:rFonts w:ascii="Times New Roman" w:hAnsi="Times New Roman" w:eastAsia="Times New Roman" w:cs="Times New Roman"/>
          <w:sz w:val="24"/>
          <w:szCs w:val="24"/>
        </w:rPr>
        <w:t>PySyft (OpenMined) and TensorFlow Federated (TFF) are widely adopted FL frameworks that abstract client-server communication, model aggregation, and privacy mechanisms. They support FedAvg, FedProx, and SCAFFOLD aggregation strategies, and integrate with differential privacy accountants for tracking cumulative privacy budgets.</w:t>
      </w:r>
    </w:p>
    <w:p w14:paraId="166AA27C">
      <w:pPr>
        <w:spacing w:before="200" w:after="80"/>
      </w:pPr>
      <w:r>
        <w:rPr>
          <w:rFonts w:ascii="Times New Roman" w:hAnsi="Times New Roman" w:eastAsia="Times New Roman" w:cs="Times New Roman"/>
          <w:b/>
          <w:bCs/>
          <w:sz w:val="24"/>
          <w:szCs w:val="24"/>
        </w:rPr>
        <w:t>3.3 Homomorphic Encryption Libraries</w:t>
      </w:r>
    </w:p>
    <w:p w14:paraId="1E37737C">
      <w:pPr>
        <w:spacing w:before="80" w:after="80" w:line="360" w:lineRule="auto"/>
        <w:jc w:val="both"/>
      </w:pPr>
      <w:r>
        <w:rPr>
          <w:rFonts w:ascii="Times New Roman" w:hAnsi="Times New Roman" w:eastAsia="Times New Roman" w:cs="Times New Roman"/>
          <w:sz w:val="24"/>
          <w:szCs w:val="24"/>
        </w:rPr>
        <w:t>The Microsoft SEAL library and the PySEAL Python bindings implement the CKKS and BFV homomorphic encryption schemes used in PFed-HE. CKKS supports approximate arithmetic on real-valued vectors, making it well-suited for encrypting floating-point gradient tensors. The HEAAN library from Seoul National University provides similar functionality with optimized slot packing for batch gradient encryption.</w:t>
      </w:r>
    </w:p>
    <w:p w14:paraId="447CDAD3">
      <w:pPr>
        <w:spacing w:before="200" w:after="80"/>
      </w:pPr>
      <w:r>
        <w:rPr>
          <w:rFonts w:ascii="Times New Roman" w:hAnsi="Times New Roman" w:eastAsia="Times New Roman" w:cs="Times New Roman"/>
          <w:b/>
          <w:bCs/>
          <w:sz w:val="24"/>
          <w:szCs w:val="24"/>
        </w:rPr>
        <w:t>3.4 Datasets</w:t>
      </w:r>
    </w:p>
    <w:p w14:paraId="1F2229C5">
      <w:pPr>
        <w:spacing w:before="80" w:after="80" w:line="360" w:lineRule="auto"/>
        <w:jc w:val="both"/>
      </w:pPr>
      <w:r>
        <w:rPr>
          <w:rFonts w:ascii="Times New Roman" w:hAnsi="Times New Roman" w:eastAsia="Times New Roman" w:cs="Times New Roman"/>
          <w:sz w:val="24"/>
          <w:szCs w:val="24"/>
        </w:rPr>
        <w:t>Three benchmark datasets are used in this study: (1) MNIST — a handwritten digit classification dataset consisting of 60,000 training images and 10,000 test images at 28×28 pixels; (2) CIFAR-10 — a 10-class image classification dataset with 50,000 training and 10,000 test images at 32×32 pixels; and (3) a medical imaging dataset for binary chest X-ray classification (pneumonia detection). Non-IID partitioning using Dirichlet allocation (α = 0.5) across 100 simulated clients replicates real-world statistical heterogeneity.</w:t>
      </w:r>
    </w:p>
    <w:p w14:paraId="0E15F553">
      <w:pPr>
        <w:spacing w:before="200" w:after="80"/>
      </w:pPr>
      <w:r>
        <w:rPr>
          <w:rFonts w:ascii="Times New Roman" w:hAnsi="Times New Roman" w:eastAsia="Times New Roman" w:cs="Times New Roman"/>
          <w:b/>
          <w:bCs/>
          <w:sz w:val="24"/>
          <w:szCs w:val="24"/>
        </w:rPr>
        <w:t>3.5 Hardware and Evaluation Environment</w:t>
      </w:r>
    </w:p>
    <w:p w14:paraId="62D91C07">
      <w:pPr>
        <w:spacing w:before="80" w:after="80" w:line="360" w:lineRule="auto"/>
        <w:jc w:val="both"/>
      </w:pPr>
      <w:r>
        <w:rPr>
          <w:rFonts w:ascii="Times New Roman" w:hAnsi="Times New Roman" w:eastAsia="Times New Roman" w:cs="Times New Roman"/>
          <w:sz w:val="24"/>
          <w:szCs w:val="24"/>
        </w:rPr>
        <w:t>Experiments are conducted on a commodity laptop (Intel Core i7, 16 GB RAM) for client-side encryption timing benchmarks. Server-side aggregation experiments are run on a system with an NVIDIA GPU to enable parallel HE operations. Communication overhead is measured by tracking ciphertext sizes relative to plaintext gradient sizes across training rounds.</w:t>
      </w:r>
    </w:p>
    <w:p w14:paraId="783A57B4">
      <w:r>
        <w:br w:type="page"/>
      </w:r>
    </w:p>
    <w:p w14:paraId="4D564F44">
      <w:pPr>
        <w:spacing w:before="300" w:after="120"/>
        <w:jc w:val="left"/>
      </w:pPr>
      <w:r>
        <w:rPr>
          <w:rFonts w:ascii="Times New Roman" w:hAnsi="Times New Roman" w:eastAsia="Times New Roman" w:cs="Times New Roman"/>
          <w:b/>
          <w:bCs/>
          <w:sz w:val="28"/>
          <w:szCs w:val="28"/>
        </w:rPr>
        <w:t>4. IMPLEMENTATION: PROPOSED SYSTEM (PFED-HE)</w:t>
      </w:r>
    </w:p>
    <w:p w14:paraId="0E2DA56C">
      <w:pPr>
        <w:spacing w:before="200" w:after="80"/>
      </w:pPr>
      <w:r>
        <w:rPr>
          <w:rFonts w:ascii="Times New Roman" w:hAnsi="Times New Roman" w:eastAsia="Times New Roman" w:cs="Times New Roman"/>
          <w:b/>
          <w:bCs/>
          <w:sz w:val="24"/>
          <w:szCs w:val="24"/>
        </w:rPr>
        <w:t>4.1 System Overview</w:t>
      </w:r>
    </w:p>
    <w:p w14:paraId="40A8B7ED">
      <w:pPr>
        <w:spacing w:before="80" w:after="80" w:line="360" w:lineRule="auto"/>
        <w:jc w:val="both"/>
      </w:pPr>
      <w:r>
        <w:rPr>
          <w:rFonts w:ascii="Times New Roman" w:hAnsi="Times New Roman" w:eastAsia="Times New Roman" w:cs="Times New Roman"/>
          <w:sz w:val="24"/>
          <w:szCs w:val="24"/>
        </w:rPr>
        <w:t>We present Privacy-Preserving Federated Learning with Homomorphic Encryption (PFed-HE), a novel framework designed to address the compounded privacy and security requirements of sensitive federated deployments. PFed-HE integrates: (i) optimized homomorphic encryption for gradient protection; (ii) differential privacy noise injection as a secondary privacy layer; (iii) a client-side encryption module embedded in the training loop; (iv) decentralized model aggregation over encrypted ciphertexts; (v) a dynamic key management system with periodic rotation; and (vi) batch-parallelized HE operations for computational efficiency.</w:t>
      </w:r>
    </w:p>
    <w:p w14:paraId="56FD46CA">
      <w:pPr>
        <w:spacing w:before="200" w:after="80"/>
      </w:pPr>
      <w:r>
        <w:rPr>
          <w:rFonts w:ascii="Times New Roman" w:hAnsi="Times New Roman" w:eastAsia="Times New Roman" w:cs="Times New Roman"/>
          <w:b/>
          <w:bCs/>
          <w:sz w:val="24"/>
          <w:szCs w:val="24"/>
        </w:rPr>
        <w:t>4.2 Client-Side Encryption Module</w:t>
      </w:r>
    </w:p>
    <w:p w14:paraId="54223607">
      <w:pPr>
        <w:spacing w:before="80" w:after="80" w:line="360" w:lineRule="auto"/>
        <w:jc w:val="both"/>
      </w:pPr>
      <w:r>
        <w:rPr>
          <w:rFonts w:ascii="Times New Roman" w:hAnsi="Times New Roman" w:eastAsia="Times New Roman" w:cs="Times New Roman"/>
          <w:sz w:val="24"/>
          <w:szCs w:val="24"/>
        </w:rPr>
        <w:t>Each client applies a multi-layered encryption process before transmitting local model updates. First, gradients are clipped to a sensitivity bound S to limit the contribution of any single parameter to the encrypted aggregate. Next, the clipped gradients are supplemented with calibrated Gaussian noise N(0, σ²I) to satisfy (ε, δ)-DP. Third, the CKKS approximation HE scheme is used to encrypt the noised gradient vector. The resulting encrypted ciphertext is then transmitted to the aggregation server.</w:t>
      </w:r>
    </w:p>
    <w:p w14:paraId="0F6C1485">
      <w:pPr>
        <w:spacing w:before="200" w:after="80"/>
      </w:pPr>
      <w:r>
        <w:rPr>
          <w:rFonts w:ascii="Times New Roman" w:hAnsi="Times New Roman" w:eastAsia="Times New Roman" w:cs="Times New Roman"/>
          <w:b/>
          <w:bCs/>
          <w:sz w:val="24"/>
          <w:szCs w:val="24"/>
        </w:rPr>
        <w:t>4.3 Encrypted Aggregation and Decryption</w:t>
      </w:r>
    </w:p>
    <w:p w14:paraId="6AC73B1D">
      <w:pPr>
        <w:spacing w:before="80" w:after="80" w:line="360" w:lineRule="auto"/>
        <w:jc w:val="both"/>
      </w:pPr>
      <w:r>
        <w:rPr>
          <w:rFonts w:ascii="Times New Roman" w:hAnsi="Times New Roman" w:eastAsia="Times New Roman" w:cs="Times New Roman"/>
          <w:sz w:val="24"/>
          <w:szCs w:val="24"/>
        </w:rPr>
        <w:t>In each round t, participating clients transmit encrypted ciphertexts to the central server. The server computes the encrypted aggregate by exploiting CKKS’s additive homomorphism, performing weighted combination of ciphertexts directly in the encrypted domain. Without ever accessing individual gradient contributions, the server decrypts only the final weighted aggregate using the shared session key and updates the global model. This guarantees that neither the server nor any third party can reconstruct individual client updates.</w:t>
      </w:r>
    </w:p>
    <w:p w14:paraId="08026B9E">
      <w:pPr>
        <w:spacing w:before="200" w:after="80"/>
      </w:pPr>
      <w:r>
        <w:rPr>
          <w:rFonts w:ascii="Times New Roman" w:hAnsi="Times New Roman" w:eastAsia="Times New Roman" w:cs="Times New Roman"/>
          <w:b/>
          <w:bCs/>
          <w:sz w:val="24"/>
          <w:szCs w:val="24"/>
        </w:rPr>
        <w:t>4.4 Dynamic Key Management</w:t>
      </w:r>
    </w:p>
    <w:p w14:paraId="49960968">
      <w:pPr>
        <w:spacing w:before="80" w:after="80" w:line="360" w:lineRule="auto"/>
        <w:jc w:val="both"/>
      </w:pPr>
      <w:r>
        <w:rPr>
          <w:rFonts w:ascii="Times New Roman" w:hAnsi="Times New Roman" w:eastAsia="Times New Roman" w:cs="Times New Roman"/>
          <w:sz w:val="24"/>
          <w:szCs w:val="24"/>
        </w:rPr>
        <w:t>PFed-HE generates shared encryption keys between each client pair at the start of each federation round using a Diffie-Hellman-based key negotiation mechanism. Keys are rotated every R rounds to minimize the exposure window of any compromised key. A secure key distribution center (KDC) manages key expiration and revocation without centrally storing plaintext keys, preventing even a fully compromised KDC from decrypting prior communications.</w:t>
      </w:r>
    </w:p>
    <w:p w14:paraId="6CB37F53">
      <w:pPr>
        <w:spacing w:before="200" w:after="80"/>
      </w:pPr>
      <w:r>
        <w:rPr>
          <w:rFonts w:ascii="Times New Roman" w:hAnsi="Times New Roman" w:eastAsia="Times New Roman" w:cs="Times New Roman"/>
          <w:b/>
          <w:bCs/>
          <w:sz w:val="24"/>
          <w:szCs w:val="24"/>
        </w:rPr>
        <w:t>4.5 Performance Optimization</w:t>
      </w:r>
    </w:p>
    <w:p w14:paraId="4E81CA3B">
      <w:pPr>
        <w:spacing w:before="80" w:after="80" w:line="360" w:lineRule="auto"/>
        <w:jc w:val="both"/>
      </w:pPr>
      <w:r>
        <w:rPr>
          <w:rFonts w:ascii="Times New Roman" w:hAnsi="Times New Roman" w:eastAsia="Times New Roman" w:cs="Times New Roman"/>
          <w:sz w:val="24"/>
          <w:szCs w:val="24"/>
        </w:rPr>
        <w:t>Three optimization strategies reduce the computational overhead of HE in PFed-HE: (i) batch processing using Chinese Remainder Theorem (CRT) slot packing to pack multiple gradient elements into a single CKKS ciphertext; (ii) parallel HE operations across available CPU/GPU cores, reducing per-round encryption time by up to 60%; and (iii) gradient compression via top-k sparsification, which reduces the number of elements requiring encryption without significantly degrading model accuracy.</w:t>
      </w:r>
    </w:p>
    <w:p w14:paraId="7B9AA7B4">
      <w:r>
        <w:br w:type="page"/>
      </w:r>
    </w:p>
    <w:p w14:paraId="1516F44A">
      <w:pPr>
        <w:spacing w:before="300" w:after="120"/>
        <w:jc w:val="left"/>
      </w:pPr>
      <w:r>
        <w:rPr>
          <w:rFonts w:ascii="Times New Roman" w:hAnsi="Times New Roman" w:eastAsia="Times New Roman" w:cs="Times New Roman"/>
          <w:b/>
          <w:bCs/>
          <w:sz w:val="28"/>
          <w:szCs w:val="28"/>
        </w:rPr>
        <w:t>5. MAJOR FINDINGS / OUTCOMES / RESULTS</w:t>
      </w:r>
    </w:p>
    <w:p w14:paraId="1D1D31A0">
      <w:pPr>
        <w:spacing w:before="200" w:after="80"/>
      </w:pPr>
      <w:r>
        <w:rPr>
          <w:rFonts w:ascii="Times New Roman" w:hAnsi="Times New Roman" w:eastAsia="Times New Roman" w:cs="Times New Roman"/>
          <w:b/>
          <w:bCs/>
          <w:sz w:val="24"/>
          <w:szCs w:val="24"/>
        </w:rPr>
        <w:t>5.1 Experimental Setup</w:t>
      </w:r>
    </w:p>
    <w:p w14:paraId="4FC9E3AB">
      <w:pPr>
        <w:spacing w:before="80" w:after="80" w:line="360" w:lineRule="auto"/>
        <w:jc w:val="both"/>
      </w:pPr>
      <w:r>
        <w:rPr>
          <w:rFonts w:ascii="Times New Roman" w:hAnsi="Times New Roman" w:eastAsia="Times New Roman" w:cs="Times New Roman"/>
          <w:sz w:val="24"/>
          <w:szCs w:val="24"/>
        </w:rPr>
        <w:t>Three baselines are evaluated against PFed-HE: (1) Standard FedAvg without any privacy technique; (2) DP-FedAvg with Gaussian mechanism (ε = 1.0, δ = 10⁻⁵); and (3) SecAgg (FedAvg with secure aggregation but no DP). Experiments use MNIST, CIFAR-10, and a medical chest X-ray dataset with non-IID data partitioning (Dirichlet α = 0.5) across 100 simulated clients.</w:t>
      </w:r>
    </w:p>
    <w:p w14:paraId="0B7D1DB9">
      <w:pPr>
        <w:spacing w:before="200" w:after="80"/>
      </w:pPr>
      <w:r>
        <w:rPr>
          <w:rFonts w:ascii="Times New Roman" w:hAnsi="Times New Roman" w:eastAsia="Times New Roman" w:cs="Times New Roman"/>
          <w:b/>
          <w:bCs/>
          <w:sz w:val="24"/>
          <w:szCs w:val="24"/>
        </w:rPr>
        <w:t>5.2 Accuracy and Privacy Results</w:t>
      </w:r>
    </w:p>
    <w:p w14:paraId="74336C15">
      <w:pPr>
        <w:spacing w:before="80" w:after="80" w:line="360" w:lineRule="auto"/>
        <w:jc w:val="both"/>
      </w:pPr>
      <w:r>
        <w:rPr>
          <w:rFonts w:ascii="Times New Roman" w:hAnsi="Times New Roman" w:eastAsia="Times New Roman" w:cs="Times New Roman"/>
          <w:sz w:val="24"/>
          <w:szCs w:val="24"/>
        </w:rPr>
        <w:t>Table I below summarizes the accuracy and privacy performance of all four systems. PFed-HE achieves accuracy within 1.8% of the non-private FedAvg baseline on MNIST and within 3.2% on CIFAR-10, while providing stronger (ε = 0.5)-DP guarantees than DP-FedAvg at equivalent accuracy. On the medical imaging task, PFed-HE achieves an AUC of 91.4% compared to 93.1% for non-private FedAvg — an acceptable privacy cost for real clinical deployments.</w:t>
      </w:r>
    </w:p>
    <w:p w14:paraId="4D3FC626">
      <w:pPr>
        <w:spacing w:before="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800"/>
        <w:gridCol w:w="1800"/>
        <w:gridCol w:w="1800"/>
        <w:gridCol w:w="1620"/>
      </w:tblGrid>
      <w:tr w14:paraId="7C3B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49CF2184">
            <w:pPr>
              <w:jc w:val="center"/>
            </w:pPr>
            <w:r>
              <w:rPr>
                <w:rFonts w:ascii="Times New Roman" w:hAnsi="Times New Roman" w:eastAsia="Times New Roman" w:cs="Times New Roman"/>
                <w:b/>
                <w:bCs/>
                <w:sz w:val="22"/>
                <w:szCs w:val="22"/>
              </w:rPr>
              <w:t>System</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7EA7EA0B">
            <w:pPr>
              <w:jc w:val="center"/>
            </w:pPr>
            <w:r>
              <w:rPr>
                <w:rFonts w:ascii="Times New Roman" w:hAnsi="Times New Roman" w:eastAsia="Times New Roman" w:cs="Times New Roman"/>
                <w:b/>
                <w:bCs/>
                <w:sz w:val="22"/>
                <w:szCs w:val="22"/>
              </w:rPr>
              <w:t>MNIST Acc. (%)</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4D0F24EF">
            <w:pPr>
              <w:jc w:val="center"/>
            </w:pPr>
            <w:r>
              <w:rPr>
                <w:rFonts w:ascii="Times New Roman" w:hAnsi="Times New Roman" w:eastAsia="Times New Roman" w:cs="Times New Roman"/>
                <w:b/>
                <w:bCs/>
                <w:sz w:val="22"/>
                <w:szCs w:val="22"/>
              </w:rPr>
              <w:t>CIFAR-10 Acc. (%)</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580D018C">
            <w:pPr>
              <w:jc w:val="center"/>
            </w:pPr>
            <w:r>
              <w:rPr>
                <w:rFonts w:ascii="Times New Roman" w:hAnsi="Times New Roman" w:eastAsia="Times New Roman" w:cs="Times New Roman"/>
                <w:b/>
                <w:bCs/>
                <w:sz w:val="22"/>
                <w:szCs w:val="22"/>
              </w:rPr>
              <w:t>Medical AUC (%)</w:t>
            </w:r>
          </w:p>
        </w:tc>
        <w:tc>
          <w:tcPr>
            <w:tcW w:w="162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0CC2DBE2">
            <w:pPr>
              <w:jc w:val="center"/>
            </w:pPr>
            <w:r>
              <w:rPr>
                <w:rFonts w:ascii="Times New Roman" w:hAnsi="Times New Roman" w:eastAsia="Times New Roman" w:cs="Times New Roman"/>
                <w:b/>
                <w:bCs/>
                <w:sz w:val="22"/>
                <w:szCs w:val="22"/>
              </w:rPr>
              <w:t>Privacy (ε)</w:t>
            </w:r>
          </w:p>
        </w:tc>
      </w:tr>
      <w:tr w14:paraId="0AFD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1BD1C9E">
            <w:pPr>
              <w:jc w:val="center"/>
            </w:pPr>
            <w:r>
              <w:rPr>
                <w:rFonts w:ascii="Times New Roman" w:hAnsi="Times New Roman" w:eastAsia="Times New Roman" w:cs="Times New Roman"/>
                <w:b w:val="0"/>
                <w:bCs w:val="0"/>
                <w:sz w:val="22"/>
                <w:szCs w:val="22"/>
              </w:rPr>
              <w:t>FedAvg (baseline)</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561E5E">
            <w:pPr>
              <w:jc w:val="center"/>
            </w:pPr>
            <w:r>
              <w:rPr>
                <w:rFonts w:ascii="Times New Roman" w:hAnsi="Times New Roman" w:eastAsia="Times New Roman" w:cs="Times New Roman"/>
                <w:b w:val="0"/>
                <w:bCs w:val="0"/>
                <w:sz w:val="22"/>
                <w:szCs w:val="22"/>
              </w:rPr>
              <w:t>98.7</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485B3C">
            <w:pPr>
              <w:jc w:val="center"/>
            </w:pPr>
            <w:r>
              <w:rPr>
                <w:rFonts w:ascii="Times New Roman" w:hAnsi="Times New Roman" w:eastAsia="Times New Roman" w:cs="Times New Roman"/>
                <w:b w:val="0"/>
                <w:bCs w:val="0"/>
                <w:sz w:val="22"/>
                <w:szCs w:val="22"/>
              </w:rPr>
              <w:t>83.4</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3D6F50">
            <w:pPr>
              <w:jc w:val="center"/>
            </w:pPr>
            <w:r>
              <w:rPr>
                <w:rFonts w:ascii="Times New Roman" w:hAnsi="Times New Roman" w:eastAsia="Times New Roman" w:cs="Times New Roman"/>
                <w:b w:val="0"/>
                <w:bCs w:val="0"/>
                <w:sz w:val="22"/>
                <w:szCs w:val="22"/>
              </w:rPr>
              <w:t>93.1</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A79B0B9">
            <w:pPr>
              <w:jc w:val="center"/>
            </w:pPr>
            <w:r>
              <w:rPr>
                <w:rFonts w:ascii="Times New Roman" w:hAnsi="Times New Roman" w:eastAsia="Times New Roman" w:cs="Times New Roman"/>
                <w:b w:val="0"/>
                <w:bCs w:val="0"/>
                <w:sz w:val="22"/>
                <w:szCs w:val="22"/>
              </w:rPr>
              <w:t>None</w:t>
            </w:r>
          </w:p>
        </w:tc>
      </w:tr>
      <w:tr w14:paraId="246D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00D73F">
            <w:pPr>
              <w:jc w:val="center"/>
            </w:pPr>
            <w:r>
              <w:rPr>
                <w:rFonts w:ascii="Times New Roman" w:hAnsi="Times New Roman" w:eastAsia="Times New Roman" w:cs="Times New Roman"/>
                <w:b w:val="0"/>
                <w:bCs w:val="0"/>
                <w:sz w:val="22"/>
                <w:szCs w:val="22"/>
              </w:rPr>
              <w:t>DP-FedAvg</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2CEE70C">
            <w:pPr>
              <w:jc w:val="center"/>
            </w:pPr>
            <w:r>
              <w:rPr>
                <w:rFonts w:ascii="Times New Roman" w:hAnsi="Times New Roman" w:eastAsia="Times New Roman" w:cs="Times New Roman"/>
                <w:b w:val="0"/>
                <w:bCs w:val="0"/>
                <w:sz w:val="22"/>
                <w:szCs w:val="22"/>
              </w:rPr>
              <w:t>96.1</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781054">
            <w:pPr>
              <w:jc w:val="center"/>
            </w:pPr>
            <w:r>
              <w:rPr>
                <w:rFonts w:ascii="Times New Roman" w:hAnsi="Times New Roman" w:eastAsia="Times New Roman" w:cs="Times New Roman"/>
                <w:b w:val="0"/>
                <w:bCs w:val="0"/>
                <w:sz w:val="22"/>
                <w:szCs w:val="22"/>
              </w:rPr>
              <w:t>78.9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EE2FEF9">
            <w:pPr>
              <w:jc w:val="center"/>
            </w:pPr>
            <w:r>
              <w:rPr>
                <w:rFonts w:ascii="Times New Roman" w:hAnsi="Times New Roman" w:eastAsia="Times New Roman" w:cs="Times New Roman"/>
                <w:b w:val="0"/>
                <w:bCs w:val="0"/>
                <w:sz w:val="22"/>
                <w:szCs w:val="22"/>
              </w:rPr>
              <w:t>89.2</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F98AB9">
            <w:pPr>
              <w:jc w:val="center"/>
            </w:pPr>
            <w:r>
              <w:rPr>
                <w:rFonts w:ascii="Times New Roman" w:hAnsi="Times New Roman" w:eastAsia="Times New Roman" w:cs="Times New Roman"/>
                <w:b w:val="0"/>
                <w:bCs w:val="0"/>
                <w:sz w:val="22"/>
                <w:szCs w:val="22"/>
              </w:rPr>
              <w:t>1.0</w:t>
            </w:r>
          </w:p>
        </w:tc>
      </w:tr>
      <w:tr w14:paraId="5098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A36081">
            <w:pPr>
              <w:jc w:val="center"/>
            </w:pPr>
            <w:r>
              <w:rPr>
                <w:rFonts w:ascii="Times New Roman" w:hAnsi="Times New Roman" w:eastAsia="Times New Roman" w:cs="Times New Roman"/>
                <w:b w:val="0"/>
                <w:bCs w:val="0"/>
                <w:sz w:val="22"/>
                <w:szCs w:val="22"/>
              </w:rPr>
              <w:t>SecAgg</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067061">
            <w:pPr>
              <w:jc w:val="center"/>
            </w:pPr>
            <w:r>
              <w:rPr>
                <w:rFonts w:ascii="Times New Roman" w:hAnsi="Times New Roman" w:eastAsia="Times New Roman" w:cs="Times New Roman"/>
                <w:b w:val="0"/>
                <w:bCs w:val="0"/>
                <w:sz w:val="22"/>
                <w:szCs w:val="22"/>
              </w:rPr>
              <w:t>98.4</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5044DC">
            <w:pPr>
              <w:jc w:val="center"/>
            </w:pPr>
            <w:r>
              <w:rPr>
                <w:rFonts w:ascii="Times New Roman" w:hAnsi="Times New Roman" w:eastAsia="Times New Roman" w:cs="Times New Roman"/>
                <w:b w:val="0"/>
                <w:bCs w:val="0"/>
                <w:sz w:val="22"/>
                <w:szCs w:val="22"/>
              </w:rPr>
              <w:t>82.9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A88B207">
            <w:pPr>
              <w:jc w:val="center"/>
            </w:pPr>
            <w:r>
              <w:rPr>
                <w:rFonts w:ascii="Times New Roman" w:hAnsi="Times New Roman" w:eastAsia="Times New Roman" w:cs="Times New Roman"/>
                <w:b w:val="0"/>
                <w:bCs w:val="0"/>
                <w:sz w:val="22"/>
                <w:szCs w:val="22"/>
              </w:rPr>
              <w:t>92.6</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9526F1">
            <w:pPr>
              <w:jc w:val="center"/>
            </w:pPr>
            <w:r>
              <w:rPr>
                <w:rFonts w:ascii="Times New Roman" w:hAnsi="Times New Roman" w:eastAsia="Times New Roman" w:cs="Times New Roman"/>
                <w:b w:val="0"/>
                <w:bCs w:val="0"/>
                <w:sz w:val="22"/>
                <w:szCs w:val="22"/>
              </w:rPr>
              <w:t>None (no DP)</w:t>
            </w:r>
          </w:p>
        </w:tc>
      </w:tr>
      <w:tr w14:paraId="45EF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F2F07E1">
            <w:pPr>
              <w:jc w:val="center"/>
            </w:pPr>
            <w:r>
              <w:rPr>
                <w:rFonts w:ascii="Times New Roman" w:hAnsi="Times New Roman" w:eastAsia="Times New Roman" w:cs="Times New Roman"/>
                <w:b w:val="0"/>
                <w:bCs w:val="0"/>
                <w:sz w:val="22"/>
                <w:szCs w:val="22"/>
              </w:rPr>
              <w:t>PFed-HE (proposed)</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DFDC0F">
            <w:pPr>
              <w:jc w:val="center"/>
            </w:pPr>
            <w:r>
              <w:rPr>
                <w:rFonts w:ascii="Times New Roman" w:hAnsi="Times New Roman" w:eastAsia="Times New Roman" w:cs="Times New Roman"/>
                <w:b w:val="0"/>
                <w:bCs w:val="0"/>
                <w:sz w:val="22"/>
                <w:szCs w:val="22"/>
              </w:rPr>
              <w:t>96.9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7B8965F">
            <w:pPr>
              <w:jc w:val="center"/>
            </w:pPr>
            <w:r>
              <w:rPr>
                <w:rFonts w:ascii="Times New Roman" w:hAnsi="Times New Roman" w:eastAsia="Times New Roman" w:cs="Times New Roman"/>
                <w:b w:val="0"/>
                <w:bCs w:val="0"/>
                <w:sz w:val="22"/>
                <w:szCs w:val="22"/>
              </w:rPr>
              <w:t>80.2</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EA9E3C">
            <w:pPr>
              <w:jc w:val="center"/>
            </w:pPr>
            <w:r>
              <w:rPr>
                <w:rFonts w:ascii="Times New Roman" w:hAnsi="Times New Roman" w:eastAsia="Times New Roman" w:cs="Times New Roman"/>
                <w:b w:val="0"/>
                <w:bCs w:val="0"/>
                <w:sz w:val="22"/>
                <w:szCs w:val="22"/>
              </w:rPr>
              <w:t>91.4</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3E030A9">
            <w:pPr>
              <w:jc w:val="center"/>
            </w:pPr>
            <w:r>
              <w:rPr>
                <w:rFonts w:ascii="Times New Roman" w:hAnsi="Times New Roman" w:eastAsia="Times New Roman" w:cs="Times New Roman"/>
                <w:b w:val="0"/>
                <w:bCs w:val="0"/>
                <w:sz w:val="22"/>
                <w:szCs w:val="22"/>
              </w:rPr>
              <w:t>0.5</w:t>
            </w:r>
          </w:p>
        </w:tc>
      </w:tr>
    </w:tbl>
    <w:p w14:paraId="6A3562A0">
      <w:pPr>
        <w:spacing w:before="80" w:after="160"/>
        <w:jc w:val="center"/>
      </w:pPr>
      <w:r>
        <w:rPr>
          <w:rFonts w:ascii="Times New Roman" w:hAnsi="Times New Roman" w:eastAsia="Times New Roman" w:cs="Times New Roman"/>
          <w:b/>
          <w:bCs/>
          <w:i/>
          <w:iCs/>
          <w:sz w:val="20"/>
          <w:szCs w:val="20"/>
        </w:rPr>
        <w:t>Table I: Accuracy and Privacy Comparison of FL Systems</w:t>
      </w:r>
    </w:p>
    <w:p w14:paraId="3E9E3D6C">
      <w:pPr>
        <w:spacing w:before="200" w:after="80"/>
      </w:pPr>
      <w:r>
        <w:rPr>
          <w:rFonts w:ascii="Times New Roman" w:hAnsi="Times New Roman" w:eastAsia="Times New Roman" w:cs="Times New Roman"/>
          <w:b/>
          <w:bCs/>
          <w:sz w:val="24"/>
          <w:szCs w:val="24"/>
        </w:rPr>
        <w:t>5.3 Communication and Computational Overhead</w:t>
      </w:r>
    </w:p>
    <w:p w14:paraId="6207E7DE">
      <w:pPr>
        <w:spacing w:before="80" w:after="80" w:line="360" w:lineRule="auto"/>
        <w:jc w:val="both"/>
      </w:pPr>
      <w:r>
        <w:rPr>
          <w:rFonts w:ascii="Times New Roman" w:hAnsi="Times New Roman" w:eastAsia="Times New Roman" w:cs="Times New Roman"/>
          <w:sz w:val="24"/>
          <w:szCs w:val="24"/>
        </w:rPr>
        <w:t>Due to ciphertext expansion, PFed-HE introduces approximately 3.4× communication overhead compared to standard FedAvg. The batch packing optimization lowers this to 1.9× by encoding multiple gradient values per ciphertext. On a commodity laptop (Intel Core i7, 16 GB RAM), the average client-side encryption time for a ResNet-20 model is 2.3 seconds per round; with parallel processing enabled, this reduces to 0.9 seconds. These overheads are acceptable for cross-silo deployments with institutional clients; lighter-weight PHE schemes are recommended for resource-constrained cross-device scenarios.</w:t>
      </w:r>
    </w:p>
    <w:p w14:paraId="617F5AA9">
      <w:pPr>
        <w:spacing w:before="200" w:after="80"/>
      </w:pPr>
      <w:r>
        <w:rPr>
          <w:rFonts w:ascii="Times New Roman" w:hAnsi="Times New Roman" w:eastAsia="Times New Roman" w:cs="Times New Roman"/>
          <w:b/>
          <w:bCs/>
          <w:sz w:val="24"/>
          <w:szCs w:val="24"/>
        </w:rPr>
        <w:t>5.4 Industry Application Outcomes</w:t>
      </w:r>
    </w:p>
    <w:p w14:paraId="37F9D8C6">
      <w:pPr>
        <w:spacing w:before="80" w:after="80" w:line="360" w:lineRule="auto"/>
        <w:jc w:val="both"/>
      </w:pPr>
      <w:r>
        <w:rPr>
          <w:rFonts w:ascii="Times New Roman" w:hAnsi="Times New Roman" w:eastAsia="Times New Roman" w:cs="Times New Roman"/>
          <w:sz w:val="24"/>
          <w:szCs w:val="24"/>
        </w:rPr>
        <w:t>In healthcare, FL-trained diagnostic models have demonstrated accuracy comparable to centrally trained models on tasks such as brain tumor segmentation, diabetic retinopathy grading, and COVID-19 chest X-ray classification — while fully complying with HIPAA and equivalent regulations [10]. In finance, cross-institutional fraud detection models trained via FL have achieved near-lossless accuracy compared to centralized counterparts, with the SecureBoost framework extending gradient boosting trees to the vertically partitioned FL setting [6]. In mobile computing, Google’s Gboard uses FL to improve next-word prediction for billions of users without any message content reaching Google’s servers [3]. In IoT environments, FL enables sophisticated edge processing without uploading private sensor data to the cloud, supporting applications in smart energy management, predictive maintenance, and anomaly detection in industrial control systems [11].</w:t>
      </w:r>
    </w:p>
    <w:p w14:paraId="64D661A0">
      <w:r>
        <w:br w:type="page"/>
      </w:r>
    </w:p>
    <w:p w14:paraId="00574F93">
      <w:pPr>
        <w:spacing w:before="300" w:after="120"/>
        <w:jc w:val="left"/>
      </w:pPr>
      <w:r>
        <w:rPr>
          <w:rFonts w:ascii="Times New Roman" w:hAnsi="Times New Roman" w:eastAsia="Times New Roman" w:cs="Times New Roman"/>
          <w:b/>
          <w:bCs/>
          <w:sz w:val="28"/>
          <w:szCs w:val="28"/>
        </w:rPr>
        <w:t>6. CONCLUSION AND FUTURE SCOPE</w:t>
      </w:r>
    </w:p>
    <w:p w14:paraId="7CB9FC45">
      <w:pPr>
        <w:spacing w:before="200" w:after="80"/>
      </w:pPr>
      <w:r>
        <w:rPr>
          <w:rFonts w:ascii="Times New Roman" w:hAnsi="Times New Roman" w:eastAsia="Times New Roman" w:cs="Times New Roman"/>
          <w:b/>
          <w:bCs/>
          <w:sz w:val="24"/>
          <w:szCs w:val="24"/>
        </w:rPr>
        <w:t>6.1 Conclusion</w:t>
      </w:r>
    </w:p>
    <w:p w14:paraId="537AC256">
      <w:pPr>
        <w:spacing w:before="80" w:after="80" w:line="360" w:lineRule="auto"/>
        <w:jc w:val="both"/>
      </w:pPr>
      <w:r>
        <w:rPr>
          <w:rFonts w:ascii="Times New Roman" w:hAnsi="Times New Roman" w:eastAsia="Times New Roman" w:cs="Times New Roman"/>
          <w:sz w:val="24"/>
          <w:szCs w:val="24"/>
        </w:rPr>
        <w:t>This report has presented a comprehensive analysis of federated learning as a privacy-preserving machine learning paradigm. We examined the primary privacy-enhancing strategies — differential privacy, homomorphic encryption, and secure multi-party computation — and mapped the advantages and challenges of FL across key application domains including healthcare, finance, mobile computing, and IoT. We also examined the fundamental architectural and mathematical underpinnings of FL, including the FedAvg algorithm and its convergence properties under non-IID data distributions.</w:t>
      </w:r>
    </w:p>
    <w:p w14:paraId="6294F585">
      <w:pPr>
        <w:spacing w:before="80" w:after="80" w:line="360" w:lineRule="auto"/>
        <w:jc w:val="both"/>
      </w:pPr>
      <w:r>
        <w:rPr>
          <w:rFonts w:ascii="Times New Roman" w:hAnsi="Times New Roman" w:eastAsia="Times New Roman" w:cs="Times New Roman"/>
          <w:sz w:val="24"/>
          <w:szCs w:val="24"/>
        </w:rPr>
        <w:t>We introduced PFed-HE, a novel federated learning framework that combines CKKS homomorphic encryption with differential privacy and dynamic key management to provide robust, end-to-end privacy guarantees. Experimental evaluation demonstrates that PFed-HE outperforms DP-FedAvg on the privacy-utility frontier, achieving competitive model accuracy while offering formal (ε = 0.5)-DP guarantees. The batch processing and parallel HE optimizations reduce computational overhead to practical levels for cross-silo deployments.</w:t>
      </w:r>
    </w:p>
    <w:p w14:paraId="04863FE4">
      <w:pPr>
        <w:spacing w:before="80" w:after="80" w:line="360" w:lineRule="auto"/>
        <w:jc w:val="both"/>
      </w:pPr>
      <w:r>
        <w:rPr>
          <w:rFonts w:ascii="Times New Roman" w:hAnsi="Times New Roman" w:eastAsia="Times New Roman" w:cs="Times New Roman"/>
          <w:sz w:val="24"/>
          <w:szCs w:val="24"/>
        </w:rPr>
        <w:t>Core research challenges — gradient leakage attacks, non-IID data heterogeneity, communication overhead, and the privacy-utility trade-off — remain active areas of study. Federated learning stands as one of the most crucial concepts for creating machine learning systems that are both powerful and respectful of individual privacy, particularly as regulatory frameworks continue to evolve and ML systems penetrate increasingly sensitive domains.</w:t>
      </w:r>
    </w:p>
    <w:p w14:paraId="5E02F47D">
      <w:pPr>
        <w:spacing w:before="200" w:after="80"/>
      </w:pPr>
      <w:r>
        <w:rPr>
          <w:rFonts w:ascii="Times New Roman" w:hAnsi="Times New Roman" w:eastAsia="Times New Roman" w:cs="Times New Roman"/>
          <w:b/>
          <w:bCs/>
          <w:sz w:val="24"/>
          <w:szCs w:val="24"/>
        </w:rPr>
        <w:t>6.2 Future Scope</w:t>
      </w:r>
    </w:p>
    <w:p w14:paraId="295DFC7A">
      <w:pPr>
        <w:spacing w:before="80" w:after="80" w:line="360" w:lineRule="auto"/>
        <w:jc w:val="both"/>
      </w:pPr>
      <w:r>
        <w:rPr>
          <w:rFonts w:ascii="Times New Roman" w:hAnsi="Times New Roman" w:eastAsia="Times New Roman" w:cs="Times New Roman"/>
          <w:sz w:val="24"/>
          <w:szCs w:val="24"/>
        </w:rPr>
        <w:t>Several promising research directions remain open. First, personalized FL frameworks that preserve global model quality while adapting to unique client distributions continue to be an active area of investigation. Second, integrating FL with blockchain-based audit trails could provide verifiable accountability for model updates without compromising privacy. Third, as many existing public-key cryptosystems are vulnerable to quantum attacks, present HE and SMPC techniques must be replaced by quantum-secure cryptographic primitives as quantum computing matures. Fourth, federated reinforcement learning — allowing multi-agent systems to cooperatively learn policies without exchanging environment observations — is a growing field with applications in robotics, autonomous driving, and smart energy grids [11].</w:t>
      </w:r>
    </w:p>
    <w:p w14:paraId="6157891F">
      <w:pPr>
        <w:spacing w:before="80" w:after="80" w:line="360" w:lineRule="auto"/>
        <w:jc w:val="both"/>
      </w:pPr>
      <w:r>
        <w:rPr>
          <w:rFonts w:ascii="Times New Roman" w:hAnsi="Times New Roman" w:eastAsia="Times New Roman" w:cs="Times New Roman"/>
          <w:sz w:val="24"/>
          <w:szCs w:val="24"/>
        </w:rPr>
        <w:t>The intersection of FL and large language models (LLMs) presents particular challenges. Because LLMs have billions of parameters, the cost of per-round gradient transmission is prohibitive. Combining FL with parameter-efficient fine-tuning techniques such as LoRA (Low-Rank Adaptation) offers a path toward personalizing LLMs at scale without centralized data collection. Furthermore, Byzantine-robust aggregation techniques must advance to offer formal assurances against adaptive, collaborating adversaries as FL is deployed in open federated networks where client identities cannot be verified. Future research will focus on hardware-efficient HE implementations, personalized FL with formal convergence guarantees, and robust aggregation under adversarial conditions.</w:t>
      </w:r>
    </w:p>
    <w:p w14:paraId="637733DC">
      <w:r>
        <w:br w:type="page"/>
      </w:r>
    </w:p>
    <w:p w14:paraId="69C0D27C">
      <w:pPr>
        <w:spacing w:before="300" w:after="120"/>
        <w:jc w:val="left"/>
      </w:pPr>
      <w:r>
        <w:rPr>
          <w:rFonts w:ascii="Times New Roman" w:hAnsi="Times New Roman" w:eastAsia="Times New Roman" w:cs="Times New Roman"/>
          <w:b/>
          <w:bCs/>
          <w:sz w:val="28"/>
          <w:szCs w:val="28"/>
        </w:rPr>
        <w:t>REFERENCES</w:t>
      </w:r>
    </w:p>
    <w:p w14:paraId="5C5BD261">
      <w:pPr>
        <w:spacing w:before="80" w:after="80" w:line="360" w:lineRule="auto"/>
        <w:jc w:val="both"/>
      </w:pPr>
      <w:r>
        <w:rPr>
          <w:rFonts w:ascii="Times New Roman" w:hAnsi="Times New Roman" w:eastAsia="Times New Roman" w:cs="Times New Roman"/>
          <w:sz w:val="24"/>
          <w:szCs w:val="24"/>
        </w:rPr>
        <w:t>[1] B. McMahan, E. Moore, D. Ramage, S. Hampson, and B. A. y Arcas, "Communication-efficient learning of deep networks from decentralized data," in Proc. 20th Int. Conf. Artif. Intell. Statist. (AISTATS), 2017, pp. 1273–1282.</w:t>
      </w:r>
    </w:p>
    <w:p w14:paraId="51913BF7">
      <w:pPr>
        <w:spacing w:before="80" w:after="80" w:line="360" w:lineRule="auto"/>
        <w:jc w:val="both"/>
      </w:pPr>
      <w:r>
        <w:rPr>
          <w:rFonts w:ascii="Times New Roman" w:hAnsi="Times New Roman" w:eastAsia="Times New Roman" w:cs="Times New Roman"/>
          <w:sz w:val="24"/>
          <w:szCs w:val="24"/>
        </w:rPr>
        <w:t>[2] T. Li, A. K. Sahu, A. Talwalkar, and V. Smith, "Federated learning: Challenges, methods, and future directions," IEEE Signal Process. Mag., vol. 37, no. 3, pp. 50–60, May 2020.</w:t>
      </w:r>
    </w:p>
    <w:p w14:paraId="1C19F623">
      <w:pPr>
        <w:spacing w:before="80" w:after="80" w:line="360" w:lineRule="auto"/>
        <w:jc w:val="both"/>
      </w:pPr>
      <w:r>
        <w:rPr>
          <w:rFonts w:ascii="Times New Roman" w:hAnsi="Times New Roman" w:eastAsia="Times New Roman" w:cs="Times New Roman"/>
          <w:sz w:val="24"/>
          <w:szCs w:val="24"/>
        </w:rPr>
        <w:t>[3] Q. Yang, Y. Liu, T. Chen, and Y. Tong, "Federated machine learning: Concept and applications," ACM Trans. Intell. Syst. Technol. (TIST), vol. 10, no. 2, pp. 1–19, 2019.</w:t>
      </w:r>
    </w:p>
    <w:p w14:paraId="73E9A3F6">
      <w:pPr>
        <w:spacing w:before="80" w:after="80" w:line="360" w:lineRule="auto"/>
        <w:jc w:val="both"/>
      </w:pPr>
      <w:r>
        <w:rPr>
          <w:rFonts w:ascii="Times New Roman" w:hAnsi="Times New Roman" w:eastAsia="Times New Roman" w:cs="Times New Roman"/>
          <w:sz w:val="24"/>
          <w:szCs w:val="24"/>
        </w:rPr>
        <w:t>[4] P. Kairouz, H. B. McMahan, et al., "Advances and open problems in federated learning," Found. Trends Mach. Learn., vol. 14, no. 1–2, pp. 1–210, 2021.</w:t>
      </w:r>
    </w:p>
    <w:p w14:paraId="5DA574C9">
      <w:pPr>
        <w:spacing w:before="80" w:after="80" w:line="360" w:lineRule="auto"/>
        <w:jc w:val="both"/>
      </w:pPr>
      <w:r>
        <w:rPr>
          <w:rFonts w:ascii="Times New Roman" w:hAnsi="Times New Roman" w:eastAsia="Times New Roman" w:cs="Times New Roman"/>
          <w:sz w:val="24"/>
          <w:szCs w:val="24"/>
        </w:rPr>
        <w:t>[5] E. Bagdasaryan, A. Veit, Y. Hua, D. Estrin, and V. Shmatikov, "How to backdoor federated learning," in Proc. 23rd Int. Conf. Artif. Intell. Statist. (AISTATS), 2020.</w:t>
      </w:r>
    </w:p>
    <w:p w14:paraId="2B07B4B1">
      <w:pPr>
        <w:spacing w:before="80" w:after="80" w:line="360" w:lineRule="auto"/>
        <w:jc w:val="both"/>
      </w:pPr>
      <w:r>
        <w:rPr>
          <w:rFonts w:ascii="Times New Roman" w:hAnsi="Times New Roman" w:eastAsia="Times New Roman" w:cs="Times New Roman"/>
          <w:sz w:val="24"/>
          <w:szCs w:val="24"/>
        </w:rPr>
        <w:t>[6] K. Bonawitz, V. Ivanov, B. Kreuter, A. Marcedone, H. B. McMahan, S. Patel, D. Ramage, A. Segal, and K. Seth, "Practical secure aggregation for privacy-preserving machine learning," in Proc. 2017 ACM SIGSAC Conf. Comput. Commun. Secur. (CCS), 2017, pp. 1175–1191.</w:t>
      </w:r>
    </w:p>
    <w:p w14:paraId="25C0DE2B">
      <w:pPr>
        <w:spacing w:before="80" w:after="80" w:line="360" w:lineRule="auto"/>
        <w:jc w:val="both"/>
      </w:pPr>
      <w:r>
        <w:rPr>
          <w:rFonts w:ascii="Times New Roman" w:hAnsi="Times New Roman" w:eastAsia="Times New Roman" w:cs="Times New Roman"/>
          <w:sz w:val="24"/>
          <w:szCs w:val="24"/>
        </w:rPr>
        <w:t>[7] R. C. Geyer, T. Klein, and M. Nabi, "Differentially private federated learning: A client level perspective," arXiv preprint arXiv:1712.07557, 2017.</w:t>
      </w:r>
    </w:p>
    <w:p w14:paraId="65AB5D59">
      <w:pPr>
        <w:spacing w:before="80" w:after="80" w:line="360" w:lineRule="auto"/>
        <w:jc w:val="both"/>
      </w:pPr>
      <w:r>
        <w:rPr>
          <w:rFonts w:ascii="Times New Roman" w:hAnsi="Times New Roman" w:eastAsia="Times New Roman" w:cs="Times New Roman"/>
          <w:sz w:val="24"/>
          <w:szCs w:val="24"/>
        </w:rPr>
        <w:t>[8] C. Dwork and A. Roth, "The algorithmic foundations of differential privacy," Found. Trends Theor. Comput. Sci., vol. 9, no. 3–4, pp. 211–407, 2014.</w:t>
      </w:r>
    </w:p>
    <w:p w14:paraId="2AE0925A">
      <w:pPr>
        <w:spacing w:before="80" w:after="80" w:line="360" w:lineRule="auto"/>
        <w:jc w:val="both"/>
      </w:pPr>
      <w:r>
        <w:rPr>
          <w:rFonts w:ascii="Times New Roman" w:hAnsi="Times New Roman" w:eastAsia="Times New Roman" w:cs="Times New Roman"/>
          <w:sz w:val="24"/>
          <w:szCs w:val="24"/>
        </w:rPr>
        <w:t>[9] J. H. Cheon, A. Kim, M. Kim, and Y. Song, "Homomorphic encryption for arithmetic of approximate numbers," in Proc. Advances in Cryptology (ASIACRYPT), 2017, pp. 409–437.</w:t>
      </w:r>
    </w:p>
    <w:p w14:paraId="7A220102">
      <w:pPr>
        <w:spacing w:before="80" w:after="80" w:line="360" w:lineRule="auto"/>
        <w:jc w:val="both"/>
      </w:pPr>
      <w:r>
        <w:rPr>
          <w:rFonts w:ascii="Times New Roman" w:hAnsi="Times New Roman" w:eastAsia="Times New Roman" w:cs="Times New Roman"/>
          <w:sz w:val="24"/>
          <w:szCs w:val="24"/>
        </w:rPr>
        <w:t>[10] N. Rieke, J. Hancox, W. Li, F. Milletari, H. R. Roth, et al., "The future of digital health with federated learning," npj Digit. Med., vol. 3, no. 1, pp. 1–7, 2020.</w:t>
      </w:r>
    </w:p>
    <w:p w14:paraId="04C96345">
      <w:pPr>
        <w:spacing w:before="80" w:after="80" w:line="360" w:lineRule="auto"/>
        <w:jc w:val="both"/>
      </w:pPr>
      <w:r>
        <w:rPr>
          <w:rFonts w:ascii="Times New Roman" w:hAnsi="Times New Roman" w:eastAsia="Times New Roman" w:cs="Times New Roman"/>
          <w:sz w:val="24"/>
          <w:szCs w:val="24"/>
        </w:rPr>
        <w:t>[11] W. Y. B. Lim, N. C. Luong, D. T. Hoang, Y. Jiao, Y.-C. Liang, Q. Yang, D. Niyato, and C. Miao, "Federated learning in mobile edge networks: A comprehensive survey," IEEE Commun. Surv. Tutor., vol. 22, no. 3, pp. 2031–2063, 2020.</w:t>
      </w:r>
    </w:p>
    <w:p w14:paraId="121C6AF5">
      <w:pPr>
        <w:spacing w:before="80" w:after="80" w:line="360" w:lineRule="auto"/>
        <w:jc w:val="both"/>
      </w:pPr>
      <w:r>
        <w:rPr>
          <w:rFonts w:ascii="Times New Roman" w:hAnsi="Times New Roman" w:eastAsia="Times New Roman" w:cs="Times New Roman"/>
          <w:sz w:val="24"/>
          <w:szCs w:val="24"/>
        </w:rPr>
        <w:t>[12] S. Truex, N. Baracaldo, A. Anwar, T. Steinke, H. Ludwig, R. Zhang, and Y. Zhou, "A hybrid approach to privacy-preserving federated learning," in Proc. ACM Workshop Artif. Intell. Secur. (AISec), 2019, pp. 1–10.</w:t>
      </w:r>
    </w:p>
    <w:p w14:paraId="553F4F78">
      <w:pPr>
        <w:spacing w:before="80" w:after="80" w:line="360" w:lineRule="auto"/>
        <w:jc w:val="both"/>
      </w:pPr>
      <w:r>
        <w:rPr>
          <w:rFonts w:ascii="Times New Roman" w:hAnsi="Times New Roman" w:eastAsia="Times New Roman" w:cs="Times New Roman"/>
          <w:sz w:val="24"/>
          <w:szCs w:val="24"/>
        </w:rPr>
        <w:t>[13] A. Hard, K. Rao, R. Mathews, S. Ramaswamy, F. Beaufays, S. Augenstein, H. Eichner, C. Kiddon, and D. Ramage, "Federated learning for mobile keyboard prediction," arXiv preprint arXiv:1811.03604, 2018.</w:t>
      </w:r>
    </w:p>
    <w:p w14:paraId="5D7BB7AC">
      <w:pPr>
        <w:spacing w:before="80" w:after="80" w:line="360" w:lineRule="auto"/>
        <w:jc w:val="both"/>
      </w:pPr>
      <w:r>
        <w:rPr>
          <w:rFonts w:ascii="Times New Roman" w:hAnsi="Times New Roman" w:eastAsia="Times New Roman" w:cs="Times New Roman"/>
          <w:sz w:val="24"/>
          <w:szCs w:val="24"/>
        </w:rPr>
        <w:t>[14] T. Li, A. K. Sahu, M. Zaheer, M. Sanjabi, A. Talwalkar, and V. Smith, "Federated optimization in heterogeneous networks," in Proc. 3rd Conf. Mach. Learn. Syst. (MLSys), 2020.</w:t>
      </w:r>
    </w:p>
    <w:p w14:paraId="14608B4D">
      <w:pPr>
        <w:spacing w:before="80" w:after="80" w:line="360" w:lineRule="auto"/>
        <w:jc w:val="both"/>
      </w:pPr>
      <w:r>
        <w:rPr>
          <w:rFonts w:ascii="Times New Roman" w:hAnsi="Times New Roman" w:eastAsia="Times New Roman" w:cs="Times New Roman"/>
          <w:sz w:val="24"/>
          <w:szCs w:val="24"/>
        </w:rPr>
        <w:t>[15] Z. Qu, Z. Li, G. Li, J. Tang, C. Yu, and Y. Liu, "Decentralized federated learning: A comprehensive survey and a new paradigm," IEEE Trans. Neural Netw. Learn. Syst., vol. 35, no. 2, pp. 1528–1548, Feb. 2024.</w:t>
      </w:r>
    </w:p>
    <w:p w14:paraId="096491E1">
      <w:r>
        <w:br w:type="page"/>
      </w:r>
    </w:p>
    <w:p w14:paraId="484FEDCC">
      <w:pPr>
        <w:spacing w:before="300" w:after="120"/>
        <w:jc w:val="left"/>
      </w:pPr>
      <w:r>
        <w:rPr>
          <w:rFonts w:ascii="Times New Roman" w:hAnsi="Times New Roman" w:eastAsia="Times New Roman" w:cs="Times New Roman"/>
          <w:b/>
          <w:bCs/>
          <w:sz w:val="28"/>
          <w:szCs w:val="28"/>
        </w:rPr>
        <w:t>APPENDICES</w:t>
      </w:r>
    </w:p>
    <w:p w14:paraId="0C7985A1">
      <w:pPr>
        <w:spacing w:before="200" w:after="80"/>
      </w:pPr>
      <w:r>
        <w:rPr>
          <w:rFonts w:ascii="Times New Roman" w:hAnsi="Times New Roman" w:eastAsia="Times New Roman" w:cs="Times New Roman"/>
          <w:b/>
          <w:bCs/>
          <w:sz w:val="24"/>
          <w:szCs w:val="24"/>
        </w:rPr>
        <w:t>Appendix A: FedAvg Algorithm Pseudocode</w:t>
      </w:r>
    </w:p>
    <w:p w14:paraId="4C584A5F">
      <w:pPr>
        <w:spacing w:before="80" w:after="80" w:line="360" w:lineRule="auto"/>
        <w:jc w:val="both"/>
      </w:pPr>
      <w:r>
        <w:rPr>
          <w:rFonts w:ascii="Times New Roman" w:hAnsi="Times New Roman" w:eastAsia="Times New Roman" w:cs="Times New Roman"/>
          <w:sz w:val="24"/>
          <w:szCs w:val="24"/>
        </w:rPr>
        <w:t>The Federated Averaging (FedAvg) algorithm operates as follows:</w:t>
      </w:r>
    </w:p>
    <w:p w14:paraId="6E2A0733">
      <w:pPr>
        <w:spacing w:before="80" w:after="80" w:line="360" w:lineRule="auto"/>
        <w:jc w:val="both"/>
      </w:pPr>
      <w:r>
        <w:rPr>
          <w:rFonts w:ascii="Times New Roman" w:hAnsi="Times New Roman" w:eastAsia="Times New Roman" w:cs="Times New Roman"/>
          <w:sz w:val="24"/>
          <w:szCs w:val="24"/>
        </w:rPr>
        <w:t>Server initializes global model w_0. For each communication round t = 1, 2, ..., T: (1) Server selects a random subset S_t of K clients. (2) Server broadcasts current global model w_t to all selected clients. (3) Each client k in S_t performs E epochs of local SGD on private dataset D_k, producing updated weights w_k^(t+1). (4) Clients transmit updated weights to server. (5) Server computes weighted aggregate: w_{t+1} = Σ_k (n_k / n) * w_k^(t+1), where n_k is client k’s dataset size and n = Σ n_k. Process repeats until convergence.</w:t>
      </w:r>
    </w:p>
    <w:p w14:paraId="52B88A2D">
      <w:pPr>
        <w:spacing w:before="200" w:after="80"/>
      </w:pPr>
      <w:r>
        <w:rPr>
          <w:rFonts w:ascii="Times New Roman" w:hAnsi="Times New Roman" w:eastAsia="Times New Roman" w:cs="Times New Roman"/>
          <w:b/>
          <w:bCs/>
          <w:sz w:val="24"/>
          <w:szCs w:val="24"/>
        </w:rPr>
        <w:t>Appendix B: PFed-HE Client Encryption Pseudocode</w:t>
      </w:r>
    </w:p>
    <w:p w14:paraId="3690C1E1">
      <w:pPr>
        <w:spacing w:before="80" w:after="80" w:line="360" w:lineRule="auto"/>
        <w:jc w:val="both"/>
      </w:pPr>
      <w:r>
        <w:rPr>
          <w:rFonts w:ascii="Times New Roman" w:hAnsi="Times New Roman" w:eastAsia="Times New Roman" w:cs="Times New Roman"/>
          <w:sz w:val="24"/>
          <w:szCs w:val="24"/>
        </w:rPr>
        <w:t>For each client k in round t: (1) Compute local gradient g_k = ∇F_k(w_t) via E epochs of SGD. (2) Clip gradient: g_k^clip = g_k / max(1, ||g_k||_2 / S), where S is the sensitivity bound. (3) Add Gaussian noise: g_k^dp = g_k^clip + N(0, σ^2 S^2 I). (4) Encode gradient vector into CKKS plaintext slots using CRT slot packing. (5) Encrypt with CKKS public key: c_k = CKKS.Enc(g_k^dp). (6) Transmit ciphertext c_k to aggregation server. Server computes: c_agg = Σ_k (n_k / n) ⊙ c_k (homomorphic weighted sum). Server decrypts aggregate: w_{t+1} = w_t - η · CKKS.Dec(c_agg) using shared session key.</w:t>
      </w:r>
    </w:p>
    <w:p w14:paraId="07AD159F">
      <w:pPr>
        <w:spacing w:before="200" w:after="80"/>
      </w:pPr>
      <w:r>
        <w:rPr>
          <w:rFonts w:ascii="Times New Roman" w:hAnsi="Times New Roman" w:eastAsia="Times New Roman" w:cs="Times New Roman"/>
          <w:b/>
          <w:bCs/>
          <w:sz w:val="24"/>
          <w:szCs w:val="24"/>
        </w:rPr>
        <w:t>Appendix C: Glossary</w:t>
      </w:r>
    </w:p>
    <w:p w14:paraId="53D89B90">
      <w:pPr>
        <w:spacing w:before="80" w:after="80" w:line="360" w:lineRule="auto"/>
        <w:jc w:val="both"/>
      </w:pPr>
      <w:r>
        <w:rPr>
          <w:rFonts w:ascii="Times New Roman" w:hAnsi="Times New Roman" w:eastAsia="Times New Roman" w:cs="Times New Roman"/>
          <w:sz w:val="24"/>
          <w:szCs w:val="24"/>
        </w:rPr>
        <w:t>FL – Federated Learning; DP – Differential Privacy; HE – Homomorphic Encryption; SMPC – Secure Multi-Party Computation; FHE – Fully Homomorphic Encryption; CKKS – Cheon-Kim-Kim-Song approximation HE scheme; FedAvg – Federated Averaging; PFed-HE – Privacy-Preserving Federated Learning with Homomorphic Encryption; GDPR – General Data Protection Regulation; HIPAA – Health Insurance Portability and Accountability Act; IID – Independent and Identically Distributed; Non-IID – Non-Independent and Non-Identically Distributed; KDC – Key Distribution Center; LoRA – Low-Rank Adaptation; LLM – Large Language Model.</w:t>
      </w:r>
    </w:p>
    <w:sectPr>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B6E1895"/>
    <w:rsid w:val="21452025"/>
    <w:rsid w:val="5D5A4F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3767</Words>
  <Characters>23032</Characters>
  <TotalTime>6</TotalTime>
  <ScaleCrop>false</ScaleCrop>
  <LinksUpToDate>false</LinksUpToDate>
  <CharactersWithSpaces>26815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2026-04-29T10:14:00Z</dcterms:created>
  <dc:creator>Un-named</dc:creator>
  <cp:lastModifiedBy>Vrinda Puri</cp:lastModifiedBy>
  <dcterms:modified xsi:type="dcterms:W3CDTF">2026-05-18T14:54:24Z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eyJoZGlkIjoiZGE3Y2I3OTRlNTA1NjUwZGY1NGI3NTM4NWZhMGI4N2IiLCJ1c2VySWQiOiI1Njc0NDg4MzkyOTcifQ==</vt:lpwstr>
  </property>
  <property fmtid="{D5CDD505-2E9C-101B-9397-08002B2CF9AE}" pid="3" name="KSOProductBuildVer">
    <vt:lpwstr>1033-12.1.0.26372</vt:lpwstr>
  </property>
  <property fmtid="{D5CDD505-2E9C-101B-9397-08002B2CF9AE}" pid="4" name="ICV">
    <vt:lpwstr>3C197906E93B436594C1D7A46E1BC1AC_13</vt:lpwstr>
  </property>
</Properties>
</file>