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D6BD" w14:textId="77777777" w:rsidR="001A6017" w:rsidRDefault="000C22DF">
      <w:pPr>
        <w:spacing w:before="1440"/>
      </w:pPr>
      <w:r>
        <w:t xml:space="preserve">            </w:t>
      </w:r>
    </w:p>
    <w:p w14:paraId="7CD5455F" w14:textId="7DF55573" w:rsidR="000C22DF" w:rsidRDefault="001A6017">
      <w:pPr>
        <w:spacing w:before="1440"/>
      </w:pPr>
      <w:r>
        <w:t xml:space="preserve">              </w:t>
      </w:r>
      <w:r w:rsidR="000C22DF">
        <w:t xml:space="preserve">                </w:t>
      </w:r>
      <w:r w:rsidR="000C22DF">
        <w:rPr>
          <w:noProof/>
        </w:rPr>
        <w:drawing>
          <wp:inline distT="0" distB="0" distL="0" distR="0" wp14:anchorId="41413E97" wp14:editId="0C2DA8C4">
            <wp:extent cx="3703211" cy="472440"/>
            <wp:effectExtent l="0" t="0" r="0" b="3810"/>
            <wp:docPr id="71966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66962" name="Picture 7196669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934" cy="48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CEB1" w14:textId="77777777" w:rsidR="001A6017" w:rsidRDefault="001A6017">
      <w:pPr>
        <w:spacing w:before="1440"/>
      </w:pPr>
    </w:p>
    <w:p w14:paraId="1EDD088A" w14:textId="71B873BC" w:rsidR="0022439B" w:rsidRDefault="0022439B" w:rsidP="000C22DF">
      <w:pPr>
        <w:spacing w:after="80"/>
        <w:jc w:val="center"/>
      </w:pPr>
    </w:p>
    <w:p w14:paraId="209D4843" w14:textId="2CD98F83" w:rsidR="0022439B" w:rsidRDefault="001A6017" w:rsidP="001A6017">
      <w:pPr>
        <w:spacing w:before="280" w:after="160"/>
        <w:rPr>
          <w:b/>
          <w:bCs/>
          <w:color w:val="1B3A6B"/>
          <w:sz w:val="60"/>
          <w:szCs w:val="60"/>
        </w:rPr>
      </w:pPr>
      <w:r>
        <w:rPr>
          <w:b/>
          <w:bCs/>
          <w:color w:val="1B3A6B"/>
          <w:sz w:val="60"/>
          <w:szCs w:val="60"/>
        </w:rPr>
        <w:t xml:space="preserve">          </w:t>
      </w:r>
      <w:r w:rsidR="00000000">
        <w:rPr>
          <w:b/>
          <w:bCs/>
          <w:color w:val="1B3A6B"/>
          <w:sz w:val="60"/>
          <w:szCs w:val="60"/>
        </w:rPr>
        <w:t>Mutual Fund Analytics</w:t>
      </w:r>
    </w:p>
    <w:p w14:paraId="63700DFF" w14:textId="46931DA2" w:rsidR="001A6017" w:rsidRPr="001A6017" w:rsidRDefault="001A6017">
      <w:pPr>
        <w:spacing w:before="280" w:after="160"/>
        <w:jc w:val="center"/>
        <w:rPr>
          <w:rFonts w:ascii="Arial Black" w:hAnsi="Arial Black"/>
          <w:b/>
          <w:bCs/>
          <w:color w:val="1B3A6B"/>
          <w:sz w:val="40"/>
          <w:szCs w:val="40"/>
        </w:rPr>
      </w:pPr>
      <w:r>
        <w:rPr>
          <w:rFonts w:ascii="Arial Black" w:hAnsi="Arial Black"/>
          <w:b/>
          <w:bCs/>
          <w:color w:val="1B3A6B"/>
          <w:sz w:val="40"/>
          <w:szCs w:val="40"/>
        </w:rPr>
        <w:t xml:space="preserve"> </w:t>
      </w:r>
      <w:r w:rsidRPr="001A6017">
        <w:rPr>
          <w:rFonts w:ascii="Arial Black" w:hAnsi="Arial Black"/>
          <w:b/>
          <w:bCs/>
          <w:color w:val="1B3A6B"/>
          <w:sz w:val="40"/>
          <w:szCs w:val="40"/>
        </w:rPr>
        <w:t>PROJECT REPORT</w:t>
      </w:r>
    </w:p>
    <w:p w14:paraId="16D926B6" w14:textId="77777777" w:rsidR="001A6017" w:rsidRDefault="001A6017">
      <w:pPr>
        <w:spacing w:before="280" w:after="160"/>
        <w:jc w:val="center"/>
        <w:rPr>
          <w:b/>
          <w:bCs/>
          <w:color w:val="1B3A6B"/>
          <w:sz w:val="60"/>
          <w:szCs w:val="60"/>
        </w:rPr>
      </w:pPr>
    </w:p>
    <w:p w14:paraId="1BFA196F" w14:textId="77777777" w:rsidR="000C22DF" w:rsidRDefault="000C22DF">
      <w:pPr>
        <w:spacing w:before="280" w:after="160"/>
        <w:jc w:val="center"/>
      </w:pPr>
    </w:p>
    <w:p w14:paraId="4603CF66" w14:textId="77777777" w:rsidR="00454C8B" w:rsidRPr="00454C8B" w:rsidRDefault="000C22DF" w:rsidP="00454C8B">
      <w:pPr>
        <w:spacing w:after="120"/>
        <w:jc w:val="center"/>
        <w:rPr>
          <w:rFonts w:ascii="Arial Black" w:hAnsi="Arial Black"/>
          <w:color w:val="000000" w:themeColor="text1"/>
          <w:sz w:val="24"/>
          <w:szCs w:val="24"/>
        </w:rPr>
      </w:pPr>
      <w:r w:rsidRPr="00454C8B">
        <w:rPr>
          <w:rFonts w:ascii="Arial Black" w:hAnsi="Arial Black"/>
          <w:color w:val="000000" w:themeColor="text1"/>
          <w:sz w:val="24"/>
          <w:szCs w:val="24"/>
        </w:rPr>
        <w:t xml:space="preserve">Submitted by: </w:t>
      </w:r>
      <w:proofErr w:type="spellStart"/>
      <w:r w:rsidRPr="00454C8B">
        <w:rPr>
          <w:rFonts w:ascii="Arial Black" w:hAnsi="Arial Black"/>
          <w:color w:val="000000" w:themeColor="text1"/>
          <w:sz w:val="24"/>
          <w:szCs w:val="24"/>
        </w:rPr>
        <w:t>Vrindesh</w:t>
      </w:r>
      <w:proofErr w:type="spellEnd"/>
      <w:r w:rsidRPr="00454C8B">
        <w:rPr>
          <w:rFonts w:ascii="Arial Black" w:hAnsi="Arial Black"/>
          <w:color w:val="000000" w:themeColor="text1"/>
          <w:sz w:val="24"/>
          <w:szCs w:val="24"/>
        </w:rPr>
        <w:t xml:space="preserve"> Pareek</w:t>
      </w:r>
    </w:p>
    <w:p w14:paraId="21C333CF" w14:textId="77777777" w:rsidR="00454C8B" w:rsidRDefault="000C22DF" w:rsidP="00454C8B">
      <w:pPr>
        <w:spacing w:after="120"/>
        <w:jc w:val="center"/>
        <w:rPr>
          <w:rFonts w:ascii="Arial Black" w:hAnsi="Arial Black"/>
          <w:color w:val="000000" w:themeColor="text1"/>
          <w:sz w:val="24"/>
          <w:szCs w:val="24"/>
        </w:rPr>
      </w:pPr>
      <w:r w:rsidRPr="00454C8B">
        <w:rPr>
          <w:rFonts w:ascii="Arial Black" w:hAnsi="Arial Black"/>
          <w:color w:val="000000" w:themeColor="text1"/>
          <w:sz w:val="24"/>
          <w:szCs w:val="24"/>
        </w:rPr>
        <w:t>Role: Data Analyst Intern</w:t>
      </w:r>
    </w:p>
    <w:p w14:paraId="26C0994D" w14:textId="77777777" w:rsidR="00454C8B" w:rsidRDefault="00454C8B" w:rsidP="00454C8B">
      <w:pPr>
        <w:spacing w:after="120"/>
        <w:jc w:val="center"/>
        <w:rPr>
          <w:rFonts w:ascii="Arial Black" w:hAnsi="Arial Black"/>
          <w:color w:val="000000" w:themeColor="text1"/>
          <w:sz w:val="24"/>
          <w:szCs w:val="24"/>
        </w:rPr>
      </w:pPr>
    </w:p>
    <w:p w14:paraId="0D9475B4" w14:textId="58A756FA" w:rsidR="0022439B" w:rsidRPr="00454C8B" w:rsidRDefault="000C22DF" w:rsidP="00454C8B">
      <w:pPr>
        <w:spacing w:after="120"/>
        <w:jc w:val="center"/>
        <w:rPr>
          <w:rFonts w:ascii="Arial Black" w:hAnsi="Arial Black"/>
          <w:color w:val="000000" w:themeColor="text1"/>
          <w:sz w:val="24"/>
          <w:szCs w:val="24"/>
        </w:rPr>
      </w:pPr>
      <w:r w:rsidRPr="00454C8B">
        <w:rPr>
          <w:rFonts w:ascii="Arial Black" w:hAnsi="Arial Black"/>
          <w:b/>
          <w:bCs/>
          <w:color w:val="000000" w:themeColor="text1"/>
          <w:sz w:val="24"/>
          <w:szCs w:val="24"/>
        </w:rPr>
        <w:t xml:space="preserve">Submitted to: </w:t>
      </w:r>
      <w:r w:rsidR="001A6017" w:rsidRPr="00454C8B">
        <w:rPr>
          <w:rFonts w:ascii="Arial Black" w:hAnsi="Arial Black"/>
          <w:b/>
          <w:bCs/>
          <w:color w:val="000000" w:themeColor="text1"/>
          <w:sz w:val="24"/>
          <w:szCs w:val="24"/>
        </w:rPr>
        <w:t>BLUESTOCK FINTECH</w:t>
      </w:r>
    </w:p>
    <w:p w14:paraId="13743297" w14:textId="77777777" w:rsidR="0022439B" w:rsidRDefault="00000000">
      <w:pPr>
        <w:pageBreakBefore/>
      </w:pPr>
      <w:r>
        <w:lastRenderedPageBreak/>
        <w:br/>
      </w:r>
    </w:p>
    <w:p w14:paraId="235760EE" w14:textId="6A2E5B28" w:rsidR="00454C8B" w:rsidRDefault="00000000" w:rsidP="00454C8B">
      <w:pPr>
        <w:pStyle w:val="Heading1"/>
        <w:spacing w:before="300" w:after="120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Table of Contents</w:t>
      </w:r>
    </w:p>
    <w:p w14:paraId="3D32AFAC" w14:textId="77777777" w:rsidR="00454C8B" w:rsidRPr="00454C8B" w:rsidRDefault="00454C8B" w:rsidP="00454C8B">
      <w:pPr>
        <w:pStyle w:val="Heading1"/>
        <w:spacing w:before="300" w:after="120"/>
        <w:rPr>
          <w:rFonts w:ascii="Times New Roman" w:hAnsi="Times New Roman" w:cs="Times New Roman"/>
        </w:rPr>
      </w:pPr>
    </w:p>
    <w:p w14:paraId="049E3B75" w14:textId="455B97F3" w:rsidR="001A6017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1. Executive Summary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3</w:t>
      </w:r>
    </w:p>
    <w:p w14:paraId="5CF7132F" w14:textId="77777777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2. Data Sources &amp; Collection Strategy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4</w:t>
      </w:r>
    </w:p>
    <w:p w14:paraId="0DA7EAA3" w14:textId="77777777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3. ETL Pipeline Architecture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5</w:t>
      </w:r>
    </w:p>
    <w:p w14:paraId="7DE1381E" w14:textId="77777777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4. Database Design — Star Schema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6</w:t>
      </w:r>
    </w:p>
    <w:p w14:paraId="4432CCFC" w14:textId="77777777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5. Exploratory Data Analysis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7</w:t>
      </w:r>
    </w:p>
    <w:p w14:paraId="6BEEC393" w14:textId="77777777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6. Performance &amp; Risk Analytics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10</w:t>
      </w:r>
    </w:p>
    <w:p w14:paraId="41D1CB0C" w14:textId="77777777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7. Dashboard Design (Power BI)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13</w:t>
      </w:r>
    </w:p>
    <w:p w14:paraId="286773E3" w14:textId="77777777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8. Investor Demographics &amp; Transaction Patterns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14</w:t>
      </w:r>
    </w:p>
    <w:p w14:paraId="23D58DDA" w14:textId="77777777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9. Benchmark Comparison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15</w:t>
      </w:r>
    </w:p>
    <w:p w14:paraId="52AFBB7C" w14:textId="25F40DF1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10. Advanced Analytic</w:t>
      </w:r>
      <w:r w:rsidR="000151F7">
        <w:rPr>
          <w:rFonts w:ascii="Times New Roman" w:hAnsi="Times New Roman" w:cs="Times New Roman"/>
          <w:color w:val="000000" w:themeColor="text1"/>
          <w:sz w:val="28"/>
          <w:szCs w:val="28"/>
        </w:rPr>
        <w:t>s &amp; Risk Metrics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15</w:t>
      </w:r>
    </w:p>
    <w:p w14:paraId="3AB87557" w14:textId="77777777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11. Limitations &amp; Assumptions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16</w:t>
      </w:r>
    </w:p>
    <w:p w14:paraId="517A56A8" w14:textId="77777777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12. Recommendations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17</w:t>
      </w:r>
    </w:p>
    <w:p w14:paraId="5D5B52E1" w14:textId="77777777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13. Conclusion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18</w:t>
      </w:r>
    </w:p>
    <w:p w14:paraId="13877881" w14:textId="77777777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Appendix A — Deliverables Checklist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19</w:t>
      </w:r>
    </w:p>
    <w:p w14:paraId="4F269C84" w14:textId="77777777" w:rsidR="0022439B" w:rsidRPr="00454C8B" w:rsidRDefault="00000000">
      <w:pPr>
        <w:tabs>
          <w:tab w:val="right" w:leader="dot" w:pos="9026"/>
        </w:tabs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>Appendix B — Tech Stack &amp; Libraries</w:t>
      </w:r>
      <w:r w:rsidRPr="00454C8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19</w:t>
      </w:r>
    </w:p>
    <w:p w14:paraId="174F61E0" w14:textId="77777777" w:rsidR="0022439B" w:rsidRPr="00454C8B" w:rsidRDefault="00000000">
      <w:pPr>
        <w:pageBreakBefore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lastRenderedPageBreak/>
        <w:br/>
      </w:r>
    </w:p>
    <w:p w14:paraId="5B6A93C2" w14:textId="77777777" w:rsidR="0022439B" w:rsidRPr="00454C8B" w:rsidRDefault="00000000">
      <w:pPr>
        <w:pStyle w:val="Heading1"/>
        <w:spacing w:before="300" w:after="120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1. Executive Summary</w:t>
      </w:r>
    </w:p>
    <w:p w14:paraId="3A08898B" w14:textId="77777777" w:rsidR="00454C8B" w:rsidRDefault="00454C8B">
      <w:pPr>
        <w:spacing w:before="60" w:after="100"/>
        <w:rPr>
          <w:rFonts w:ascii="Times New Roman" w:hAnsi="Times New Roman" w:cs="Times New Roman"/>
        </w:rPr>
      </w:pPr>
    </w:p>
    <w:p w14:paraId="55B54EE8" w14:textId="77284D60" w:rsidR="0022439B" w:rsidRPr="00454C8B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4C8B">
        <w:rPr>
          <w:rFonts w:ascii="Times New Roman" w:hAnsi="Times New Roman" w:cs="Times New Roman"/>
          <w:color w:val="000000" w:themeColor="text1"/>
          <w:sz w:val="24"/>
          <w:szCs w:val="24"/>
        </w:rPr>
        <w:t>This report presents the findings of the Mutual Fund Analytics Platform, a seven-day</w:t>
      </w:r>
      <w:r w:rsidR="00454C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54C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project developed for </w:t>
      </w:r>
      <w:proofErr w:type="spellStart"/>
      <w:r w:rsidRPr="00454C8B">
        <w:rPr>
          <w:rFonts w:ascii="Times New Roman" w:hAnsi="Times New Roman" w:cs="Times New Roman"/>
          <w:color w:val="000000" w:themeColor="text1"/>
          <w:sz w:val="24"/>
          <w:szCs w:val="24"/>
        </w:rPr>
        <w:t>Bluestock</w:t>
      </w:r>
      <w:proofErr w:type="spellEnd"/>
      <w:r w:rsidRPr="00454C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Fintech</w:t>
      </w:r>
      <w:r w:rsidR="001A6017" w:rsidRPr="00454C8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4C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platform ingests, cleans, and analyses real Indian mutual fund data from AMFI India and mfapi.in, covering 40 schemes across 10 leading Asset Management Companies (AMCs) over a period from January 2022 to May 2026.</w:t>
      </w:r>
    </w:p>
    <w:p w14:paraId="2047B689" w14:textId="7A327617" w:rsidR="00454C8B" w:rsidRPr="00454C8B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4C8B">
        <w:rPr>
          <w:rFonts w:ascii="Times New Roman" w:hAnsi="Times New Roman" w:cs="Times New Roman"/>
          <w:color w:val="000000" w:themeColor="text1"/>
          <w:sz w:val="24"/>
          <w:szCs w:val="24"/>
        </w:rPr>
        <w:t>The project delivers a fully automated ETL pipeline, a normalised SQLite star schema database, comprehensive exploratory data analysis (EDA) with 15+ visualisations, advanced risk and performance metrics, and a four-page interactive Power BI dashboard — all built using publicly available data with no API keys required.</w:t>
      </w:r>
    </w:p>
    <w:p w14:paraId="64F018DD" w14:textId="77777777" w:rsidR="0022439B" w:rsidRPr="00454C8B" w:rsidRDefault="00000000">
      <w:pPr>
        <w:pStyle w:val="Heading3"/>
        <w:spacing w:before="300" w:after="120"/>
        <w:rPr>
          <w:rFonts w:ascii="Times New Roman" w:hAnsi="Times New Roman" w:cs="Times New Roman"/>
          <w:sz w:val="28"/>
          <w:szCs w:val="28"/>
        </w:rPr>
      </w:pPr>
      <w:r w:rsidRPr="00454C8B">
        <w:rPr>
          <w:rFonts w:ascii="Times New Roman" w:hAnsi="Times New Roman" w:cs="Times New Roman"/>
          <w:color w:val="1B3A6B"/>
          <w:sz w:val="28"/>
          <w:szCs w:val="28"/>
        </w:rPr>
        <w:t>Key Findings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439B" w:rsidRPr="00454C8B" w14:paraId="7047F7CC" w14:textId="77777777" w:rsidTr="009A6DCD">
        <w:tblPrEx>
          <w:tblCellMar>
            <w:top w:w="0" w:type="dxa"/>
            <w:bottom w:w="0" w:type="dxa"/>
          </w:tblCellMar>
        </w:tblPrEx>
        <w:trPr>
          <w:trHeight w:val="1190"/>
        </w:trPr>
        <w:tc>
          <w:tcPr>
            <w:tcW w:w="312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EB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F6BA76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0D7377"/>
                <w:sz w:val="40"/>
                <w:szCs w:val="40"/>
              </w:rPr>
              <w:t>40</w:t>
            </w:r>
          </w:p>
          <w:p w14:paraId="395C3B73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1B3A6B"/>
                <w:sz w:val="19"/>
                <w:szCs w:val="19"/>
              </w:rPr>
              <w:t>Mutual Fund Schemes</w:t>
            </w:r>
          </w:p>
          <w:p w14:paraId="22618AEA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color w:val="6B7280"/>
                <w:sz w:val="17"/>
                <w:szCs w:val="17"/>
              </w:rPr>
              <w:t>10 leading AMCs</w:t>
            </w:r>
          </w:p>
        </w:tc>
        <w:tc>
          <w:tcPr>
            <w:tcW w:w="312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EB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1AE836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0D7377"/>
                <w:sz w:val="40"/>
                <w:szCs w:val="40"/>
              </w:rPr>
              <w:t>64,320</w:t>
            </w:r>
          </w:p>
          <w:p w14:paraId="0A4B11BF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1B3A6B"/>
                <w:sz w:val="19"/>
                <w:szCs w:val="19"/>
              </w:rPr>
              <w:t>NAV Records</w:t>
            </w:r>
          </w:p>
          <w:p w14:paraId="7CF493B7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color w:val="6B7280"/>
                <w:sz w:val="17"/>
                <w:szCs w:val="17"/>
              </w:rPr>
              <w:t>Jan 2022 – May 2026</w:t>
            </w:r>
          </w:p>
        </w:tc>
        <w:tc>
          <w:tcPr>
            <w:tcW w:w="312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EB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D3D0AF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0D7377"/>
                <w:sz w:val="40"/>
                <w:szCs w:val="40"/>
              </w:rPr>
              <w:t>32,778</w:t>
            </w:r>
          </w:p>
          <w:p w14:paraId="51F9B77E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1B3A6B"/>
                <w:sz w:val="19"/>
                <w:szCs w:val="19"/>
              </w:rPr>
              <w:t>Investor Transactions</w:t>
            </w:r>
          </w:p>
          <w:p w14:paraId="74014884" w14:textId="77777777" w:rsidR="0022439B" w:rsidRPr="00454C8B" w:rsidRDefault="00000000" w:rsidP="009A6DCD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color w:val="6B7280"/>
                <w:sz w:val="17"/>
                <w:szCs w:val="17"/>
              </w:rPr>
              <w:t>5,000 unique investors</w:t>
            </w:r>
          </w:p>
        </w:tc>
      </w:tr>
    </w:tbl>
    <w:p w14:paraId="13FA3317" w14:textId="77777777" w:rsidR="0022439B" w:rsidRPr="00454C8B" w:rsidRDefault="0022439B">
      <w:pPr>
        <w:spacing w:before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439B" w:rsidRPr="00454C8B" w14:paraId="583EE49B" w14:textId="77777777" w:rsidTr="009A6DCD">
        <w:tblPrEx>
          <w:tblCellMar>
            <w:top w:w="0" w:type="dxa"/>
            <w:bottom w:w="0" w:type="dxa"/>
          </w:tblCellMar>
        </w:tblPrEx>
        <w:trPr>
          <w:trHeight w:val="1229"/>
        </w:trPr>
        <w:tc>
          <w:tcPr>
            <w:tcW w:w="312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EB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86B514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0D7377"/>
                <w:sz w:val="40"/>
                <w:szCs w:val="40"/>
              </w:rPr>
              <w:t>₹12.5L Cr</w:t>
            </w:r>
          </w:p>
          <w:p w14:paraId="4ADD6AD3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1B3A6B"/>
                <w:sz w:val="19"/>
                <w:szCs w:val="19"/>
              </w:rPr>
              <w:t>SBI MF AUM</w:t>
            </w:r>
          </w:p>
          <w:p w14:paraId="2B580116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color w:val="6B7280"/>
                <w:sz w:val="17"/>
                <w:szCs w:val="17"/>
              </w:rPr>
              <w:t>Market leader Dec 2024</w:t>
            </w:r>
          </w:p>
        </w:tc>
        <w:tc>
          <w:tcPr>
            <w:tcW w:w="312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EB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2E8587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0D7377"/>
                <w:sz w:val="40"/>
                <w:szCs w:val="40"/>
              </w:rPr>
              <w:t>₹31,002 Cr</w:t>
            </w:r>
          </w:p>
          <w:p w14:paraId="15C57266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1B3A6B"/>
                <w:sz w:val="19"/>
                <w:szCs w:val="19"/>
              </w:rPr>
              <w:t>Peak SIP Inflow</w:t>
            </w:r>
          </w:p>
          <w:p w14:paraId="52C26B2D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color w:val="6B7280"/>
                <w:sz w:val="17"/>
                <w:szCs w:val="17"/>
              </w:rPr>
              <w:t>December 2025 milestone</w:t>
            </w:r>
          </w:p>
        </w:tc>
        <w:tc>
          <w:tcPr>
            <w:tcW w:w="312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EB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967910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0D7377"/>
                <w:sz w:val="40"/>
                <w:szCs w:val="40"/>
              </w:rPr>
              <w:t>86.25/100</w:t>
            </w:r>
          </w:p>
          <w:p w14:paraId="32AF1AE1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1B3A6B"/>
                <w:sz w:val="19"/>
                <w:szCs w:val="19"/>
              </w:rPr>
              <w:t>Top Fund Score</w:t>
            </w:r>
          </w:p>
          <w:p w14:paraId="02A6E8D5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color w:val="6B7280"/>
                <w:sz w:val="17"/>
                <w:szCs w:val="17"/>
              </w:rPr>
              <w:t>Mirae Asset Large Cap</w:t>
            </w:r>
          </w:p>
        </w:tc>
      </w:tr>
    </w:tbl>
    <w:p w14:paraId="7FD4F51C" w14:textId="77777777" w:rsidR="0022439B" w:rsidRPr="00454C8B" w:rsidRDefault="0022439B">
      <w:pPr>
        <w:spacing w:before="200" w:after="80"/>
        <w:rPr>
          <w:rFonts w:ascii="Times New Roman" w:hAnsi="Times New Roman" w:cs="Times New Roman"/>
        </w:rPr>
      </w:pPr>
    </w:p>
    <w:p w14:paraId="27CC2C1C" w14:textId="77777777" w:rsidR="0022439B" w:rsidRPr="00454C8B" w:rsidRDefault="00000000">
      <w:pPr>
        <w:pStyle w:val="Heading3"/>
        <w:spacing w:before="300" w:after="120"/>
        <w:rPr>
          <w:rFonts w:ascii="Times New Roman" w:hAnsi="Times New Roman" w:cs="Times New Roman"/>
          <w:sz w:val="28"/>
          <w:szCs w:val="28"/>
        </w:rPr>
      </w:pPr>
      <w:r w:rsidRPr="00454C8B">
        <w:rPr>
          <w:rFonts w:ascii="Times New Roman" w:hAnsi="Times New Roman" w:cs="Times New Roman"/>
          <w:color w:val="1B3A6B"/>
          <w:sz w:val="28"/>
          <w:szCs w:val="28"/>
        </w:rPr>
        <w:t>Strategic Highlights</w:t>
      </w:r>
    </w:p>
    <w:p w14:paraId="5EC4E83D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SIP inflows grew 169% from ₹11,517 Cr (Jan 2022) to ₹31,002 Cr (Dec 2025), confirming the democratisation of mutual fund investing in India.</w:t>
      </w:r>
    </w:p>
    <w:p w14:paraId="430E6399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Mirae Asset Large Cap Fund scored highest on the composite Fund Scorecard (86.25/100), driven by superior Sharpe ratio (1.07) and strong 3-year CAGR (34%).</w:t>
      </w:r>
    </w:p>
    <w:p w14:paraId="1A0FAC97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Small Cap funds carry 12x higher tail-risk than Liquid funds: ABSL Small Cap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VaR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−2.39%/day vs ICICI Liquid at −0.02%/day.</w:t>
      </w:r>
    </w:p>
    <w:p w14:paraId="665CE5AF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Tier-2 city investors (B30) account for 34% of transactions and show faster YoY growth, signalling a geographic shift in MF adoption.</w:t>
      </w:r>
    </w:p>
    <w:p w14:paraId="14E459B2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The 26–35 age group dominates with 41% of all transactions, confirming the rise of young Indian retail investors.</w:t>
      </w:r>
    </w:p>
    <w:p w14:paraId="1751C374" w14:textId="77777777" w:rsidR="0022439B" w:rsidRPr="00454C8B" w:rsidRDefault="00000000">
      <w:pPr>
        <w:pageBreakBefore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lastRenderedPageBreak/>
        <w:br/>
      </w:r>
    </w:p>
    <w:p w14:paraId="36C3FF0D" w14:textId="77777777" w:rsidR="0022439B" w:rsidRPr="00454C8B" w:rsidRDefault="00000000">
      <w:pPr>
        <w:pStyle w:val="Heading1"/>
        <w:spacing w:before="300" w:after="120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2. Data Sources &amp; Collection Strategy</w:t>
      </w:r>
    </w:p>
    <w:p w14:paraId="76602D03" w14:textId="77777777" w:rsidR="009A6DCD" w:rsidRDefault="009A6DCD">
      <w:pPr>
        <w:spacing w:before="60" w:after="100"/>
        <w:rPr>
          <w:rFonts w:ascii="Times New Roman" w:hAnsi="Times New Roman" w:cs="Times New Roman"/>
        </w:rPr>
      </w:pPr>
    </w:p>
    <w:p w14:paraId="12E5BC09" w14:textId="575F1973" w:rsidR="0022439B" w:rsidRPr="009A6DCD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All data was sourced from publicly accessible Indian financial data providers — no proprietary feeds or API keys were required. This makes the project fully reproducible by any evaluator.</w:t>
      </w:r>
    </w:p>
    <w:p w14:paraId="126B5C92" w14:textId="08B7E8A7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2.1 Primary Data Sources</w:t>
      </w:r>
    </w:p>
    <w:p w14:paraId="3BCB0277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AMFI India (amfiindia.com) — Official NAV history, scheme master data, fund-house AUM, monthly SIP figures, folio counts, and category-level net inflows.</w:t>
      </w:r>
    </w:p>
    <w:p w14:paraId="762A5642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mfapi.in REST API — Live and historical NAV data via GET https://api.mfapi.in/mf/{scheme_code}. Used for 5 key schemes including HDFC Top 100 Direct (code 125497) and SBI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Bluechip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(119551).</w:t>
      </w:r>
    </w:p>
    <w:p w14:paraId="513C29AC" w14:textId="77777777" w:rsidR="0022439B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NSE/BSE Public Records — Daily benchmark index closes for Nifty 50, Nifty 100, Nifty Midcap 150, BSE SmallCap, CRISIL Liquid, and CRISIL Gilt indices.</w:t>
      </w:r>
    </w:p>
    <w:p w14:paraId="35B4484B" w14:textId="77777777" w:rsidR="009A6DCD" w:rsidRPr="009A6DCD" w:rsidRDefault="009A6DCD" w:rsidP="009A6DCD">
      <w:pPr>
        <w:pStyle w:val="ListParagraph"/>
        <w:spacing w:before="40" w:after="6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178387" w14:textId="1264FC14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2.2 Provided Datasets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5460"/>
      </w:tblGrid>
      <w:tr w:rsidR="0022439B" w:rsidRPr="00454C8B" w14:paraId="72FB3B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95ED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3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94AA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Records</w:t>
            </w:r>
          </w:p>
        </w:tc>
        <w:tc>
          <w:tcPr>
            <w:tcW w:w="54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296D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2439B" w:rsidRPr="009A6DCD" w14:paraId="4012EE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85AEE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01_fund_master.csv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513AF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0F564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AMFI scheme codes, AMC, category, risk grade, expense ratio, fund manager</w:t>
            </w:r>
          </w:p>
        </w:tc>
      </w:tr>
      <w:tr w:rsidR="0022439B" w:rsidRPr="009A6DCD" w14:paraId="38FE6E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1B581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02_nav_history.csv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CD1F6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64,320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F7168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Daily NAV Jan 2022–May 2026 for all 40 schemes</w:t>
            </w:r>
          </w:p>
        </w:tc>
      </w:tr>
      <w:tr w:rsidR="0022439B" w:rsidRPr="009A6DCD" w14:paraId="001EB3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6299F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03_aum_by_fund_house.csv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76F28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04CCB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Quarterly AUM (₹ crore) for top 10 AMCs, 2022–2025</w:t>
            </w:r>
          </w:p>
        </w:tc>
      </w:tr>
      <w:tr w:rsidR="0022439B" w:rsidRPr="009A6DCD" w14:paraId="50712E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C1892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04_monthly_sip_inflows.csv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770C7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E856C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Real AMFI monthly SIP inflows &amp; active accounts Jan 2022–Dec 2025</w:t>
            </w:r>
          </w:p>
        </w:tc>
      </w:tr>
      <w:tr w:rsidR="0022439B" w:rsidRPr="009A6DCD" w14:paraId="1217E8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1A711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05_category_inflows.csv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30BC6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144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7612E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Net inflows by category (Large Cap, Mid Cap, ELSS, Liquid, Gilt etc.)</w:t>
            </w:r>
          </w:p>
        </w:tc>
      </w:tr>
      <w:tr w:rsidR="0022439B" w:rsidRPr="009A6DCD" w14:paraId="75EA66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5C27C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06_industry_folio_count.csv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2EB23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35A42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Industry folio count growth — 13.26 Cr (Jan 2022) to 26.12 Cr (Dec 2025)</w:t>
            </w:r>
          </w:p>
        </w:tc>
      </w:tr>
      <w:tr w:rsidR="0022439B" w:rsidRPr="009A6DCD" w14:paraId="737E8E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7861E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07_scheme_performance.csv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1023E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FDA18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1yr/3yr/5yr CAGR, Sharpe, Sortino, Alpha, Beta, Max Drawdown</w:t>
            </w:r>
          </w:p>
        </w:tc>
      </w:tr>
      <w:tr w:rsidR="0022439B" w:rsidRPr="009A6DCD" w14:paraId="1E1A37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A3920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08_investor_transactions.csv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E5FDC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32,778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04F98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SIP/Lumpsum/Redemption for 5,000 investors across 12 states</w:t>
            </w:r>
          </w:p>
        </w:tc>
      </w:tr>
      <w:tr w:rsidR="0022439B" w:rsidRPr="009A6DCD" w14:paraId="590678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CD8685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09_portfolio_holdings.csv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E9D6B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322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9EA84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Top holdings per equity fund — stock, sector, weight %, market value</w:t>
            </w:r>
          </w:p>
        </w:tc>
      </w:tr>
      <w:tr w:rsidR="0022439B" w:rsidRPr="009A6DCD" w14:paraId="0B84A6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75E85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10_benchmark_indices.csv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202E8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8,050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68261" w14:textId="77777777" w:rsidR="0022439B" w:rsidRPr="009A6DCD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6D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Daily benchmark closes for 6 indices, Jan 2022–May 2026</w:t>
            </w:r>
          </w:p>
        </w:tc>
      </w:tr>
    </w:tbl>
    <w:p w14:paraId="0FD94876" w14:textId="3E22D0EA" w:rsidR="0022439B" w:rsidRPr="00454C8B" w:rsidRDefault="00000000" w:rsidP="004F590C">
      <w:pPr>
        <w:pageBreakBefore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lastRenderedPageBreak/>
        <w:br/>
      </w:r>
      <w:r w:rsidRPr="00454C8B">
        <w:rPr>
          <w:rFonts w:ascii="Times New Roman" w:hAnsi="Times New Roman" w:cs="Times New Roman"/>
          <w:b/>
          <w:bCs/>
          <w:color w:val="1B3A6B"/>
          <w:sz w:val="40"/>
          <w:szCs w:val="40"/>
        </w:rPr>
        <w:t>3. ETL Pipeline Architecture</w:t>
      </w:r>
    </w:p>
    <w:p w14:paraId="0AB36C2E" w14:textId="60462D8D" w:rsidR="0022439B" w:rsidRPr="009A6DCD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The ETL pipeline (etl_pipeline.py) follows a modular three-stage architecture: Extract → Transform → Load. The pipeline is designed to be fully automated and re-runnable, with error handling and logging at each stage.</w:t>
      </w:r>
    </w:p>
    <w:p w14:paraId="2049D730" w14:textId="7316FB73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3.1 Extract Stage</w:t>
      </w:r>
    </w:p>
    <w:p w14:paraId="4BD101F0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Local CSV ingestion: All 10 provided datasets are loaded using pandas with explicit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dtype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definitions and date parsing.</w:t>
      </w:r>
    </w:p>
    <w:p w14:paraId="2C442230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Live NAV fetch: The live_nav_fetch.py script calls the mfapi.in REST API for 5 key schemes, parses JSON responses, and appends to the raw data store.</w:t>
      </w:r>
    </w:p>
    <w:p w14:paraId="4CE068A6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Validation checks: Row counts verified against expected schema; scheme codes cross-referenced between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fund_master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nav_history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1B80A5" w14:textId="425E3B52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3.2 Transform Stage</w:t>
      </w:r>
    </w:p>
    <w:p w14:paraId="322319B3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NAV history: Dates parsed to datetime, sorted by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amfi_code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date, forward-filled for weekends and holidays, duplicates removed, NAV &gt; 0 enforced.</w:t>
      </w:r>
    </w:p>
    <w:p w14:paraId="079DC71D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Transactions: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transaction_type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standardised to SIP / Lumpsum / Redemption; amount &gt; 0 validated; KYC status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enum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checked.</w:t>
      </w:r>
    </w:p>
    <w:p w14:paraId="4AEC6A44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Scheme performance: Return values coerced to numeric;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expense_ratio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validated in [0.1%, 2.5%]; anomaly flags set.</w:t>
      </w:r>
    </w:p>
    <w:p w14:paraId="6AB59E86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Daily returns computed: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daily_return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NAV(t) / NAV(t-1) − 1 for each scheme; stored in data/processed/daily_returns.csv.</w:t>
      </w:r>
    </w:p>
    <w:p w14:paraId="548F6321" w14:textId="0CEA74DA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3.3 Load Stage</w:t>
      </w:r>
    </w:p>
    <w:p w14:paraId="1BDACAC6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SQLAlchemy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create_</w:t>
      </w:r>
      <w:proofErr w:type="gram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engine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) connects to SQLite (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bluestock_mf.db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3A1C2FB" w14:textId="77777777" w:rsidR="0022439B" w:rsidRPr="009A6DCD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 cleaned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DataFrames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loaded via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with </w:t>
      </w:r>
      <w:proofErr w:type="spellStart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if_exists</w:t>
      </w:r>
      <w:proofErr w:type="spellEnd"/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='replace' and appropriate index settings.</w:t>
      </w:r>
    </w:p>
    <w:p w14:paraId="5FC1E1BC" w14:textId="77777777" w:rsidR="0022439B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6DCD">
        <w:rPr>
          <w:rFonts w:ascii="Times New Roman" w:hAnsi="Times New Roman" w:cs="Times New Roman"/>
          <w:color w:val="000000" w:themeColor="text1"/>
          <w:sz w:val="24"/>
          <w:szCs w:val="24"/>
        </w:rPr>
        <w:t>Row count validation post-load: all tables match source CSV row counts.</w:t>
      </w:r>
    </w:p>
    <w:p w14:paraId="46AE7B52" w14:textId="62754ADA" w:rsidR="009A6DCD" w:rsidRPr="009A6DCD" w:rsidRDefault="009A6DCD" w:rsidP="009A6DCD">
      <w:pPr>
        <w:pStyle w:val="ListParagraph"/>
        <w:spacing w:before="40" w:after="6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90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0991007" wp14:editId="2597BB92">
            <wp:extent cx="4832552" cy="2387965"/>
            <wp:effectExtent l="0" t="0" r="6350" b="0"/>
            <wp:docPr id="1863238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38127" name="Picture 1863238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552" cy="238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D6E4" w14:textId="77777777" w:rsidR="0022439B" w:rsidRPr="004F590C" w:rsidRDefault="00000000">
      <w:pPr>
        <w:spacing w:before="40" w:after="120"/>
        <w:jc w:val="center"/>
        <w:rPr>
          <w:rFonts w:ascii="Times New Roman" w:hAnsi="Times New Roman" w:cs="Times New Roman"/>
          <w:color w:val="000000" w:themeColor="text1"/>
        </w:rPr>
      </w:pPr>
      <w:r w:rsidRPr="004F590C">
        <w:rPr>
          <w:rFonts w:ascii="Times New Roman" w:hAnsi="Times New Roman" w:cs="Times New Roman"/>
          <w:color w:val="000000" w:themeColor="text1"/>
          <w:sz w:val="18"/>
          <w:szCs w:val="18"/>
        </w:rPr>
        <w:t>Figure: NAV Trend — All 40 Schemes (2022–2026)</w:t>
      </w:r>
    </w:p>
    <w:p w14:paraId="0865B75B" w14:textId="77777777" w:rsidR="0022439B" w:rsidRPr="00454C8B" w:rsidRDefault="00000000">
      <w:pPr>
        <w:pageBreakBefore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lastRenderedPageBreak/>
        <w:br/>
      </w:r>
    </w:p>
    <w:p w14:paraId="3711F732" w14:textId="7BC7B467" w:rsidR="004F590C" w:rsidRDefault="00000000">
      <w:pPr>
        <w:pStyle w:val="Heading1"/>
        <w:spacing w:before="300" w:after="120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4. Database Design — Star Schema</w:t>
      </w:r>
    </w:p>
    <w:p w14:paraId="052D5253" w14:textId="77777777" w:rsidR="0022439B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The database follows a normalised star schema with dimension and fact tables, optimised for BI tool connectivity and analytical SQL queries.</w:t>
      </w:r>
    </w:p>
    <w:p w14:paraId="49799C12" w14:textId="77777777" w:rsidR="004F590C" w:rsidRPr="004F590C" w:rsidRDefault="004F590C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F18C70" w14:textId="51A58951" w:rsidR="004F590C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4.1 Schema Overview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4200"/>
        <w:gridCol w:w="1560"/>
      </w:tblGrid>
      <w:tr w:rsidR="0022439B" w:rsidRPr="00454C8B" w14:paraId="7D5A2E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4A70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A39E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EB0B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Key Columns</w:t>
            </w:r>
          </w:p>
        </w:tc>
        <w:tc>
          <w:tcPr>
            <w:tcW w:w="1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EE93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Row Count</w:t>
            </w:r>
          </w:p>
        </w:tc>
      </w:tr>
      <w:tr w:rsidR="0022439B" w:rsidRPr="00454C8B" w14:paraId="1CFF9B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D5DF1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dim_fund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99070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Dimension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6E0C5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amfi_code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(PK),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fund_house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category,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risk_grade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9B55D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</w:t>
            </w:r>
          </w:p>
        </w:tc>
      </w:tr>
      <w:tr w:rsidR="0022439B" w:rsidRPr="00454C8B" w14:paraId="7BF984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8302F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dim_date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D3D75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Dimension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BAF29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date_id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(PK), year, month, quarter,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is_weekend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B82E6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1,609</w:t>
            </w:r>
          </w:p>
        </w:tc>
      </w:tr>
      <w:tr w:rsidR="0022439B" w:rsidRPr="00454C8B" w14:paraId="1058B5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FDF22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fact_nav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FEC33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539FE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nav_id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(PK),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amfi_code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(FK), date,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nav_value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E9A77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64,320</w:t>
            </w:r>
          </w:p>
        </w:tc>
      </w:tr>
      <w:tr w:rsidR="0022439B" w:rsidRPr="00454C8B" w14:paraId="3562A4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D3E6C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fact_transactions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09299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4B77E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txn_id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(PK),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investor_id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amfi_code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(FK), amount, type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05AA7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32,778</w:t>
            </w:r>
          </w:p>
        </w:tc>
      </w:tr>
      <w:tr w:rsidR="0022439B" w:rsidRPr="00454C8B" w14:paraId="77AB0E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BF8B7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fact_performance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1393B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D617B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amfi_code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(FK), return_1yr,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sharpe_ratio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max_drawdown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16561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</w:t>
            </w:r>
          </w:p>
        </w:tc>
      </w:tr>
      <w:tr w:rsidR="0022439B" w:rsidRPr="00454C8B" w14:paraId="256459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4DDFD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fact_aum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5203B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251DF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aum_id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(PK),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amc_name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quarter_date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aum_crore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9BBB11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90</w:t>
            </w:r>
          </w:p>
        </w:tc>
      </w:tr>
      <w:tr w:rsidR="0022439B" w:rsidRPr="00454C8B" w14:paraId="20C2D9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C0398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bridge_benchmark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28DCD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Bridge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6B210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amfi_code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(FK),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benchmark_name</w:t>
            </w:r>
            <w:proofErr w:type="spellEnd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date, </w:t>
            </w:r>
            <w:proofErr w:type="spellStart"/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index_value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9D951" w14:textId="77777777" w:rsidR="0022439B" w:rsidRPr="004F590C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59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8,050</w:t>
            </w:r>
          </w:p>
        </w:tc>
      </w:tr>
    </w:tbl>
    <w:p w14:paraId="6E201FD4" w14:textId="77777777" w:rsidR="0022439B" w:rsidRPr="00454C8B" w:rsidRDefault="0022439B">
      <w:pPr>
        <w:spacing w:before="200" w:after="80"/>
        <w:rPr>
          <w:rFonts w:ascii="Times New Roman" w:hAnsi="Times New Roman" w:cs="Times New Roman"/>
        </w:rPr>
      </w:pPr>
    </w:p>
    <w:p w14:paraId="30832020" w14:textId="31744970" w:rsidR="004F590C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4.2 Design Decisions</w:t>
      </w:r>
    </w:p>
    <w:p w14:paraId="6C36DABE" w14:textId="77777777" w:rsidR="0022439B" w:rsidRPr="004F590C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Star schema chosen over 3NF for OLAP suitability — Power BI / Tableau generate more efficient DAX queries against star schemas.</w:t>
      </w:r>
    </w:p>
    <w:p w14:paraId="0F72AEC0" w14:textId="77777777" w:rsidR="0022439B" w:rsidRPr="004F590C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Composite indexes on (</w:t>
      </w:r>
      <w:proofErr w:type="spellStart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amfi_code</w:t>
      </w:r>
      <w:proofErr w:type="spellEnd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date) in </w:t>
      </w:r>
      <w:proofErr w:type="spellStart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fact_nav</w:t>
      </w:r>
      <w:proofErr w:type="spellEnd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reduce query time for rolling metrics by ~60%.</w:t>
      </w:r>
    </w:p>
    <w:p w14:paraId="3DA6BBD0" w14:textId="77777777" w:rsidR="0022439B" w:rsidRPr="004F590C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spellStart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bridge_benchmark</w:t>
      </w:r>
      <w:proofErr w:type="spellEnd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 handles the many-to-many relationship between funds and benchmark indices.</w:t>
      </w:r>
    </w:p>
    <w:p w14:paraId="40800004" w14:textId="30B42988" w:rsidR="0022439B" w:rsidRPr="00454C8B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</w:rPr>
      </w:pPr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*.</w:t>
      </w:r>
      <w:proofErr w:type="spellStart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db</w:t>
      </w:r>
      <w:proofErr w:type="spellEnd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 excluded from GitHub (added </w:t>
      </w:r>
      <w:proofErr w:type="gramStart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="004F5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gitignore</w:t>
      </w:r>
      <w:proofErr w:type="spellEnd"/>
      <w:proofErr w:type="gramEnd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); </w:t>
      </w:r>
      <w:proofErr w:type="spellStart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schema.sql</w:t>
      </w:r>
      <w:proofErr w:type="spellEnd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committed for reproducibility</w:t>
      </w:r>
      <w:r w:rsidR="004F590C">
        <w:rPr>
          <w:rFonts w:ascii="Times New Roman" w:hAnsi="Times New Roman" w:cs="Times New Roman"/>
          <w:sz w:val="21"/>
          <w:szCs w:val="21"/>
        </w:rPr>
        <w:t>.</w:t>
      </w:r>
    </w:p>
    <w:p w14:paraId="123699CD" w14:textId="2A2C0537" w:rsidR="0022439B" w:rsidRPr="004F590C" w:rsidRDefault="00000000" w:rsidP="004F590C">
      <w:pPr>
        <w:pageBreakBefore/>
        <w:spacing w:before="40" w:after="60"/>
        <w:rPr>
          <w:rFonts w:ascii="Times New Roman" w:hAnsi="Times New Roman" w:cs="Times New Roman"/>
        </w:rPr>
      </w:pPr>
      <w:r w:rsidRPr="004F590C">
        <w:rPr>
          <w:rFonts w:ascii="Times New Roman" w:hAnsi="Times New Roman" w:cs="Times New Roman"/>
          <w:b/>
          <w:bCs/>
          <w:color w:val="1B3A6B"/>
          <w:sz w:val="40"/>
          <w:szCs w:val="40"/>
        </w:rPr>
        <w:lastRenderedPageBreak/>
        <w:t>5. Exploratory Data Analysis</w:t>
      </w:r>
    </w:p>
    <w:p w14:paraId="2FE2ADFC" w14:textId="77777777" w:rsidR="0022439B" w:rsidRPr="004F590C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Comprehensive EDA was performed across five dimensions: NAV trends, AUM dynamics, SIP growth, investor demographics, and portfolio composition. All 15+ charts are exported as high-resolution PNGs in reports/charts/</w:t>
      </w:r>
      <w:proofErr w:type="spellStart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eda</w:t>
      </w:r>
      <w:proofErr w:type="spellEnd"/>
      <w:r w:rsidRPr="004F590C">
        <w:rPr>
          <w:rFonts w:ascii="Times New Roman" w:hAnsi="Times New Roman" w:cs="Times New Roman"/>
          <w:color w:val="000000" w:themeColor="text1"/>
          <w:sz w:val="24"/>
          <w:szCs w:val="24"/>
        </w:rPr>
        <w:t>/.</w:t>
      </w:r>
    </w:p>
    <w:p w14:paraId="26395EDC" w14:textId="1440A302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5.1 NAV Trend Analysis (2022–2026)</w:t>
      </w:r>
    </w:p>
    <w:p w14:paraId="01F8EE40" w14:textId="77777777" w:rsidR="0022439B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04E5">
        <w:rPr>
          <w:rFonts w:ascii="Times New Roman" w:hAnsi="Times New Roman" w:cs="Times New Roman"/>
          <w:color w:val="000000" w:themeColor="text1"/>
          <w:sz w:val="24"/>
          <w:szCs w:val="24"/>
        </w:rPr>
        <w:t>All 40 schemes were tracked from January 2022 to May 2026. Equity funds demonstrated strong upward trends with the 2023 bull run driving double-digit returns. Debt and Liquid funds maintained near-linear NAV growth with minimal volatility.</w:t>
      </w:r>
    </w:p>
    <w:p w14:paraId="45D8B5F0" w14:textId="6FCA6BF5" w:rsidR="0022439B" w:rsidRPr="007A5C82" w:rsidRDefault="007A5C82" w:rsidP="007A5C82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r w:rsidR="00FD04E5" w:rsidRPr="004F590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D728657" wp14:editId="1D987F8A">
            <wp:extent cx="4832552" cy="2387965"/>
            <wp:effectExtent l="0" t="0" r="6350" b="0"/>
            <wp:docPr id="1570135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38127" name="Picture 1863238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552" cy="238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83DF" w14:textId="77777777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Daily NAV Trends — All 40 Schemes (2022–2026)</w:t>
      </w:r>
    </w:p>
    <w:p w14:paraId="1877B7AA" w14:textId="77777777" w:rsidR="0022439B" w:rsidRPr="007A5C82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5C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Key observation: Large Cap funds recovered faster from the March 2022 correction compared to Small Cap funds. The Nifty 100 rally of 2023 (+20%) is clearly reflected in Mirae Asset Large Cap and ICICI Pru </w:t>
      </w:r>
      <w:proofErr w:type="spellStart"/>
      <w:r w:rsidRPr="007A5C82">
        <w:rPr>
          <w:rFonts w:ascii="Times New Roman" w:hAnsi="Times New Roman" w:cs="Times New Roman"/>
          <w:color w:val="000000" w:themeColor="text1"/>
          <w:sz w:val="24"/>
          <w:szCs w:val="24"/>
        </w:rPr>
        <w:t>Bluechip</w:t>
      </w:r>
      <w:proofErr w:type="spellEnd"/>
      <w:r w:rsidRPr="007A5C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NAV trajectories.</w:t>
      </w:r>
    </w:p>
    <w:p w14:paraId="43CDAA55" w14:textId="0D09E2D5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5.2 AUM Growth by Fund House</w:t>
      </w:r>
    </w:p>
    <w:p w14:paraId="27DB232D" w14:textId="77777777" w:rsidR="007A5C82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5C82">
        <w:rPr>
          <w:rFonts w:ascii="Times New Roman" w:hAnsi="Times New Roman" w:cs="Times New Roman"/>
          <w:color w:val="000000" w:themeColor="text1"/>
          <w:sz w:val="24"/>
          <w:szCs w:val="24"/>
        </w:rPr>
        <w:t>The 10 AMCs collectively manage over ₹55L Cr as of December 2025. SBI Mutual Fund leads with ₹12.5L Cr AUM, followed by ICICI Prudential (₹10.74L Cr) and HDFC MF (₹9.30L Cr). The industry saw approximately 41% AUM growth between 2022 and 2025, driven by equity inflows and market appreciation.</w:t>
      </w:r>
    </w:p>
    <w:p w14:paraId="63AE8496" w14:textId="77777777" w:rsidR="007A5C82" w:rsidRDefault="007A5C82" w:rsidP="007A5C82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9486EAA" wp14:editId="6E1A0D9F">
            <wp:extent cx="3965097" cy="2112714"/>
            <wp:effectExtent l="0" t="0" r="0" b="1905"/>
            <wp:docPr id="424691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91141" name="Picture 4246911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992" cy="213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2A73" w14:textId="6F483463" w:rsidR="0022439B" w:rsidRPr="007A5C82" w:rsidRDefault="007A5C82" w:rsidP="007A5C82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18"/>
          <w:szCs w:val="18"/>
        </w:rPr>
        <w:t xml:space="preserve">                                                     </w:t>
      </w:r>
      <w:r w:rsidR="00000000" w:rsidRPr="00454C8B">
        <w:rPr>
          <w:rFonts w:ascii="Times New Roman" w:hAnsi="Times New Roman" w:cs="Times New Roman"/>
          <w:color w:val="6B7280"/>
          <w:sz w:val="18"/>
          <w:szCs w:val="18"/>
        </w:rPr>
        <w:t>Figure: AUM Growth by Fund House — 2022 to 2025 (₹ Crore)</w:t>
      </w:r>
    </w:p>
    <w:p w14:paraId="39025A04" w14:textId="400EB380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lastRenderedPageBreak/>
        <w:t>5.3 SIP Inflow Trend</w:t>
      </w:r>
    </w:p>
    <w:p w14:paraId="2A4415EF" w14:textId="77777777" w:rsidR="0022439B" w:rsidRDefault="00000000">
      <w:pPr>
        <w:spacing w:before="60" w:after="100"/>
        <w:rPr>
          <w:rFonts w:ascii="Times New Roman" w:hAnsi="Times New Roman" w:cs="Times New Roman"/>
        </w:rPr>
      </w:pPr>
      <w:r w:rsidRPr="007A5C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Monthly SIP inflows grew from ₹11,517 Cr in January 2022 to the historic milestone of ₹31,002 Cr in December 2025 — a 169% increase in 48 months. Active SIP accounts crossed 10 </w:t>
      </w:r>
      <w:proofErr w:type="gramStart"/>
      <w:r w:rsidRPr="007A5C82">
        <w:rPr>
          <w:rFonts w:ascii="Times New Roman" w:hAnsi="Times New Roman" w:cs="Times New Roman"/>
          <w:color w:val="000000" w:themeColor="text1"/>
          <w:sz w:val="24"/>
          <w:szCs w:val="24"/>
        </w:rPr>
        <w:t>crore</w:t>
      </w:r>
      <w:proofErr w:type="gramEnd"/>
      <w:r w:rsidRPr="007A5C82">
        <w:rPr>
          <w:rFonts w:ascii="Times New Roman" w:hAnsi="Times New Roman" w:cs="Times New Roman"/>
          <w:color w:val="000000" w:themeColor="text1"/>
          <w:sz w:val="24"/>
          <w:szCs w:val="24"/>
        </w:rPr>
        <w:t>, reflecting the strong retail investor adoption of the systematic investment route</w:t>
      </w:r>
      <w:r w:rsidRPr="00454C8B">
        <w:rPr>
          <w:rFonts w:ascii="Times New Roman" w:hAnsi="Times New Roman" w:cs="Times New Roman"/>
        </w:rPr>
        <w:t>.</w:t>
      </w:r>
    </w:p>
    <w:p w14:paraId="10608120" w14:textId="7DF71A66" w:rsidR="007A5C82" w:rsidRPr="00454C8B" w:rsidRDefault="007A5C82">
      <w:pPr>
        <w:spacing w:before="6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C5C3938" wp14:editId="715BE982">
            <wp:extent cx="4758116" cy="2347818"/>
            <wp:effectExtent l="0" t="0" r="4445" b="0"/>
            <wp:docPr id="748244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44910" name="Picture 7482449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6" cy="235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682D" w14:textId="77777777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Monthly SIP Inflows (Jan 2022 – Dec 2025) with ₹31,002 Cr Milestone</w:t>
      </w:r>
    </w:p>
    <w:p w14:paraId="03595480" w14:textId="3FD6DDAA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5.4 Category Inflow Heatmap</w:t>
      </w:r>
    </w:p>
    <w:p w14:paraId="150B774A" w14:textId="77777777" w:rsidR="0022439B" w:rsidRDefault="00000000">
      <w:pPr>
        <w:spacing w:before="60" w:after="100"/>
        <w:rPr>
          <w:rFonts w:ascii="Times New Roman" w:hAnsi="Times New Roman" w:cs="Times New Roman"/>
        </w:rPr>
      </w:pPr>
      <w:r w:rsidRPr="007A5C82">
        <w:rPr>
          <w:rFonts w:ascii="Times New Roman" w:hAnsi="Times New Roman" w:cs="Times New Roman"/>
          <w:color w:val="000000" w:themeColor="text1"/>
          <w:sz w:val="24"/>
          <w:szCs w:val="24"/>
        </w:rPr>
        <w:t>Equity-oriented categories (Mid Cap, Small Cap, Flexi Cap) consistently attracted higher net inflows during 2023–2025 compared to Debt and Liquid categories. ELSS (tax-saving) funds show predictable March spikes driven by last-minute tax planning</w:t>
      </w:r>
      <w:r w:rsidRPr="00454C8B">
        <w:rPr>
          <w:rFonts w:ascii="Times New Roman" w:hAnsi="Times New Roman" w:cs="Times New Roman"/>
        </w:rPr>
        <w:t>.</w:t>
      </w:r>
    </w:p>
    <w:p w14:paraId="0F2890DF" w14:textId="77777777" w:rsidR="007A5C82" w:rsidRDefault="007A5C82" w:rsidP="007A5C82">
      <w:pPr>
        <w:spacing w:before="6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7EADF9" wp14:editId="6319D70D">
            <wp:extent cx="6286500" cy="2378075"/>
            <wp:effectExtent l="0" t="0" r="0" b="3175"/>
            <wp:docPr id="86424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4616" name="Picture 864246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            </w:t>
      </w:r>
    </w:p>
    <w:p w14:paraId="3F20BCE8" w14:textId="20E8280D" w:rsidR="0022439B" w:rsidRPr="00454C8B" w:rsidRDefault="007A5C82" w:rsidP="007A5C82">
      <w:pPr>
        <w:spacing w:before="6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</w:t>
      </w:r>
      <w:r w:rsidR="00000000" w:rsidRPr="00454C8B">
        <w:rPr>
          <w:rFonts w:ascii="Times New Roman" w:hAnsi="Times New Roman" w:cs="Times New Roman"/>
          <w:color w:val="6B7280"/>
          <w:sz w:val="18"/>
          <w:szCs w:val="18"/>
        </w:rPr>
        <w:t>Figure: Net Inflow Heatmap by Category and Month</w:t>
      </w:r>
    </w:p>
    <w:p w14:paraId="65FBE852" w14:textId="05553DA3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5.5 NAV Return Correlation Matrix</w:t>
      </w:r>
    </w:p>
    <w:p w14:paraId="0C0C7C0A" w14:textId="77777777" w:rsidR="0022439B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5C82">
        <w:rPr>
          <w:rFonts w:ascii="Times New Roman" w:hAnsi="Times New Roman" w:cs="Times New Roman"/>
          <w:color w:val="000000" w:themeColor="text1"/>
          <w:sz w:val="24"/>
          <w:szCs w:val="24"/>
        </w:rPr>
        <w:t>The correlation matrix of daily returns across 10 selected funds reveals that equity funds within the same market-cap segment are highly correlated (r &gt; 0.85), while Debt and Liquid funds show near-zero correlation with equity funds. This validates their role as portfolio diversifiers.</w:t>
      </w:r>
    </w:p>
    <w:p w14:paraId="55FF54D6" w14:textId="7BFEEBA7" w:rsidR="0022439B" w:rsidRPr="007A5C82" w:rsidRDefault="007A5C82" w:rsidP="007A5C82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6C6F689" wp14:editId="449A00B4">
            <wp:extent cx="5899093" cy="4854536"/>
            <wp:effectExtent l="0" t="0" r="6985" b="3810"/>
            <wp:docPr id="929284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84084" name="Picture 9292840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657" cy="485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8157" w14:textId="77777777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Pairwise Return Correlation Matrix — 10 Selected Funds</w:t>
      </w:r>
    </w:p>
    <w:p w14:paraId="5A7CBA26" w14:textId="7DA34D4A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5.6 Sector Allocation</w:t>
      </w:r>
    </w:p>
    <w:p w14:paraId="7DFE31F2" w14:textId="77777777" w:rsidR="0022439B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5C82">
        <w:rPr>
          <w:rFonts w:ascii="Times New Roman" w:hAnsi="Times New Roman" w:cs="Times New Roman"/>
          <w:color w:val="000000" w:themeColor="text1"/>
          <w:sz w:val="24"/>
          <w:szCs w:val="24"/>
        </w:rPr>
        <w:t>Banking, Financial Services &amp; Insurance (BFSI) accounts for the largest sector exposure across equity funds (~28%), followed by IT (~16%) and Consumer Discretionary (~12%). Small Cap funds have notably higher exposure to Manufacturing and Industrials.</w:t>
      </w:r>
    </w:p>
    <w:p w14:paraId="1BCF1192" w14:textId="4965130B" w:rsidR="0022439B" w:rsidRPr="007A5C82" w:rsidRDefault="007A5C82" w:rsidP="007A5C82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D9596F1" wp14:editId="68168FDD">
            <wp:extent cx="2977869" cy="2318826"/>
            <wp:effectExtent l="0" t="0" r="0" b="5715"/>
            <wp:docPr id="166831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1115" name="Picture 1668311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649" cy="23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BCDE" w14:textId="77777777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Sector Allocation Donut — Aggregated Across All Equity Funds</w:t>
      </w:r>
    </w:p>
    <w:p w14:paraId="7C177EA4" w14:textId="77777777" w:rsidR="0022439B" w:rsidRPr="00454C8B" w:rsidRDefault="00000000">
      <w:pPr>
        <w:pageBreakBefore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lastRenderedPageBreak/>
        <w:br/>
      </w:r>
    </w:p>
    <w:p w14:paraId="2C624C4B" w14:textId="77777777" w:rsidR="0022439B" w:rsidRPr="00454C8B" w:rsidRDefault="00000000">
      <w:pPr>
        <w:pStyle w:val="Heading1"/>
        <w:spacing w:before="300" w:after="120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6. Performance &amp; Risk Analytics</w:t>
      </w:r>
    </w:p>
    <w:p w14:paraId="260E1E75" w14:textId="77777777" w:rsidR="0022439B" w:rsidRPr="00EE7D8E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Day 4 analytics computed six core risk-performance metrics for all 40 schemes using daily return data from January 2022 to May 2026. A composite Fund Scorecard (0–100) was derived from weighted ranks across five metrics.</w:t>
      </w:r>
    </w:p>
    <w:p w14:paraId="06B341E7" w14:textId="14510F67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6.1 Sharpe &amp; Sortino Ratios</w:t>
      </w:r>
    </w:p>
    <w:p w14:paraId="25F3F4C4" w14:textId="77777777" w:rsidR="0022439B" w:rsidRPr="00EE7D8E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Risk-free rate proxy: 6.5% per annum (RBI repo rate). Sharpe ratio was computed using annualised excess returns divided by annualised total standard deviation. Sortino uses only downside standard deviation (negative-return days).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000"/>
        <w:gridCol w:w="1100"/>
        <w:gridCol w:w="1460"/>
        <w:gridCol w:w="2000"/>
      </w:tblGrid>
      <w:tr w:rsidR="0022439B" w:rsidRPr="00454C8B" w14:paraId="46B42D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BF60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Fund</w:t>
            </w:r>
          </w:p>
        </w:tc>
        <w:tc>
          <w:tcPr>
            <w:tcW w:w="1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73E2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Sharpe</w:t>
            </w:r>
          </w:p>
        </w:tc>
        <w:tc>
          <w:tcPr>
            <w:tcW w:w="11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6CCE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Sortino</w:t>
            </w:r>
          </w:p>
        </w:tc>
        <w:tc>
          <w:tcPr>
            <w:tcW w:w="14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1484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3Yr CAGR</w:t>
            </w:r>
          </w:p>
        </w:tc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0B8E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Risk Grade</w:t>
            </w:r>
          </w:p>
        </w:tc>
      </w:tr>
      <w:tr w:rsidR="0022439B" w:rsidRPr="00454C8B" w14:paraId="5457BD5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B3107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Mirae Asset Large Cap — Regular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4A0A6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3E89A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1.49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F5627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34.0%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8F9E5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Moderate</w:t>
            </w:r>
          </w:p>
        </w:tc>
      </w:tr>
      <w:tr w:rsidR="0022439B" w:rsidRPr="00454C8B" w14:paraId="2C0E2B3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71229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Kotak </w:t>
            </w:r>
            <w:proofErr w:type="spellStart"/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Flexicap</w:t>
            </w:r>
            <w:proofErr w:type="spellEnd"/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— Regular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09625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CEED2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1.38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2BEEA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29.6%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2DB91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Moderate</w:t>
            </w:r>
          </w:p>
        </w:tc>
      </w:tr>
      <w:tr w:rsidR="0022439B" w:rsidRPr="00454C8B" w14:paraId="1EFD10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D634E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ICICI Pru Midcap — Regular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77E41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35211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1.29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01079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31.8%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4B192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High</w:t>
            </w:r>
          </w:p>
        </w:tc>
      </w:tr>
      <w:tr w:rsidR="0022439B" w:rsidRPr="00454C8B" w14:paraId="1B430E7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D6650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HDFC Mid-Cap Opp — Regular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AEF9E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75140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1.14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4B75B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32.4%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ACCE4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Moderate</w:t>
            </w:r>
          </w:p>
        </w:tc>
      </w:tr>
      <w:tr w:rsidR="0022439B" w:rsidRPr="00454C8B" w14:paraId="4EA963D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E9137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ICICI Pru </w:t>
            </w:r>
            <w:proofErr w:type="spellStart"/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Bluechip</w:t>
            </w:r>
            <w:proofErr w:type="spellEnd"/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— Direct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5EEB4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355D2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0.98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1862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32.5%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418D5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Moderate</w:t>
            </w:r>
          </w:p>
        </w:tc>
      </w:tr>
    </w:tbl>
    <w:p w14:paraId="396DDE87" w14:textId="77777777" w:rsidR="00EE7D8E" w:rsidRDefault="00EE7D8E">
      <w:pPr>
        <w:spacing w:before="40" w:after="120"/>
        <w:jc w:val="center"/>
        <w:rPr>
          <w:rFonts w:ascii="Times New Roman" w:hAnsi="Times New Roman" w:cs="Times New Roman"/>
          <w:color w:val="6B7280"/>
          <w:sz w:val="18"/>
          <w:szCs w:val="18"/>
        </w:rPr>
      </w:pPr>
      <w:r>
        <w:rPr>
          <w:rFonts w:ascii="Times New Roman" w:hAnsi="Times New Roman" w:cs="Times New Roman"/>
          <w:noProof/>
          <w:color w:val="6B7280"/>
          <w:sz w:val="18"/>
          <w:szCs w:val="18"/>
        </w:rPr>
        <w:drawing>
          <wp:inline distT="0" distB="0" distL="0" distR="0" wp14:anchorId="288108C9" wp14:editId="480487AC">
            <wp:extent cx="3900362" cy="2311457"/>
            <wp:effectExtent l="0" t="0" r="5080" b="0"/>
            <wp:docPr id="16450309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30961" name="Picture 16450309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718" cy="236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FCE9" w14:textId="5A4F90AB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Top 10 Funds by 3-Year CAGR</w:t>
      </w:r>
    </w:p>
    <w:p w14:paraId="406A38F5" w14:textId="46FEC080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6.2 Alpha &amp; Beta Analysis</w:t>
      </w:r>
    </w:p>
    <w:p w14:paraId="4617DF54" w14:textId="77777777" w:rsidR="0022439B" w:rsidRPr="00EE7D8E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Alpha and Beta were computed via OLS regression of fund daily returns against Nifty 100 returns. Alpha is annualised (×252). A positive Alpha indicates the fund generated returns above what the benchmark alone explains.</w:t>
      </w:r>
    </w:p>
    <w:p w14:paraId="1CDF6891" w14:textId="77777777" w:rsidR="0022439B" w:rsidRPr="00EE7D8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SBI Small Cap Regular achieved the highest Alpha (0.30), indicating significant outperformance vs Nifty 100.</w:t>
      </w:r>
    </w:p>
    <w:p w14:paraId="41BB4E5B" w14:textId="77777777" w:rsidR="0022439B" w:rsidRPr="00EE7D8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ICICI Pru Midcap (Alpha 0.29, Beta ~0) is effectively market-neutral by this measurement window.</w:t>
      </w:r>
    </w:p>
    <w:p w14:paraId="49B9BE11" w14:textId="77777777" w:rsidR="0022439B" w:rsidRPr="00EE7D8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Most Debt funds exhibit Beta near 0.0 to 0.44, confirming their low market-sensitivity.</w:t>
      </w:r>
    </w:p>
    <w:p w14:paraId="75BD772D" w14:textId="1D79D971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lastRenderedPageBreak/>
        <w:t>6.3 Maximum Drawdown</w:t>
      </w:r>
    </w:p>
    <w:p w14:paraId="0091F3DC" w14:textId="77777777" w:rsidR="0022439B" w:rsidRPr="00EE7D8E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Maximum Drawdown measures the peak-to-trough decline in NAV. Small Cap funds experienced the deepest drawdowns during 2022–2023, with SBI Small Cap Direct reaching −52.6% drawdown. All equity funds recovered post-2023 except certain aggressive small-cap exposures.</w:t>
      </w:r>
    </w:p>
    <w:p w14:paraId="7A44F1CC" w14:textId="77777777" w:rsidR="0022439B" w:rsidRPr="00EE7D8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Worst drawdown: SBI Small Cap Direct at −52.6% (trough in mid-2023)</w:t>
      </w:r>
    </w:p>
    <w:p w14:paraId="41FD05C3" w14:textId="77777777" w:rsidR="0022439B" w:rsidRPr="00EE7D8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Best preservation: ICICI Liquid and Kotak Liquid — virtually no drawdown (&lt; −0.01%)</w:t>
      </w:r>
    </w:p>
    <w:p w14:paraId="22D2E960" w14:textId="77777777" w:rsidR="0022439B" w:rsidRPr="00EE7D8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Mid Cap funds average drawdown: −16% to −22%, recovering within 9–12 months</w:t>
      </w:r>
    </w:p>
    <w:p w14:paraId="104FD20F" w14:textId="532E7530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6.4 Value at Risk (</w:t>
      </w:r>
      <w:proofErr w:type="spellStart"/>
      <w:r w:rsidRPr="00454C8B">
        <w:rPr>
          <w:rFonts w:ascii="Times New Roman" w:hAnsi="Times New Roman" w:cs="Times New Roman"/>
        </w:rPr>
        <w:t>VaR</w:t>
      </w:r>
      <w:proofErr w:type="spellEnd"/>
      <w:r w:rsidRPr="00454C8B">
        <w:rPr>
          <w:rFonts w:ascii="Times New Roman" w:hAnsi="Times New Roman" w:cs="Times New Roman"/>
        </w:rPr>
        <w:t>) &amp; CVaR</w:t>
      </w:r>
    </w:p>
    <w:p w14:paraId="613A362E" w14:textId="77777777" w:rsidR="0022439B" w:rsidRPr="00EE7D8E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Historical </w:t>
      </w:r>
      <w:proofErr w:type="spellStart"/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VaR</w:t>
      </w:r>
      <w:proofErr w:type="spellEnd"/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95% confidence was computed as the 5th percentile of the daily return distribution. CVaR (Expected Shortfall) is the mean of returns below the </w:t>
      </w:r>
      <w:proofErr w:type="spellStart"/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VaR</w:t>
      </w:r>
      <w:proofErr w:type="spellEnd"/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threshold, capturing tail risk beyond </w:t>
      </w:r>
      <w:proofErr w:type="spellStart"/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VaR.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80"/>
        <w:gridCol w:w="1680"/>
        <w:gridCol w:w="2600"/>
      </w:tblGrid>
      <w:tr w:rsidR="0022439B" w:rsidRPr="00454C8B" w14:paraId="472CA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6D69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Fund</w:t>
            </w:r>
          </w:p>
        </w:tc>
        <w:tc>
          <w:tcPr>
            <w:tcW w:w="16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21CB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VaR</w:t>
            </w:r>
            <w:proofErr w:type="spellEnd"/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 xml:space="preserve"> 95% Daily</w:t>
            </w:r>
          </w:p>
        </w:tc>
        <w:tc>
          <w:tcPr>
            <w:tcW w:w="16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61FA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CVaR 95% Daily</w:t>
            </w:r>
          </w:p>
        </w:tc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B020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Risk Category</w:t>
            </w:r>
          </w:p>
        </w:tc>
      </w:tr>
      <w:tr w:rsidR="0022439B" w:rsidRPr="00454C8B" w14:paraId="4B2F74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5D146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ABSL Small Cap — Regular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A252C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−2.39%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0F269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−3.03%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6F6D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Very High</w:t>
            </w:r>
          </w:p>
        </w:tc>
      </w:tr>
      <w:tr w:rsidR="0022439B" w:rsidRPr="00454C8B" w14:paraId="69D4CF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0ABE5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Axis Small Cap — Regular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F5EB7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−2.33%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142F5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−2.97%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29ED9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Very High</w:t>
            </w:r>
          </w:p>
        </w:tc>
      </w:tr>
      <w:tr w:rsidR="0022439B" w:rsidRPr="00454C8B" w14:paraId="41A237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D795A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SBI Small Cap — Direct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537D3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−2.32%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B9A75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−3.02%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13745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Very High</w:t>
            </w:r>
          </w:p>
        </w:tc>
      </w:tr>
      <w:tr w:rsidR="0022439B" w:rsidRPr="00454C8B" w14:paraId="7D3237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4408B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Nippon India Small Cap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CD263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−2.28%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FFB27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−2.99%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2E32E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Very High</w:t>
            </w:r>
          </w:p>
        </w:tc>
      </w:tr>
      <w:tr w:rsidR="0022439B" w:rsidRPr="00454C8B" w14:paraId="48CEC6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DB047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ICICI Pru Liquid — Regular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046AB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−0.02%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3F4C6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−0.03%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22413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Low</w:t>
            </w:r>
          </w:p>
        </w:tc>
      </w:tr>
    </w:tbl>
    <w:p w14:paraId="3F9159DC" w14:textId="31DE1ED5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6.5 Fund Scorecard</w:t>
      </w:r>
    </w:p>
    <w:p w14:paraId="4631250A" w14:textId="77777777" w:rsidR="0022439B" w:rsidRPr="00EE7D8E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7D8E">
        <w:rPr>
          <w:rFonts w:ascii="Times New Roman" w:hAnsi="Times New Roman" w:cs="Times New Roman"/>
          <w:color w:val="000000" w:themeColor="text1"/>
          <w:sz w:val="24"/>
          <w:szCs w:val="24"/>
        </w:rPr>
        <w:t>A composite 0–100 score was computed as: 30% × 3yr CAGR rank + 25% × Sharpe rank + 20% × Alpha rank + 15% × Expense ratio rank (inverse) + 10% × Max Drawdown rank (inverse).</w:t>
      </w: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900"/>
        <w:gridCol w:w="900"/>
        <w:gridCol w:w="1240"/>
        <w:gridCol w:w="1000"/>
      </w:tblGrid>
      <w:tr w:rsidR="0022439B" w:rsidRPr="00454C8B" w14:paraId="6E8FFD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BB7C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3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6F7F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Fund</w:t>
            </w:r>
          </w:p>
        </w:tc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20BE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12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0F6A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3Yr CAGR</w:t>
            </w:r>
          </w:p>
        </w:tc>
        <w:tc>
          <w:tcPr>
            <w:tcW w:w="1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08AF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Sharpe</w:t>
            </w:r>
          </w:p>
        </w:tc>
      </w:tr>
      <w:tr w:rsidR="0022439B" w:rsidRPr="00EE7D8E" w14:paraId="785ED1C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5FF2C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B07C8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Mirae Asset Large Cap — Regular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68AD4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86.25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8B492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34.0%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3F872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1.07</w:t>
            </w:r>
          </w:p>
        </w:tc>
      </w:tr>
      <w:tr w:rsidR="0022439B" w:rsidRPr="00EE7D8E" w14:paraId="6BE49F4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1B69F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7E5FA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ICICI Pru Midcap — Regular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E7718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82.88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BB44D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31.8%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0CCFC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0.88</w:t>
            </w:r>
          </w:p>
        </w:tc>
      </w:tr>
      <w:tr w:rsidR="0022439B" w:rsidRPr="00EE7D8E" w14:paraId="7D450BE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089A5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D40CE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Kotak </w:t>
            </w:r>
            <w:proofErr w:type="spellStart"/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Flexicap</w:t>
            </w:r>
            <w:proofErr w:type="spellEnd"/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— Regular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BEBB7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82.00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E8CE5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29.6%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FF69E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0.97</w:t>
            </w:r>
          </w:p>
        </w:tc>
      </w:tr>
      <w:tr w:rsidR="0022439B" w:rsidRPr="00EE7D8E" w14:paraId="7B5D450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6642C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DE24D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HDFC Mid-Cap Opp — Regular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F502D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80.75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3D4FE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32.4%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EFDD9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0.81</w:t>
            </w:r>
          </w:p>
        </w:tc>
      </w:tr>
      <w:tr w:rsidR="0022439B" w:rsidRPr="00EE7D8E" w14:paraId="01515A0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EC7AF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F54D2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ICICI Pru </w:t>
            </w:r>
            <w:proofErr w:type="spellStart"/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Bluechip</w:t>
            </w:r>
            <w:proofErr w:type="spellEnd"/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— Direct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5EABC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79.38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AFE18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32.5%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2C9B8" w14:textId="77777777" w:rsidR="0022439B" w:rsidRPr="00EE7D8E" w:rsidRDefault="0000000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E7D8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0.71</w:t>
            </w:r>
          </w:p>
        </w:tc>
      </w:tr>
    </w:tbl>
    <w:p w14:paraId="6320137B" w14:textId="77777777" w:rsidR="00EE7D8E" w:rsidRDefault="00EE7D8E">
      <w:pPr>
        <w:spacing w:before="40" w:after="120"/>
        <w:jc w:val="center"/>
        <w:rPr>
          <w:rFonts w:ascii="Times New Roman" w:hAnsi="Times New Roman" w:cs="Times New Roman"/>
          <w:color w:val="6B7280"/>
          <w:sz w:val="18"/>
          <w:szCs w:val="18"/>
        </w:rPr>
      </w:pPr>
      <w:r>
        <w:rPr>
          <w:rFonts w:ascii="Times New Roman" w:hAnsi="Times New Roman" w:cs="Times New Roman"/>
          <w:noProof/>
          <w:color w:val="6B7280"/>
          <w:sz w:val="18"/>
          <w:szCs w:val="18"/>
        </w:rPr>
        <w:drawing>
          <wp:inline distT="0" distB="0" distL="0" distR="0" wp14:anchorId="57BBE7D5" wp14:editId="21940EB2">
            <wp:extent cx="3997465" cy="2135212"/>
            <wp:effectExtent l="0" t="0" r="3175" b="0"/>
            <wp:docPr id="5928570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57095" name="Picture 5928570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306" cy="219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4CD5" w14:textId="546934EC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Top 5 Funds vs Nifty 50 &amp; Nifty 100 — 3-Year Rolling Returns</w:t>
      </w:r>
    </w:p>
    <w:p w14:paraId="411EEB1D" w14:textId="36D196D4" w:rsidR="0022439B" w:rsidRPr="00454C8B" w:rsidRDefault="00000000" w:rsidP="00EE7D8E">
      <w:pPr>
        <w:pageBreakBefore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lastRenderedPageBreak/>
        <w:br/>
      </w:r>
      <w:r w:rsidRPr="00454C8B">
        <w:rPr>
          <w:rFonts w:ascii="Times New Roman" w:hAnsi="Times New Roman" w:cs="Times New Roman"/>
          <w:b/>
          <w:bCs/>
          <w:color w:val="1B3A6B"/>
          <w:sz w:val="40"/>
          <w:szCs w:val="40"/>
        </w:rPr>
        <w:t>7. Dashboard Design (Power BI)</w:t>
      </w:r>
    </w:p>
    <w:p w14:paraId="49B6A896" w14:textId="77777777" w:rsidR="0022439B" w:rsidRPr="00F71CC1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>A four-page interactive Power BI dashboard (</w:t>
      </w:r>
      <w:proofErr w:type="spellStart"/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>bluestock_mf.pbix</w:t>
      </w:r>
      <w:proofErr w:type="spellEnd"/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>) was designed using a fintech blue-and-emerald theme. Each page includes at least two interactive slicers (fund house, date range, risk grade) enabling dynamic filtering.</w:t>
      </w:r>
    </w:p>
    <w:p w14:paraId="7F6E6625" w14:textId="165AE299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7.1 Page 1 — Market Overview</w:t>
      </w:r>
    </w:p>
    <w:p w14:paraId="5818FC5D" w14:textId="3307920B" w:rsidR="0022439B" w:rsidRDefault="00000000" w:rsidP="00F71CC1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KPI cards: Industry AUM, total folios, SIP milestone. Charts: SIP inflow time-series with ₹31,002 Cr annotation, AUM bar chart by fund house, category-wise net inflow </w:t>
      </w:r>
      <w:proofErr w:type="spellStart"/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>treemap</w:t>
      </w:r>
      <w:proofErr w:type="spellEnd"/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>. Slicer: Year, Quarter.</w:t>
      </w:r>
    </w:p>
    <w:p w14:paraId="39A1F6CD" w14:textId="1A156FD7" w:rsidR="00F71CC1" w:rsidRPr="00F71CC1" w:rsidRDefault="00F71CC1" w:rsidP="00F71CC1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2E68830" wp14:editId="7A23EB89">
            <wp:extent cx="5243638" cy="2923726"/>
            <wp:effectExtent l="0" t="0" r="0" b="0"/>
            <wp:docPr id="60311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1268" name="Picture 6031126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506" cy="293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5BB1" w14:textId="78D0730E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Dashboard Page 1 — Market Overview</w:t>
      </w:r>
    </w:p>
    <w:p w14:paraId="10488253" w14:textId="15508501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7.2 Page 2 — Fund Performance &amp; Risk</w:t>
      </w:r>
    </w:p>
    <w:p w14:paraId="48BC68A4" w14:textId="77777777" w:rsidR="0022439B" w:rsidRPr="00F71CC1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Sharpe vs Sortino scatter plot; Max Drawdown bar chart; fund ranking by Alpha; rolling Beta vs Nifty </w:t>
      </w:r>
      <w:proofErr w:type="gramStart"/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>50 line</w:t>
      </w:r>
      <w:proofErr w:type="gramEnd"/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chart. Slicer: Fund House, Risk Grade.</w:t>
      </w:r>
    </w:p>
    <w:p w14:paraId="11D67BCC" w14:textId="77777777" w:rsidR="00F71CC1" w:rsidRDefault="00F71CC1">
      <w:pPr>
        <w:spacing w:before="40" w:after="120"/>
        <w:jc w:val="center"/>
        <w:rPr>
          <w:rFonts w:ascii="Times New Roman" w:hAnsi="Times New Roman" w:cs="Times New Roman"/>
          <w:color w:val="6B7280"/>
          <w:sz w:val="18"/>
          <w:szCs w:val="18"/>
        </w:rPr>
      </w:pPr>
      <w:r>
        <w:rPr>
          <w:rFonts w:ascii="Times New Roman" w:hAnsi="Times New Roman" w:cs="Times New Roman"/>
          <w:noProof/>
          <w:color w:val="6B7280"/>
          <w:sz w:val="18"/>
          <w:szCs w:val="18"/>
        </w:rPr>
        <w:drawing>
          <wp:inline distT="0" distB="0" distL="0" distR="0" wp14:anchorId="1F61F557" wp14:editId="2B5BC1BB">
            <wp:extent cx="4543358" cy="2532807"/>
            <wp:effectExtent l="0" t="0" r="0" b="1270"/>
            <wp:docPr id="12289705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70536" name="Picture 12289705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74" cy="255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BB36" w14:textId="01C8DD17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 xml:space="preserve">Figure: Dashboard Page 2 — Fund Performance &amp; Risk </w:t>
      </w:r>
    </w:p>
    <w:p w14:paraId="0785E58E" w14:textId="437049AC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lastRenderedPageBreak/>
        <w:t>7.3 Page 3 — Investor Demographics</w:t>
      </w:r>
    </w:p>
    <w:p w14:paraId="36C43162" w14:textId="77777777" w:rsidR="0022439B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>Age group distribution pie; SIP amount box plot by income bracket; city tier (T30 vs B30) donut; Indian state-level horizontal bar chart. Slicer: Transaction Type, City Tier.</w:t>
      </w:r>
    </w:p>
    <w:p w14:paraId="7FEAD782" w14:textId="005576C8" w:rsidR="00F71CC1" w:rsidRPr="00F71CC1" w:rsidRDefault="00F71CC1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9BA7659" wp14:editId="3037AFE8">
            <wp:extent cx="6286500" cy="3547745"/>
            <wp:effectExtent l="0" t="0" r="0" b="0"/>
            <wp:docPr id="14333546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54653" name="Picture 14333546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53AC" w14:textId="661E395F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Dashboard Page 3 — Investor Demographics</w:t>
      </w:r>
    </w:p>
    <w:p w14:paraId="25C8D650" w14:textId="6364140C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7.4 Page 4 — Portfolio Holdings &amp; Sector Exposure</w:t>
      </w:r>
    </w:p>
    <w:p w14:paraId="24D27309" w14:textId="77777777" w:rsidR="0022439B" w:rsidRPr="00F71CC1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Sunburst of top stock holdings; sector concentration </w:t>
      </w:r>
      <w:proofErr w:type="spellStart"/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>treemap</w:t>
      </w:r>
      <w:proofErr w:type="spellEnd"/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>; HHI concentration bar chart; stock-level weight% across top 5 funds. Slicer: Fund, Sector.</w:t>
      </w:r>
    </w:p>
    <w:p w14:paraId="0DF8821E" w14:textId="6E0377D8" w:rsidR="00F71CC1" w:rsidRDefault="00F71CC1">
      <w:pPr>
        <w:spacing w:before="40" w:after="120"/>
        <w:jc w:val="center"/>
        <w:rPr>
          <w:rFonts w:ascii="Segoe UI Emoji" w:hAnsi="Segoe UI Emoji" w:cs="Segoe UI Emoji"/>
          <w:b/>
          <w:bCs/>
          <w:color w:val="0D7377"/>
          <w:sz w:val="20"/>
          <w:szCs w:val="20"/>
        </w:rPr>
      </w:pPr>
      <w:r>
        <w:rPr>
          <w:rFonts w:ascii="Segoe UI Emoji" w:hAnsi="Segoe UI Emoji" w:cs="Segoe UI Emoji"/>
          <w:b/>
          <w:bCs/>
          <w:noProof/>
          <w:color w:val="0D7377"/>
          <w:sz w:val="20"/>
          <w:szCs w:val="20"/>
        </w:rPr>
        <w:drawing>
          <wp:inline distT="0" distB="0" distL="0" distR="0" wp14:anchorId="1619855E" wp14:editId="278E61FA">
            <wp:extent cx="5498959" cy="3074974"/>
            <wp:effectExtent l="0" t="0" r="6985" b="0"/>
            <wp:docPr id="988373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73873" name="Picture 9883738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655" cy="311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0AAB" w14:textId="3878D10C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Dashboard Page 4 — Portfolio Holdings</w:t>
      </w:r>
    </w:p>
    <w:p w14:paraId="6E8C8D80" w14:textId="7BC92B33" w:rsidR="0022439B" w:rsidRPr="00454C8B" w:rsidRDefault="00000000" w:rsidP="00F71CC1">
      <w:pPr>
        <w:pageBreakBefore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b/>
          <w:bCs/>
          <w:color w:val="1B3A6B"/>
          <w:sz w:val="40"/>
          <w:szCs w:val="40"/>
        </w:rPr>
        <w:lastRenderedPageBreak/>
        <w:t>8. Investor Demographics &amp; Transaction Patterns</w:t>
      </w:r>
    </w:p>
    <w:p w14:paraId="7CBEFD23" w14:textId="77777777" w:rsidR="0022439B" w:rsidRPr="00F71CC1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>Analysis of 32,778 transactions from 5,000 investors across 12 Indian states reveals distinct demographic patterns that have implications for AMC product design and investor outreach.</w:t>
      </w:r>
    </w:p>
    <w:p w14:paraId="46021BDB" w14:textId="26F73F0D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8.1 Age &amp; Gender Distribution</w:t>
      </w:r>
    </w:p>
    <w:p w14:paraId="59F36903" w14:textId="77777777" w:rsidR="0022439B" w:rsidRPr="00F71CC1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>26–35 age group dominates with 41% of total transactions — confirming young India's growing MF participation.</w:t>
      </w:r>
    </w:p>
    <w:p w14:paraId="6A108ABA" w14:textId="77777777" w:rsidR="0022439B" w:rsidRPr="00F71CC1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>18–25 cohort: 15% of transactions but highest SIP-to-lumpsum ratio, indicating preference for disciplined savings.</w:t>
      </w:r>
    </w:p>
    <w:p w14:paraId="7C77A08C" w14:textId="5AB2E250" w:rsidR="0022439B" w:rsidRDefault="00000000" w:rsidP="00F71CC1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1CC1">
        <w:rPr>
          <w:rFonts w:ascii="Times New Roman" w:hAnsi="Times New Roman" w:cs="Times New Roman"/>
          <w:color w:val="000000" w:themeColor="text1"/>
          <w:sz w:val="24"/>
          <w:szCs w:val="24"/>
        </w:rPr>
        <w:t>46–55 and 56+ investors: higher average lumpsum amounts, consistent with wealth-accumulation life stage.</w:t>
      </w:r>
    </w:p>
    <w:p w14:paraId="0C379233" w14:textId="07B56DE0" w:rsidR="00F71CC1" w:rsidRPr="00F71CC1" w:rsidRDefault="00F71CC1" w:rsidP="00F71CC1">
      <w:pPr>
        <w:pStyle w:val="ListParagraph"/>
        <w:spacing w:before="40" w:after="6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E8D36CE" wp14:editId="5644E03F">
            <wp:extent cx="2807937" cy="2895271"/>
            <wp:effectExtent l="0" t="0" r="0" b="635"/>
            <wp:docPr id="20704700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70046" name="Picture 207047004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977" cy="292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185E" w14:textId="77777777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Investor Age Group Distribution</w:t>
      </w:r>
    </w:p>
    <w:p w14:paraId="686B9BB0" w14:textId="5F1C5CD5" w:rsidR="000151F7" w:rsidRDefault="000151F7">
      <w:pPr>
        <w:spacing w:before="40" w:after="120"/>
        <w:jc w:val="center"/>
        <w:rPr>
          <w:rFonts w:ascii="Segoe UI Emoji" w:hAnsi="Segoe UI Emoji" w:cs="Segoe UI Emoji"/>
          <w:b/>
          <w:bCs/>
          <w:color w:val="0D7377"/>
          <w:sz w:val="20"/>
          <w:szCs w:val="20"/>
        </w:rPr>
      </w:pPr>
      <w:r>
        <w:rPr>
          <w:rFonts w:ascii="Segoe UI Emoji" w:hAnsi="Segoe UI Emoji" w:cs="Segoe UI Emoji"/>
          <w:b/>
          <w:bCs/>
          <w:noProof/>
          <w:color w:val="0D7377"/>
          <w:sz w:val="20"/>
          <w:szCs w:val="20"/>
        </w:rPr>
        <w:drawing>
          <wp:inline distT="0" distB="0" distL="0" distR="0" wp14:anchorId="5E224154" wp14:editId="6D72FE5F">
            <wp:extent cx="4483970" cy="2961685"/>
            <wp:effectExtent l="0" t="0" r="0" b="0"/>
            <wp:docPr id="18073641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64179" name="Picture 180736417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009" cy="297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983F" w14:textId="1EC78CA7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SIP Amount Distribution by Age Group</w:t>
      </w:r>
    </w:p>
    <w:p w14:paraId="4EC065A7" w14:textId="7611149F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lastRenderedPageBreak/>
        <w:t>8.2 Geographic Distribution</w:t>
      </w:r>
    </w:p>
    <w:p w14:paraId="46089D6C" w14:textId="77777777" w:rsidR="0022439B" w:rsidRPr="000151F7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1F7">
        <w:rPr>
          <w:rFonts w:ascii="Times New Roman" w:hAnsi="Times New Roman" w:cs="Times New Roman"/>
          <w:color w:val="000000" w:themeColor="text1"/>
          <w:sz w:val="24"/>
          <w:szCs w:val="24"/>
        </w:rPr>
        <w:t>T30 cities account for 66% of transactions; however, B30 cities show faster growth (+19% YoY) — a structural shift in geographic MF adoption.</w:t>
      </w:r>
    </w:p>
    <w:p w14:paraId="538C0556" w14:textId="77777777" w:rsidR="0022439B" w:rsidRPr="000151F7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1F7">
        <w:rPr>
          <w:rFonts w:ascii="Times New Roman" w:hAnsi="Times New Roman" w:cs="Times New Roman"/>
          <w:color w:val="000000" w:themeColor="text1"/>
          <w:sz w:val="24"/>
          <w:szCs w:val="24"/>
        </w:rPr>
        <w:t>Top states by SIP investment: Punjab, Tamil Nadu, Madhya Pradesh, Rajasthan, Gujarat — reflecting AMC branch penetration beyond Maharashtra.</w:t>
      </w:r>
    </w:p>
    <w:p w14:paraId="1F69E903" w14:textId="165558DB" w:rsidR="000151F7" w:rsidRDefault="000151F7">
      <w:pPr>
        <w:spacing w:before="40" w:after="120"/>
        <w:jc w:val="center"/>
        <w:rPr>
          <w:rFonts w:ascii="Segoe UI Emoji" w:hAnsi="Segoe UI Emoji" w:cs="Segoe UI Emoji"/>
          <w:b/>
          <w:bCs/>
          <w:color w:val="0D7377"/>
          <w:sz w:val="20"/>
          <w:szCs w:val="20"/>
        </w:rPr>
      </w:pPr>
      <w:r>
        <w:rPr>
          <w:rFonts w:ascii="Segoe UI Emoji" w:hAnsi="Segoe UI Emoji" w:cs="Segoe UI Emoji"/>
          <w:b/>
          <w:bCs/>
          <w:noProof/>
          <w:color w:val="0D7377"/>
          <w:sz w:val="20"/>
          <w:szCs w:val="20"/>
        </w:rPr>
        <w:drawing>
          <wp:inline distT="0" distB="0" distL="0" distR="0" wp14:anchorId="633E9516" wp14:editId="7A4969F6">
            <wp:extent cx="4410159" cy="3063502"/>
            <wp:effectExtent l="0" t="0" r="0" b="3810"/>
            <wp:docPr id="2062862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6232" name="Picture 20628623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71" cy="307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2B7F" w14:textId="7E4277F5" w:rsidR="0022439B" w:rsidRDefault="00000000" w:rsidP="000151F7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SIP Investment Volume by State</w:t>
      </w:r>
    </w:p>
    <w:p w14:paraId="5700138A" w14:textId="7B8B6C19" w:rsidR="000151F7" w:rsidRPr="00454C8B" w:rsidRDefault="000151F7" w:rsidP="000151F7">
      <w:pPr>
        <w:spacing w:before="4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BEFB36" wp14:editId="7ADC8E3B">
            <wp:extent cx="2516623" cy="2594898"/>
            <wp:effectExtent l="0" t="0" r="0" b="0"/>
            <wp:docPr id="9136053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05370" name="Picture 91360537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221" cy="262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B0A1" w14:textId="77777777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T30 vs B30 City Tier Transaction Split</w:t>
      </w:r>
    </w:p>
    <w:p w14:paraId="1B55F652" w14:textId="25270BB3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8.3 Transaction Type Mix</w:t>
      </w:r>
    </w:p>
    <w:p w14:paraId="4BD7557F" w14:textId="77777777" w:rsidR="0022439B" w:rsidRPr="000151F7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1F7">
        <w:rPr>
          <w:rFonts w:ascii="Times New Roman" w:hAnsi="Times New Roman" w:cs="Times New Roman"/>
          <w:color w:val="000000" w:themeColor="text1"/>
          <w:sz w:val="24"/>
          <w:szCs w:val="24"/>
        </w:rPr>
        <w:t>SIP: 60.2% of all transactions — dominant and growing. SIP accounts for systematic, disciplined investor behaviour.</w:t>
      </w:r>
    </w:p>
    <w:p w14:paraId="1EF7BB56" w14:textId="77777777" w:rsidR="0022439B" w:rsidRPr="000151F7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1F7">
        <w:rPr>
          <w:rFonts w:ascii="Times New Roman" w:hAnsi="Times New Roman" w:cs="Times New Roman"/>
          <w:color w:val="000000" w:themeColor="text1"/>
          <w:sz w:val="24"/>
          <w:szCs w:val="24"/>
        </w:rPr>
        <w:t>Lumpsum: 24.7% — concentrated in Q4 (Jan–Mar) driven by year-end tax planning.</w:t>
      </w:r>
    </w:p>
    <w:p w14:paraId="20DA8FB0" w14:textId="77777777" w:rsidR="0022439B" w:rsidRPr="000151F7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1F7">
        <w:rPr>
          <w:rFonts w:ascii="Times New Roman" w:hAnsi="Times New Roman" w:cs="Times New Roman"/>
          <w:color w:val="000000" w:themeColor="text1"/>
          <w:sz w:val="24"/>
          <w:szCs w:val="24"/>
        </w:rPr>
        <w:t>Redemption: 15.1% — spike observed in March and November, consistent with tax-harvesting patterns.</w:t>
      </w:r>
    </w:p>
    <w:p w14:paraId="1CFD65CE" w14:textId="4DABCA85" w:rsidR="0022439B" w:rsidRPr="00454C8B" w:rsidRDefault="00000000" w:rsidP="000151F7">
      <w:pPr>
        <w:pageBreakBefore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b/>
          <w:bCs/>
          <w:color w:val="1B3A6B"/>
          <w:sz w:val="40"/>
          <w:szCs w:val="40"/>
        </w:rPr>
        <w:lastRenderedPageBreak/>
        <w:t>9. Benchmark Comparison</w:t>
      </w:r>
    </w:p>
    <w:p w14:paraId="231E25BD" w14:textId="77777777" w:rsidR="0022439B" w:rsidRPr="000151F7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1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 40 schemes were benchmarked against Nifty 50, Nifty 100, Nifty Midcap 150, and BSE SmallCap using daily index data from 10_benchmark_indices.csv. Tracking Error = </w:t>
      </w:r>
      <w:proofErr w:type="gramStart"/>
      <w:r w:rsidRPr="000151F7">
        <w:rPr>
          <w:rFonts w:ascii="Times New Roman" w:hAnsi="Times New Roman" w:cs="Times New Roman"/>
          <w:color w:val="000000" w:themeColor="text1"/>
          <w:sz w:val="24"/>
          <w:szCs w:val="24"/>
        </w:rPr>
        <w:t>std(</w:t>
      </w:r>
      <w:proofErr w:type="gramEnd"/>
      <w:r w:rsidRPr="000151F7">
        <w:rPr>
          <w:rFonts w:ascii="Times New Roman" w:hAnsi="Times New Roman" w:cs="Times New Roman"/>
          <w:color w:val="000000" w:themeColor="text1"/>
          <w:sz w:val="24"/>
          <w:szCs w:val="24"/>
        </w:rPr>
        <w:t>fund return − benchmark return) × √252.</w:t>
      </w:r>
    </w:p>
    <w:p w14:paraId="569A76AF" w14:textId="77777777" w:rsidR="0022439B" w:rsidRPr="000151F7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1F7">
        <w:rPr>
          <w:rFonts w:ascii="Times New Roman" w:hAnsi="Times New Roman" w:cs="Times New Roman"/>
          <w:color w:val="000000" w:themeColor="text1"/>
          <w:sz w:val="24"/>
          <w:szCs w:val="24"/>
        </w:rPr>
        <w:t>Top 5 equity funds outperformed Nifty 100 by an average of 2.8% on a 3-year annualised basis.</w:t>
      </w:r>
    </w:p>
    <w:p w14:paraId="7EC80C29" w14:textId="77777777" w:rsidR="0022439B" w:rsidRPr="000151F7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1F7">
        <w:rPr>
          <w:rFonts w:ascii="Times New Roman" w:hAnsi="Times New Roman" w:cs="Times New Roman"/>
          <w:color w:val="000000" w:themeColor="text1"/>
          <w:sz w:val="24"/>
          <w:szCs w:val="24"/>
        </w:rPr>
        <w:t>Mid Cap funds outperformed the Nifty Midcap 150 benchmark by 3.2% Alpha (3Y), with ICICI Pru Midcap leading.</w:t>
      </w:r>
    </w:p>
    <w:p w14:paraId="5B877302" w14:textId="77777777" w:rsidR="0022439B" w:rsidRPr="000151F7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1F7">
        <w:rPr>
          <w:rFonts w:ascii="Times New Roman" w:hAnsi="Times New Roman" w:cs="Times New Roman"/>
          <w:color w:val="000000" w:themeColor="text1"/>
          <w:sz w:val="24"/>
          <w:szCs w:val="24"/>
        </w:rPr>
        <w:t>Lowest tracking error: UTI Nifty 50 Index Fund at 0.01% — consistent with its passive mandate.</w:t>
      </w:r>
    </w:p>
    <w:p w14:paraId="107C7AEF" w14:textId="4240E215" w:rsidR="0022439B" w:rsidRDefault="00000000" w:rsidP="000151F7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1F7">
        <w:rPr>
          <w:rFonts w:ascii="Times New Roman" w:hAnsi="Times New Roman" w:cs="Times New Roman"/>
          <w:color w:val="000000" w:themeColor="text1"/>
          <w:sz w:val="24"/>
          <w:szCs w:val="24"/>
        </w:rPr>
        <w:t>Rolling 6-month correlation between top equity funds and Nifty 100 averages 0.88, increasing during market stress.</w:t>
      </w:r>
    </w:p>
    <w:p w14:paraId="57FBB4A1" w14:textId="2F170EA8" w:rsidR="000151F7" w:rsidRPr="000151F7" w:rsidRDefault="000151F7" w:rsidP="000151F7">
      <w:pPr>
        <w:pStyle w:val="ListParagraph"/>
        <w:spacing w:before="40" w:after="6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Pr="000151F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DFEEB6A" wp14:editId="0A1C4DAD">
            <wp:extent cx="3981282" cy="2126568"/>
            <wp:effectExtent l="0" t="0" r="635" b="7620"/>
            <wp:docPr id="529522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22315" name="Picture 5295223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740" cy="215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CD03" w14:textId="77777777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Top 5 Funds vs Nifty 50 &amp; Nifty 100 — 3-Year Performance Comparison</w:t>
      </w:r>
    </w:p>
    <w:p w14:paraId="0BB9A9AF" w14:textId="13EA2052" w:rsidR="0022439B" w:rsidRPr="00454C8B" w:rsidRDefault="00000000">
      <w:pPr>
        <w:pStyle w:val="Heading1"/>
        <w:spacing w:before="300" w:after="120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10. Advanced Analyti</w:t>
      </w:r>
      <w:r w:rsidR="000151F7">
        <w:rPr>
          <w:rFonts w:ascii="Times New Roman" w:hAnsi="Times New Roman" w:cs="Times New Roman"/>
        </w:rPr>
        <w:t>cs</w:t>
      </w:r>
    </w:p>
    <w:p w14:paraId="1EB1B9F7" w14:textId="3E44E9F3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10.1 Rolling 90-Day Sharpe</w:t>
      </w:r>
    </w:p>
    <w:p w14:paraId="2337ECCF" w14:textId="77777777" w:rsidR="0022439B" w:rsidRPr="000151F7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1F7">
        <w:rPr>
          <w:rFonts w:ascii="Times New Roman" w:hAnsi="Times New Roman" w:cs="Times New Roman"/>
          <w:color w:val="000000" w:themeColor="text1"/>
          <w:sz w:val="24"/>
          <w:szCs w:val="24"/>
        </w:rPr>
        <w:t>Rolling Sharpe ratio for the top 5 funds surged above 3.0 during the 2023 bull run and compressed below 1.0 during the FII-outflow period of late 2024. This confirms that short-window Sharpe metrics are regime-sensitive and should not be used as the sole fund selection criterion.</w:t>
      </w:r>
    </w:p>
    <w:p w14:paraId="2A987D57" w14:textId="0FD3B5C9" w:rsidR="000151F7" w:rsidRDefault="000151F7">
      <w:pPr>
        <w:spacing w:before="40" w:after="120"/>
        <w:jc w:val="center"/>
        <w:rPr>
          <w:rFonts w:ascii="Segoe UI Emoji" w:hAnsi="Segoe UI Emoji" w:cs="Segoe UI Emoji"/>
          <w:b/>
          <w:bCs/>
          <w:color w:val="0D7377"/>
          <w:sz w:val="20"/>
          <w:szCs w:val="20"/>
        </w:rPr>
      </w:pPr>
      <w:r>
        <w:rPr>
          <w:rFonts w:ascii="Segoe UI Emoji" w:hAnsi="Segoe UI Emoji" w:cs="Segoe UI Emoji"/>
          <w:b/>
          <w:bCs/>
          <w:noProof/>
          <w:color w:val="0D7377"/>
          <w:sz w:val="20"/>
          <w:szCs w:val="20"/>
        </w:rPr>
        <w:drawing>
          <wp:inline distT="0" distB="0" distL="0" distR="0" wp14:anchorId="47F1973E" wp14:editId="229A0771">
            <wp:extent cx="4226685" cy="2095837"/>
            <wp:effectExtent l="0" t="0" r="2540" b="0"/>
            <wp:docPr id="17654001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00183" name="Picture 176540018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529" cy="216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729C" w14:textId="7A97BF72" w:rsidR="0022439B" w:rsidRPr="00454C8B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18"/>
          <w:szCs w:val="18"/>
        </w:rPr>
        <w:t>Figure: Rolling 90-Day Sharpe Ratio — Top 5 Funds (2022–2026)</w:t>
      </w:r>
    </w:p>
    <w:p w14:paraId="7CDFC241" w14:textId="56B9110B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lastRenderedPageBreak/>
        <w:t>10.2 Investor Cohort Analysis</w:t>
      </w:r>
    </w:p>
    <w:p w14:paraId="2F2C33EC" w14:textId="77777777" w:rsidR="0022439B" w:rsidRPr="008C23A6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2024 cohort (4,456 investors): </w:t>
      </w:r>
      <w:proofErr w:type="spellStart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avg</w:t>
      </w:r>
      <w:proofErr w:type="spellEnd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SIP ₹10,987 — largest cohort, accounts for ₹212 Cr total SIP deployment.</w:t>
      </w:r>
    </w:p>
    <w:p w14:paraId="4DD0A566" w14:textId="77777777" w:rsidR="0022439B" w:rsidRPr="008C23A6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2025 cohort (306 investors): </w:t>
      </w:r>
      <w:proofErr w:type="spellStart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avg</w:t>
      </w:r>
      <w:proofErr w:type="spellEnd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SIP ₹12,517 — 14% higher ticket size, skewing toward Mid Cap and Flexi Cap funds.</w:t>
      </w:r>
    </w:p>
    <w:p w14:paraId="58660A87" w14:textId="0517DD26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10.3 SIP Continuity</w:t>
      </w:r>
    </w:p>
    <w:p w14:paraId="5DAEBA07" w14:textId="77777777" w:rsidR="0022439B" w:rsidRPr="008C23A6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Of 1,362 investors with 6+ SIP transactions, 97.8% show average gaps exceeding 35 days. This suggests significant payment friction — an AMC intervention opportunity via auto-debit nudges targeting investors with gaps &gt; 32 days.</w:t>
      </w:r>
    </w:p>
    <w:p w14:paraId="13238858" w14:textId="6D312B9A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10.4 Sector HHI Concentration</w:t>
      </w:r>
    </w:p>
    <w:p w14:paraId="7398E0BA" w14:textId="283037EA" w:rsidR="008C23A6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Axis </w:t>
      </w:r>
      <w:proofErr w:type="spellStart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Bluechip</w:t>
      </w:r>
      <w:proofErr w:type="spellEnd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Fund (HHI 0.206) and ABSL Small Cap Fund (HHI 0.201) are the only two equity funds classified as Concentrated (HHI &gt; 0.18). Most equity funds fall in the Moderate band (0.10–0.18). UTI Nifty 50 Index Fund and ICICI Pru </w:t>
      </w:r>
      <w:proofErr w:type="spellStart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Bluechip</w:t>
      </w:r>
      <w:proofErr w:type="spellEnd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Direct show the lowest HHI, consistent with broad market-cap diversification.</w:t>
      </w:r>
    </w:p>
    <w:p w14:paraId="42F09F3E" w14:textId="77777777" w:rsidR="008C23A6" w:rsidRDefault="008C23A6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33A4C4" w14:textId="77777777" w:rsidR="008C23A6" w:rsidRDefault="008C23A6" w:rsidP="008C23A6">
      <w:pPr>
        <w:pStyle w:val="NoSpacing"/>
        <w:rPr>
          <w:rFonts w:ascii="Times New Roman" w:hAnsi="Times New Roman" w:cs="Times New Roman"/>
          <w:b/>
          <w:bCs/>
          <w:color w:val="1B3A6B"/>
          <w:sz w:val="40"/>
          <w:szCs w:val="40"/>
        </w:rPr>
      </w:pPr>
    </w:p>
    <w:p w14:paraId="50E0F28B" w14:textId="45821A31" w:rsidR="008C23A6" w:rsidRPr="00454C8B" w:rsidRDefault="008C23A6" w:rsidP="008C23A6">
      <w:pPr>
        <w:pStyle w:val="NoSpacing"/>
      </w:pPr>
      <w:r>
        <w:rPr>
          <w:rFonts w:ascii="Times New Roman" w:hAnsi="Times New Roman" w:cs="Times New Roman"/>
          <w:b/>
          <w:bCs/>
          <w:color w:val="1B3A6B"/>
          <w:sz w:val="40"/>
          <w:szCs w:val="40"/>
        </w:rPr>
        <w:t>11. Limitations and Assumptions</w:t>
      </w:r>
    </w:p>
    <w:p w14:paraId="60C5A871" w14:textId="77777777" w:rsidR="008C23A6" w:rsidRPr="008C23A6" w:rsidRDefault="008C23A6" w:rsidP="008C23A6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Simulated investor transactions: The 32,778 transactions were generated with realistic parameters but do not represent actual investor portfolios — all investment and personal details are synthetic.</w:t>
      </w:r>
    </w:p>
    <w:p w14:paraId="19DBF11D" w14:textId="77777777" w:rsidR="008C23A6" w:rsidRPr="008C23A6" w:rsidRDefault="008C23A6" w:rsidP="008C23A6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NAV forward-filling: Weekend and holiday NAV gaps were forward-filled using the preceding day's NAV. While standard practice, this artificially smooths return distributions for some risk metrics.</w:t>
      </w:r>
    </w:p>
    <w:p w14:paraId="25BD94E4" w14:textId="77777777" w:rsidR="008C23A6" w:rsidRPr="008C23A6" w:rsidRDefault="008C23A6" w:rsidP="008C23A6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Risk-free rate: The RBI repo rate proxy (6.5% p.a.) is used as a constant. In reality, risk-free rates varied between 4.0%–6.5% over the study period, which would alter Sharpe ratios slightly.</w:t>
      </w:r>
    </w:p>
    <w:p w14:paraId="7505C0DF" w14:textId="77777777" w:rsidR="008C23A6" w:rsidRPr="008C23A6" w:rsidRDefault="008C23A6" w:rsidP="008C23A6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Alpha/Beta computation window: OLS regression uses the full available return history for each fund, not a rolling 36-month window. Funds with shorter histories (e.g., newer schemes) may have less reliable Beta estimates.</w:t>
      </w:r>
    </w:p>
    <w:p w14:paraId="78C5273D" w14:textId="77777777" w:rsidR="008C23A6" w:rsidRPr="008C23A6" w:rsidRDefault="008C23A6" w:rsidP="008C23A6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CAGR uses 252 trading days: Calendar-day CAGR would differ slightly due to varying number of trading days per year.</w:t>
      </w:r>
    </w:p>
    <w:p w14:paraId="3E7F55A8" w14:textId="77777777" w:rsidR="008C23A6" w:rsidRPr="008C23A6" w:rsidRDefault="008C23A6" w:rsidP="008C23A6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Dashboard is offline: The Power BI dashboard requires Power BI Desktop to open the .</w:t>
      </w:r>
      <w:proofErr w:type="spellStart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pbix</w:t>
      </w:r>
      <w:proofErr w:type="spellEnd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file. Publishing to Power BI Service requires a Pro licence.</w:t>
      </w:r>
    </w:p>
    <w:p w14:paraId="3605E9AB" w14:textId="77777777" w:rsidR="008C23A6" w:rsidRPr="00454C8B" w:rsidRDefault="008C23A6" w:rsidP="008C23A6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mfapi.in data lag: Live NAV may differ by 1 business day from AMFI official figures due to API caching</w:t>
      </w:r>
      <w:r w:rsidRPr="00454C8B">
        <w:rPr>
          <w:rFonts w:ascii="Times New Roman" w:hAnsi="Times New Roman" w:cs="Times New Roman"/>
          <w:sz w:val="21"/>
          <w:szCs w:val="21"/>
        </w:rPr>
        <w:t>.</w:t>
      </w:r>
    </w:p>
    <w:p w14:paraId="22AC5100" w14:textId="47AC40D8" w:rsidR="008C23A6" w:rsidRDefault="00000000" w:rsidP="008C23A6">
      <w:pPr>
        <w:pStyle w:val="ListParagraph"/>
      </w:pPr>
      <w:r w:rsidRPr="00454C8B">
        <w:br/>
      </w:r>
    </w:p>
    <w:p w14:paraId="63CCCF6D" w14:textId="77777777" w:rsidR="008C23A6" w:rsidRDefault="008C23A6" w:rsidP="008C23A6">
      <w:pPr>
        <w:pStyle w:val="ListParagraph"/>
      </w:pPr>
    </w:p>
    <w:p w14:paraId="509757B4" w14:textId="77777777" w:rsidR="008C23A6" w:rsidRPr="008C23A6" w:rsidRDefault="008C23A6" w:rsidP="008C23A6">
      <w:pPr>
        <w:pStyle w:val="ListParagraph"/>
      </w:pPr>
    </w:p>
    <w:p w14:paraId="3A4ACCFA" w14:textId="7744BA4F" w:rsidR="0022439B" w:rsidRPr="00454C8B" w:rsidRDefault="00000000">
      <w:pPr>
        <w:pStyle w:val="Heading1"/>
        <w:spacing w:before="300" w:after="120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lastRenderedPageBreak/>
        <w:t>12. Recommendations</w:t>
      </w:r>
    </w:p>
    <w:p w14:paraId="223C6841" w14:textId="77777777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For AMCs &amp; Fund Distributors</w:t>
      </w:r>
    </w:p>
    <w:p w14:paraId="02784DB3" w14:textId="77777777" w:rsidR="0022439B" w:rsidRPr="008C23A6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SIP Continuity Programme: Target the 97.8% of investors with irregular SIP gaps using personalised nudge emails/SMS triggered at day 32 post-last-debit. Even recovering 10% of at-risk investors would protect significant AUM.</w:t>
      </w:r>
    </w:p>
    <w:p w14:paraId="5C497576" w14:textId="77777777" w:rsidR="0022439B" w:rsidRPr="008C23A6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B30 City Expansion: The 19% YoY growth in B30 transactions signals an underserved market. AMCs should prioritise digital onboarding (Aadhaar-based </w:t>
      </w:r>
      <w:proofErr w:type="spellStart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eKYC</w:t>
      </w:r>
      <w:proofErr w:type="spellEnd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) for Tier-2/3 investors with low minimum SIP amounts (₹100–₹500).</w:t>
      </w:r>
    </w:p>
    <w:p w14:paraId="092C1ADF" w14:textId="77777777" w:rsidR="0022439B" w:rsidRPr="008C23A6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Product Recommendation Engine: The risk-grade-based recommender (recommender.py) can be operationalised in mobile apps to guide first-time investors toward funds matching their risk profile.</w:t>
      </w:r>
    </w:p>
    <w:p w14:paraId="7C0F8FCF" w14:textId="77777777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For Investors</w:t>
      </w:r>
    </w:p>
    <w:p w14:paraId="7C0CFE3E" w14:textId="77777777" w:rsidR="0022439B" w:rsidRPr="008C23A6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Mirae Asset Large Cap Fund ranks highest on the composite scorecard and offers the best risk-adjusted returns in the Moderate risk category — suitable as a core equity holding.</w:t>
      </w:r>
    </w:p>
    <w:p w14:paraId="19828F14" w14:textId="77777777" w:rsidR="0022439B" w:rsidRPr="008C23A6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Diversify across market-caps: allocating 60% Large Cap + 30% Mid Cap + 10% Debt produces Sharpe-optimised returns based on portfolio-level simulations.</w:t>
      </w:r>
    </w:p>
    <w:p w14:paraId="40B7C42A" w14:textId="77777777" w:rsidR="0022439B" w:rsidRPr="008C23A6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Avoid chasing Small Cap </w:t>
      </w:r>
      <w:proofErr w:type="spellStart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VaR</w:t>
      </w:r>
      <w:proofErr w:type="spellEnd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: investors attracted by Small Cap 5-year CAGRs (28%+) must account for −2.4%/day tail-risk on stress days.</w:t>
      </w:r>
    </w:p>
    <w:p w14:paraId="64ED4730" w14:textId="77777777" w:rsidR="0022439B" w:rsidRPr="00454C8B" w:rsidRDefault="00000000">
      <w:pPr>
        <w:pStyle w:val="Heading2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 xml:space="preserve">For </w:t>
      </w:r>
      <w:proofErr w:type="spellStart"/>
      <w:r w:rsidRPr="00454C8B">
        <w:rPr>
          <w:rFonts w:ascii="Times New Roman" w:hAnsi="Times New Roman" w:cs="Times New Roman"/>
        </w:rPr>
        <w:t>Bluestock</w:t>
      </w:r>
      <w:proofErr w:type="spellEnd"/>
      <w:r w:rsidRPr="00454C8B">
        <w:rPr>
          <w:rFonts w:ascii="Times New Roman" w:hAnsi="Times New Roman" w:cs="Times New Roman"/>
        </w:rPr>
        <w:t xml:space="preserve"> Fintech</w:t>
      </w:r>
    </w:p>
    <w:p w14:paraId="7DD0E4A9" w14:textId="77777777" w:rsidR="0022439B" w:rsidRPr="008C23A6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Schedule the ETL pipeline as a </w:t>
      </w:r>
      <w:proofErr w:type="spellStart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cron</w:t>
      </w:r>
      <w:proofErr w:type="spellEnd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job (daily at 8 PM IST) to auto-fetch live NAV from mfapi.in and refresh the SQLite database.</w:t>
      </w:r>
    </w:p>
    <w:p w14:paraId="51E11AA2" w14:textId="77777777" w:rsidR="0022439B" w:rsidRPr="008C23A6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Integrate a </w:t>
      </w:r>
      <w:proofErr w:type="spellStart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Streamlit</w:t>
      </w:r>
      <w:proofErr w:type="spellEnd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app as an alternative to Power BI, enabling browser-based access to dashboards without requiring Power BI Desktop.</w:t>
      </w:r>
    </w:p>
    <w:p w14:paraId="43C7A0C7" w14:textId="77777777" w:rsidR="0022439B" w:rsidRPr="008C23A6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Consider Monte Carlo simulation for 5-year NAV projection, incorporating uncertainty bands — already prototyped as Bonus Challenge B3.</w:t>
      </w:r>
    </w:p>
    <w:p w14:paraId="47982A4B" w14:textId="6F022C73" w:rsidR="0022439B" w:rsidRPr="008C23A6" w:rsidRDefault="00000000" w:rsidP="008C23A6">
      <w:pPr>
        <w:pageBreakBefore/>
        <w:spacing w:before="40" w:after="60"/>
        <w:rPr>
          <w:rFonts w:ascii="Times New Roman" w:hAnsi="Times New Roman" w:cs="Times New Roman"/>
        </w:rPr>
      </w:pPr>
      <w:r w:rsidRPr="008C23A6">
        <w:rPr>
          <w:rFonts w:ascii="Times New Roman" w:hAnsi="Times New Roman" w:cs="Times New Roman"/>
          <w:b/>
          <w:bCs/>
          <w:color w:val="1B3A6B"/>
          <w:sz w:val="40"/>
          <w:szCs w:val="40"/>
        </w:rPr>
        <w:lastRenderedPageBreak/>
        <w:t>13. Conclusion</w:t>
      </w:r>
    </w:p>
    <w:p w14:paraId="48B1B8F7" w14:textId="77777777" w:rsidR="008C23A6" w:rsidRDefault="008C23A6">
      <w:pPr>
        <w:spacing w:before="60" w:after="100"/>
        <w:rPr>
          <w:rFonts w:ascii="Times New Roman" w:hAnsi="Times New Roman" w:cs="Times New Roman"/>
        </w:rPr>
      </w:pPr>
    </w:p>
    <w:p w14:paraId="67067192" w14:textId="745053F4" w:rsidR="0022439B" w:rsidRPr="008C23A6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capstone project successfully delivers a production-grade Mutual Fund Analytics Platform using real Indian MF data, fulfilling all 8 core objectives defined by </w:t>
      </w:r>
      <w:proofErr w:type="spellStart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Bluestock</w:t>
      </w:r>
      <w:proofErr w:type="spellEnd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Fintech </w:t>
      </w:r>
      <w:proofErr w:type="spellStart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Pvt.</w:t>
      </w:r>
      <w:proofErr w:type="spellEnd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Ltd.</w:t>
      </w:r>
    </w:p>
    <w:p w14:paraId="7D3FE146" w14:textId="77777777" w:rsidR="0022439B" w:rsidRPr="008C23A6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The platform demonstrates the complete analytics engineering lifecycle: from raw data ingestion via public APIs, through a normalised relational schema, to sophisticated risk metrics and an interactive BI dashboard. Key quantitative findings — the ₹31,002 Cr SIP milestone, the 86.25/100 fund scorecard leader, and the 12x tail-risk differential between Small Cap and Liquid funds — are all grounded in real AMFI data.</w:t>
      </w:r>
    </w:p>
    <w:p w14:paraId="16B24892" w14:textId="77777777" w:rsidR="0022439B" w:rsidRPr="008C23A6" w:rsidRDefault="00000000">
      <w:pPr>
        <w:spacing w:before="60" w:after="1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project is designed for reproducibility: all scripts run without manual intervention, all data sources are public, and the GitHub repository includes </w:t>
      </w:r>
      <w:proofErr w:type="spellStart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schema.sql</w:t>
      </w:r>
      <w:proofErr w:type="spellEnd"/>
      <w:r w:rsidRPr="008C23A6">
        <w:rPr>
          <w:rFonts w:ascii="Times New Roman" w:hAnsi="Times New Roman" w:cs="Times New Roman"/>
          <w:color w:val="000000" w:themeColor="text1"/>
          <w:sz w:val="24"/>
          <w:szCs w:val="24"/>
        </w:rPr>
        <w:t>, requirements.txt, and a detailed README for evaluators to replicate results.</w:t>
      </w:r>
    </w:p>
    <w:p w14:paraId="5096D28B" w14:textId="77777777" w:rsidR="0022439B" w:rsidRPr="00454C8B" w:rsidRDefault="0022439B">
      <w:pPr>
        <w:spacing w:before="3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439B" w:rsidRPr="00454C8B" w14:paraId="4052DA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EB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17FF9A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0D7377"/>
                <w:sz w:val="40"/>
                <w:szCs w:val="40"/>
              </w:rPr>
              <w:t>8/8</w:t>
            </w:r>
          </w:p>
          <w:p w14:paraId="44B5A05F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1B3A6B"/>
                <w:sz w:val="19"/>
                <w:szCs w:val="19"/>
              </w:rPr>
              <w:t>Objectives Met</w:t>
            </w:r>
          </w:p>
          <w:p w14:paraId="06D625CC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color w:val="6B7280"/>
                <w:sz w:val="17"/>
                <w:szCs w:val="17"/>
              </w:rPr>
              <w:t>O1 through O8</w:t>
            </w:r>
          </w:p>
        </w:tc>
        <w:tc>
          <w:tcPr>
            <w:tcW w:w="312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EB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74A8F2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0D7377"/>
                <w:sz w:val="40"/>
                <w:szCs w:val="40"/>
              </w:rPr>
              <w:t>7/7</w:t>
            </w:r>
          </w:p>
          <w:p w14:paraId="768241B3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1B3A6B"/>
                <w:sz w:val="19"/>
                <w:szCs w:val="19"/>
              </w:rPr>
              <w:t>Deliverables Complete</w:t>
            </w:r>
          </w:p>
          <w:p w14:paraId="7E1F5E8B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color w:val="6B7280"/>
                <w:sz w:val="17"/>
                <w:szCs w:val="17"/>
              </w:rPr>
              <w:t>D1 through D7</w:t>
            </w:r>
          </w:p>
        </w:tc>
        <w:tc>
          <w:tcPr>
            <w:tcW w:w="312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EB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7AF7B4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0D7377"/>
                <w:sz w:val="40"/>
                <w:szCs w:val="40"/>
              </w:rPr>
              <w:t>5 Bonus</w:t>
            </w:r>
          </w:p>
          <w:p w14:paraId="4C7D7BF2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1B3A6B"/>
                <w:sz w:val="19"/>
                <w:szCs w:val="19"/>
              </w:rPr>
              <w:t>Challenges Attempted</w:t>
            </w:r>
          </w:p>
          <w:p w14:paraId="0508DEAA" w14:textId="77777777" w:rsidR="0022439B" w:rsidRPr="00454C8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color w:val="6B7280"/>
                <w:sz w:val="17"/>
                <w:szCs w:val="17"/>
              </w:rPr>
              <w:t>B1–B5 outlined</w:t>
            </w:r>
          </w:p>
        </w:tc>
      </w:tr>
    </w:tbl>
    <w:p w14:paraId="45A3A947" w14:textId="77777777" w:rsidR="0022439B" w:rsidRPr="00454C8B" w:rsidRDefault="00000000">
      <w:pPr>
        <w:pageBreakBefore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lastRenderedPageBreak/>
        <w:br/>
      </w:r>
    </w:p>
    <w:p w14:paraId="32A1E3D5" w14:textId="77777777" w:rsidR="0022439B" w:rsidRPr="00454C8B" w:rsidRDefault="00000000">
      <w:pPr>
        <w:pStyle w:val="Heading1"/>
        <w:spacing w:before="300" w:after="120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Appendix A — Deliverables Checklist</w:t>
      </w:r>
    </w:p>
    <w:p w14:paraId="07AE3075" w14:textId="77777777" w:rsidR="0022439B" w:rsidRPr="00454C8B" w:rsidRDefault="0022439B">
      <w:pPr>
        <w:pBdr>
          <w:bottom w:val="single" w:sz="4" w:space="1" w:color="0D7377"/>
        </w:pBdr>
        <w:spacing w:before="200" w:after="200"/>
        <w:rPr>
          <w:rFonts w:ascii="Times New Roman" w:hAnsi="Times New Roman" w:cs="Times New Roman"/>
        </w:rPr>
      </w:pP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3500"/>
        <w:gridCol w:w="1660"/>
      </w:tblGrid>
      <w:tr w:rsidR="0022439B" w:rsidRPr="00454C8B" w14:paraId="2D3BC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B652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3C02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F8DC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6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EB7C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2439B" w:rsidRPr="00454C8B" w14:paraId="25058F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29176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D1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35912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ETL Pipeline Script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CF563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scripts/etl_pipeline.py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E9562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Segoe UI Emoji" w:hAnsi="Segoe UI Emoji" w:cs="Segoe UI Emoji"/>
                <w:sz w:val="19"/>
                <w:szCs w:val="19"/>
              </w:rPr>
              <w:t>✅</w:t>
            </w: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 xml:space="preserve"> Complete</w:t>
            </w:r>
          </w:p>
        </w:tc>
      </w:tr>
      <w:tr w:rsidR="0022439B" w:rsidRPr="00454C8B" w14:paraId="70C4F3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C10A2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D2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6F56A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SQLite Database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19FD4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bluestock_mf.db</w:t>
            </w:r>
            <w:proofErr w:type="spellEnd"/>
            <w:r w:rsidRPr="00454C8B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schema.sql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D43F6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Segoe UI Emoji" w:hAnsi="Segoe UI Emoji" w:cs="Segoe UI Emoji"/>
                <w:sz w:val="19"/>
                <w:szCs w:val="19"/>
              </w:rPr>
              <w:t>✅</w:t>
            </w: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 xml:space="preserve"> Complete</w:t>
            </w:r>
          </w:p>
        </w:tc>
      </w:tr>
      <w:tr w:rsidR="0022439B" w:rsidRPr="00454C8B" w14:paraId="113BA9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B0673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D3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33C1F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EDA Notebook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66301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notebooks/</w:t>
            </w:r>
            <w:proofErr w:type="spellStart"/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EDA_Analysis.ipynb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0ECDE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Segoe UI Emoji" w:hAnsi="Segoe UI Emoji" w:cs="Segoe UI Emoji"/>
                <w:sz w:val="19"/>
                <w:szCs w:val="19"/>
              </w:rPr>
              <w:t>✅</w:t>
            </w: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 xml:space="preserve"> Complete</w:t>
            </w:r>
          </w:p>
        </w:tc>
      </w:tr>
      <w:tr w:rsidR="0022439B" w:rsidRPr="00454C8B" w14:paraId="4689D7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EF3CB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D4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B73A2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Performance Metrics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FF33A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notebooks/</w:t>
            </w:r>
            <w:proofErr w:type="spellStart"/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Performance_Analytics.ipynb</w:t>
            </w:r>
            <w:proofErr w:type="spellEnd"/>
            <w:r w:rsidRPr="00454C8B">
              <w:rPr>
                <w:rFonts w:ascii="Times New Roman" w:hAnsi="Times New Roman" w:cs="Times New Roman"/>
                <w:sz w:val="19"/>
                <w:szCs w:val="19"/>
              </w:rPr>
              <w:t xml:space="preserve"> + CSVs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2EF0F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Segoe UI Emoji" w:hAnsi="Segoe UI Emoji" w:cs="Segoe UI Emoji"/>
                <w:sz w:val="19"/>
                <w:szCs w:val="19"/>
              </w:rPr>
              <w:t>✅</w:t>
            </w: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 xml:space="preserve"> Complete</w:t>
            </w:r>
          </w:p>
        </w:tc>
      </w:tr>
      <w:tr w:rsidR="0022439B" w:rsidRPr="00454C8B" w14:paraId="076BD4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A4949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D5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A3C06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Interactive Dashboard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DAF77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dashboard/</w:t>
            </w:r>
            <w:proofErr w:type="spellStart"/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bluestock_mf.pbix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11050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Segoe UI Emoji" w:hAnsi="Segoe UI Emoji" w:cs="Segoe UI Emoji"/>
                <w:sz w:val="19"/>
                <w:szCs w:val="19"/>
              </w:rPr>
              <w:t>✅</w:t>
            </w: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 xml:space="preserve"> Complete</w:t>
            </w:r>
          </w:p>
        </w:tc>
      </w:tr>
      <w:tr w:rsidR="0022439B" w:rsidRPr="00454C8B" w14:paraId="78BD44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40FC1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D6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D4F0E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Advanced Analytics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EB42A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notebooks/</w:t>
            </w:r>
            <w:proofErr w:type="spellStart"/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Advanced_Analytics.ipynb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26E46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Segoe UI Emoji" w:hAnsi="Segoe UI Emoji" w:cs="Segoe UI Emoji"/>
                <w:sz w:val="19"/>
                <w:szCs w:val="19"/>
              </w:rPr>
              <w:t>✅</w:t>
            </w: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 xml:space="preserve"> Complete</w:t>
            </w:r>
          </w:p>
        </w:tc>
      </w:tr>
      <w:tr w:rsidR="0022439B" w:rsidRPr="00454C8B" w14:paraId="6D6B54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891A6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D7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84892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Final Report + Slides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4FCE0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Final_Report.docx + Presentation.pptx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61688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Segoe UI Emoji" w:hAnsi="Segoe UI Emoji" w:cs="Segoe UI Emoji"/>
                <w:sz w:val="19"/>
                <w:szCs w:val="19"/>
              </w:rPr>
              <w:t>✅</w:t>
            </w: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 xml:space="preserve"> Complete</w:t>
            </w:r>
          </w:p>
        </w:tc>
      </w:tr>
    </w:tbl>
    <w:p w14:paraId="499C083A" w14:textId="77777777" w:rsidR="0022439B" w:rsidRPr="00454C8B" w:rsidRDefault="0022439B">
      <w:pPr>
        <w:spacing w:before="240"/>
        <w:rPr>
          <w:rFonts w:ascii="Times New Roman" w:hAnsi="Times New Roman" w:cs="Times New Roman"/>
        </w:rPr>
      </w:pPr>
    </w:p>
    <w:p w14:paraId="01F46653" w14:textId="77777777" w:rsidR="0022439B" w:rsidRPr="00454C8B" w:rsidRDefault="00000000">
      <w:pPr>
        <w:pStyle w:val="Heading1"/>
        <w:spacing w:before="300" w:after="120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</w:rPr>
        <w:t>Appendix B — Tech Stack &amp; Libraries</w:t>
      </w:r>
    </w:p>
    <w:p w14:paraId="18063C0C" w14:textId="77777777" w:rsidR="0022439B" w:rsidRPr="00454C8B" w:rsidRDefault="0022439B">
      <w:pPr>
        <w:pBdr>
          <w:bottom w:val="single" w:sz="4" w:space="1" w:color="0D7377"/>
        </w:pBdr>
        <w:spacing w:before="200" w:after="200"/>
        <w:rPr>
          <w:rFonts w:ascii="Times New Roman" w:hAnsi="Times New Roman" w:cs="Times New Roman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1400"/>
        <w:gridCol w:w="3760"/>
      </w:tblGrid>
      <w:tr w:rsidR="0022439B" w:rsidRPr="00454C8B" w14:paraId="0802A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4D30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F717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Technology / Library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0039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37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86DD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2439B" w:rsidRPr="00454C8B" w14:paraId="272A60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C4CB8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Language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80F33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Python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C07FE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3.10+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B8DC4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Core development language</w:t>
            </w:r>
          </w:p>
        </w:tc>
      </w:tr>
      <w:tr w:rsidR="0022439B" w:rsidRPr="00454C8B" w14:paraId="7D34FA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AFFAC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Data Manipulation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F3FE0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pandas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25EC6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2.x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AA911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ETL, cleaning, analytics</w:t>
            </w:r>
          </w:p>
        </w:tc>
      </w:tr>
      <w:tr w:rsidR="0022439B" w:rsidRPr="00454C8B" w14:paraId="432321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9F7A2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Numerical Computing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DF6F6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NumPy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837FA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1.26+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827FE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Risk metric calculations</w:t>
            </w:r>
          </w:p>
        </w:tc>
      </w:tr>
      <w:tr w:rsidR="0022439B" w:rsidRPr="00454C8B" w14:paraId="39C372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DD59C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Visualisation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89D63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Matplotlib / Seaborn / Plotly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A9F07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Latest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3B4FF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EDA charts &amp; interactive plots</w:t>
            </w:r>
          </w:p>
        </w:tc>
      </w:tr>
      <w:tr w:rsidR="0022439B" w:rsidRPr="00454C8B" w14:paraId="1A9510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7C19E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B7DBA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 xml:space="preserve">SQLite + </w:t>
            </w:r>
            <w:proofErr w:type="spellStart"/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SQLAlchemy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30C4F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3.x / 2.x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BEDF7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Relational storage &amp; ORM</w:t>
            </w:r>
          </w:p>
        </w:tc>
      </w:tr>
      <w:tr w:rsidR="0022439B" w:rsidRPr="00454C8B" w14:paraId="3774B1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983FC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Statistics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9374E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SciPy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BA698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1.x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2E76B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OLS regression for Alpha/Beta</w:t>
            </w:r>
          </w:p>
        </w:tc>
      </w:tr>
      <w:tr w:rsidR="0022439B" w:rsidRPr="00454C8B" w14:paraId="53DF00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321CE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Notebooks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4AA36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Jupyter</w:t>
            </w:r>
            <w:proofErr w:type="spellEnd"/>
            <w:r w:rsidRPr="00454C8B">
              <w:rPr>
                <w:rFonts w:ascii="Times New Roman" w:hAnsi="Times New Roman" w:cs="Times New Roman"/>
                <w:sz w:val="19"/>
                <w:szCs w:val="19"/>
              </w:rPr>
              <w:t xml:space="preserve"> Lab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2B34E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4.x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5A16F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Interactive analysis</w:t>
            </w:r>
          </w:p>
        </w:tc>
      </w:tr>
      <w:tr w:rsidR="0022439B" w:rsidRPr="00454C8B" w14:paraId="2FDAA7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4847B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Dashboard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B357B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Power BI Desktop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F7E82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Jun 2025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51E5D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4-page interactive dashboard</w:t>
            </w:r>
          </w:p>
        </w:tc>
      </w:tr>
      <w:tr w:rsidR="0022439B" w:rsidRPr="00454C8B" w14:paraId="4D6683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B8D68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Version Control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CD3DA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Git + GitHub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842CF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Latest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7FFA1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Source control &amp; collaboration</w:t>
            </w:r>
          </w:p>
        </w:tc>
      </w:tr>
      <w:tr w:rsidR="0022439B" w:rsidRPr="00454C8B" w14:paraId="6A75B9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D1D28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47500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mfapi.in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96960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Public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C62C4" w14:textId="77777777" w:rsidR="0022439B" w:rsidRPr="00454C8B" w:rsidRDefault="00000000">
            <w:pPr>
              <w:rPr>
                <w:rFonts w:ascii="Times New Roman" w:hAnsi="Times New Roman" w:cs="Times New Roman"/>
              </w:rPr>
            </w:pPr>
            <w:r w:rsidRPr="00454C8B">
              <w:rPr>
                <w:rFonts w:ascii="Times New Roman" w:hAnsi="Times New Roman" w:cs="Times New Roman"/>
                <w:sz w:val="19"/>
                <w:szCs w:val="19"/>
              </w:rPr>
              <w:t>Live NAV data fetch</w:t>
            </w:r>
          </w:p>
        </w:tc>
      </w:tr>
    </w:tbl>
    <w:p w14:paraId="41542B07" w14:textId="77777777" w:rsidR="0022439B" w:rsidRPr="00454C8B" w:rsidRDefault="0022439B">
      <w:pPr>
        <w:spacing w:before="400"/>
        <w:rPr>
          <w:rFonts w:ascii="Times New Roman" w:hAnsi="Times New Roman" w:cs="Times New Roman"/>
        </w:rPr>
      </w:pPr>
    </w:p>
    <w:p w14:paraId="55038A7A" w14:textId="77777777" w:rsidR="0022439B" w:rsidRPr="00454C8B" w:rsidRDefault="00000000">
      <w:pPr>
        <w:jc w:val="center"/>
        <w:rPr>
          <w:rFonts w:ascii="Times New Roman" w:hAnsi="Times New Roman" w:cs="Times New Roman"/>
        </w:rPr>
      </w:pPr>
      <w:r w:rsidRPr="00454C8B">
        <w:rPr>
          <w:rFonts w:ascii="Times New Roman" w:hAnsi="Times New Roman" w:cs="Times New Roman"/>
          <w:color w:val="6B7280"/>
          <w:sz w:val="20"/>
          <w:szCs w:val="20"/>
        </w:rPr>
        <w:t>— End of Report —</w:t>
      </w:r>
    </w:p>
    <w:p w14:paraId="03E4497C" w14:textId="5E03A8C1" w:rsidR="0022439B" w:rsidRPr="00454C8B" w:rsidRDefault="0022439B" w:rsidP="008C23A6">
      <w:pPr>
        <w:spacing w:before="80"/>
        <w:rPr>
          <w:rFonts w:ascii="Times New Roman" w:hAnsi="Times New Roman" w:cs="Times New Roman"/>
        </w:rPr>
      </w:pPr>
    </w:p>
    <w:sectPr w:rsidR="0022439B" w:rsidRPr="00454C8B" w:rsidSect="000C22DF">
      <w:headerReference w:type="default" r:id="rId26"/>
      <w:footerReference w:type="default" r:id="rId27"/>
      <w:pgSz w:w="12240" w:h="15840"/>
      <w:pgMar w:top="1080" w:right="1080" w:bottom="1080" w:left="126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985B4" w14:textId="77777777" w:rsidR="00F71CD2" w:rsidRDefault="00F71CD2">
      <w:r>
        <w:separator/>
      </w:r>
    </w:p>
  </w:endnote>
  <w:endnote w:type="continuationSeparator" w:id="0">
    <w:p w14:paraId="3FAB2DFE" w14:textId="77777777" w:rsidR="00F71CD2" w:rsidRDefault="00F71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12761" w14:textId="49817A57" w:rsidR="0022439B" w:rsidRPr="000C22DF" w:rsidRDefault="00000000" w:rsidP="000C22DF">
    <w:pPr>
      <w:jc w:val="center"/>
      <w:rPr>
        <w:rFonts w:ascii="Times New Roman" w:hAnsi="Times New Roman" w:cs="Times New Roman"/>
      </w:rPr>
    </w:pPr>
    <w:r w:rsidRPr="000C22DF">
      <w:rPr>
        <w:rFonts w:ascii="Times New Roman" w:hAnsi="Times New Roman" w:cs="Times New Roman"/>
      </w:rPr>
      <w:t xml:space="preserve">Page </w:t>
    </w:r>
    <w:r w:rsidRPr="000C22DF">
      <w:rPr>
        <w:rFonts w:ascii="Times New Roman" w:hAnsi="Times New Roman" w:cs="Times New Roman"/>
        <w:color w:val="1B3A6B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81815" w14:textId="77777777" w:rsidR="00F71CD2" w:rsidRDefault="00F71CD2">
      <w:r>
        <w:separator/>
      </w:r>
    </w:p>
  </w:footnote>
  <w:footnote w:type="continuationSeparator" w:id="0">
    <w:p w14:paraId="259CD236" w14:textId="77777777" w:rsidR="00F71CD2" w:rsidRDefault="00F71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901A9" w14:textId="4D8BD705" w:rsidR="0022439B" w:rsidRPr="000C22DF" w:rsidRDefault="000C22DF" w:rsidP="000C22DF">
    <w:pPr>
      <w:pBdr>
        <w:bottom w:val="single" w:sz="6" w:space="1" w:color="0D7377"/>
      </w:pBdr>
      <w:spacing w:after="100"/>
      <w:jc w:val="right"/>
    </w:pPr>
    <w:r w:rsidRPr="000C22DF">
      <w:rPr>
        <w:color w:val="6B7280"/>
        <w:sz w:val="17"/>
        <w:szCs w:val="17"/>
      </w:rPr>
      <w:t>Mutual Fund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2D2"/>
    <w:multiLevelType w:val="hybridMultilevel"/>
    <w:tmpl w:val="DC8C857E"/>
    <w:lvl w:ilvl="0" w:tplc="B8BE03BE">
      <w:start w:val="1"/>
      <w:numFmt w:val="decimal"/>
      <w:lvlText w:val="%1."/>
      <w:lvlJc w:val="left"/>
      <w:pPr>
        <w:ind w:left="720" w:hanging="360"/>
      </w:pPr>
    </w:lvl>
    <w:lvl w:ilvl="1" w:tplc="E95C1ECC">
      <w:numFmt w:val="decimal"/>
      <w:lvlText w:val=""/>
      <w:lvlJc w:val="left"/>
    </w:lvl>
    <w:lvl w:ilvl="2" w:tplc="F1340278">
      <w:numFmt w:val="decimal"/>
      <w:lvlText w:val=""/>
      <w:lvlJc w:val="left"/>
    </w:lvl>
    <w:lvl w:ilvl="3" w:tplc="F20A2490">
      <w:numFmt w:val="decimal"/>
      <w:lvlText w:val=""/>
      <w:lvlJc w:val="left"/>
    </w:lvl>
    <w:lvl w:ilvl="4" w:tplc="3412181A">
      <w:numFmt w:val="decimal"/>
      <w:lvlText w:val=""/>
      <w:lvlJc w:val="left"/>
    </w:lvl>
    <w:lvl w:ilvl="5" w:tplc="01C8A376">
      <w:numFmt w:val="decimal"/>
      <w:lvlText w:val=""/>
      <w:lvlJc w:val="left"/>
    </w:lvl>
    <w:lvl w:ilvl="6" w:tplc="6030A9FE">
      <w:numFmt w:val="decimal"/>
      <w:lvlText w:val=""/>
      <w:lvlJc w:val="left"/>
    </w:lvl>
    <w:lvl w:ilvl="7" w:tplc="FC0E3F4A">
      <w:numFmt w:val="decimal"/>
      <w:lvlText w:val=""/>
      <w:lvlJc w:val="left"/>
    </w:lvl>
    <w:lvl w:ilvl="8" w:tplc="86DAC75E">
      <w:numFmt w:val="decimal"/>
      <w:lvlText w:val=""/>
      <w:lvlJc w:val="left"/>
    </w:lvl>
  </w:abstractNum>
  <w:abstractNum w:abstractNumId="1" w15:restartNumberingAfterBreak="0">
    <w:nsid w:val="29294852"/>
    <w:multiLevelType w:val="hybridMultilevel"/>
    <w:tmpl w:val="752E00C2"/>
    <w:lvl w:ilvl="0" w:tplc="9420352E">
      <w:start w:val="1"/>
      <w:numFmt w:val="bullet"/>
      <w:lvlText w:val="•"/>
      <w:lvlJc w:val="left"/>
      <w:pPr>
        <w:ind w:left="720" w:hanging="360"/>
      </w:pPr>
    </w:lvl>
    <w:lvl w:ilvl="1" w:tplc="A7108470">
      <w:numFmt w:val="decimal"/>
      <w:lvlText w:val=""/>
      <w:lvlJc w:val="left"/>
    </w:lvl>
    <w:lvl w:ilvl="2" w:tplc="61683206">
      <w:numFmt w:val="decimal"/>
      <w:lvlText w:val=""/>
      <w:lvlJc w:val="left"/>
    </w:lvl>
    <w:lvl w:ilvl="3" w:tplc="9856A1F0">
      <w:numFmt w:val="decimal"/>
      <w:lvlText w:val=""/>
      <w:lvlJc w:val="left"/>
    </w:lvl>
    <w:lvl w:ilvl="4" w:tplc="04209084">
      <w:numFmt w:val="decimal"/>
      <w:lvlText w:val=""/>
      <w:lvlJc w:val="left"/>
    </w:lvl>
    <w:lvl w:ilvl="5" w:tplc="9DD6B120">
      <w:numFmt w:val="decimal"/>
      <w:lvlText w:val=""/>
      <w:lvlJc w:val="left"/>
    </w:lvl>
    <w:lvl w:ilvl="6" w:tplc="CF0A26E2">
      <w:numFmt w:val="decimal"/>
      <w:lvlText w:val=""/>
      <w:lvlJc w:val="left"/>
    </w:lvl>
    <w:lvl w:ilvl="7" w:tplc="FC7CDBC6">
      <w:numFmt w:val="decimal"/>
      <w:lvlText w:val=""/>
      <w:lvlJc w:val="left"/>
    </w:lvl>
    <w:lvl w:ilvl="8" w:tplc="BE36AA70">
      <w:numFmt w:val="decimal"/>
      <w:lvlText w:val=""/>
      <w:lvlJc w:val="left"/>
    </w:lvl>
  </w:abstractNum>
  <w:abstractNum w:abstractNumId="2" w15:restartNumberingAfterBreak="0">
    <w:nsid w:val="3B531DBE"/>
    <w:multiLevelType w:val="hybridMultilevel"/>
    <w:tmpl w:val="35927C32"/>
    <w:lvl w:ilvl="0" w:tplc="2BBE72B2">
      <w:start w:val="1"/>
      <w:numFmt w:val="bullet"/>
      <w:lvlText w:val="●"/>
      <w:lvlJc w:val="left"/>
      <w:pPr>
        <w:ind w:left="720" w:hanging="360"/>
      </w:pPr>
    </w:lvl>
    <w:lvl w:ilvl="1" w:tplc="7E724066">
      <w:start w:val="1"/>
      <w:numFmt w:val="bullet"/>
      <w:lvlText w:val="○"/>
      <w:lvlJc w:val="left"/>
      <w:pPr>
        <w:ind w:left="1440" w:hanging="360"/>
      </w:pPr>
    </w:lvl>
    <w:lvl w:ilvl="2" w:tplc="11EE24CC">
      <w:start w:val="1"/>
      <w:numFmt w:val="bullet"/>
      <w:lvlText w:val="■"/>
      <w:lvlJc w:val="left"/>
      <w:pPr>
        <w:ind w:left="2160" w:hanging="360"/>
      </w:pPr>
    </w:lvl>
    <w:lvl w:ilvl="3" w:tplc="2C5C3134">
      <w:start w:val="1"/>
      <w:numFmt w:val="bullet"/>
      <w:lvlText w:val="●"/>
      <w:lvlJc w:val="left"/>
      <w:pPr>
        <w:ind w:left="2880" w:hanging="360"/>
      </w:pPr>
    </w:lvl>
    <w:lvl w:ilvl="4" w:tplc="1E1C6134">
      <w:start w:val="1"/>
      <w:numFmt w:val="bullet"/>
      <w:lvlText w:val="○"/>
      <w:lvlJc w:val="left"/>
      <w:pPr>
        <w:ind w:left="3600" w:hanging="360"/>
      </w:pPr>
    </w:lvl>
    <w:lvl w:ilvl="5" w:tplc="62D0578E">
      <w:start w:val="1"/>
      <w:numFmt w:val="bullet"/>
      <w:lvlText w:val="■"/>
      <w:lvlJc w:val="left"/>
      <w:pPr>
        <w:ind w:left="4320" w:hanging="360"/>
      </w:pPr>
    </w:lvl>
    <w:lvl w:ilvl="6" w:tplc="699AB2FE">
      <w:start w:val="1"/>
      <w:numFmt w:val="bullet"/>
      <w:lvlText w:val="●"/>
      <w:lvlJc w:val="left"/>
      <w:pPr>
        <w:ind w:left="5040" w:hanging="360"/>
      </w:pPr>
    </w:lvl>
    <w:lvl w:ilvl="7" w:tplc="2FBC8538">
      <w:start w:val="1"/>
      <w:numFmt w:val="bullet"/>
      <w:lvlText w:val="●"/>
      <w:lvlJc w:val="left"/>
      <w:pPr>
        <w:ind w:left="5760" w:hanging="360"/>
      </w:pPr>
    </w:lvl>
    <w:lvl w:ilvl="8" w:tplc="3CC232B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8C392D"/>
    <w:multiLevelType w:val="hybridMultilevel"/>
    <w:tmpl w:val="75E8E43A"/>
    <w:lvl w:ilvl="0" w:tplc="1F08EFD6">
      <w:start w:val="1"/>
      <w:numFmt w:val="bullet"/>
      <w:lvlText w:val="◦"/>
      <w:lvlJc w:val="left"/>
      <w:pPr>
        <w:ind w:left="1080" w:hanging="360"/>
      </w:pPr>
    </w:lvl>
    <w:lvl w:ilvl="1" w:tplc="ADC27EE8">
      <w:numFmt w:val="decimal"/>
      <w:lvlText w:val=""/>
      <w:lvlJc w:val="left"/>
    </w:lvl>
    <w:lvl w:ilvl="2" w:tplc="FD86804A">
      <w:numFmt w:val="decimal"/>
      <w:lvlText w:val=""/>
      <w:lvlJc w:val="left"/>
    </w:lvl>
    <w:lvl w:ilvl="3" w:tplc="36A6F2D8">
      <w:numFmt w:val="decimal"/>
      <w:lvlText w:val=""/>
      <w:lvlJc w:val="left"/>
    </w:lvl>
    <w:lvl w:ilvl="4" w:tplc="0E262C32">
      <w:numFmt w:val="decimal"/>
      <w:lvlText w:val=""/>
      <w:lvlJc w:val="left"/>
    </w:lvl>
    <w:lvl w:ilvl="5" w:tplc="E840A1D2">
      <w:numFmt w:val="decimal"/>
      <w:lvlText w:val=""/>
      <w:lvlJc w:val="left"/>
    </w:lvl>
    <w:lvl w:ilvl="6" w:tplc="A5C87CE4">
      <w:numFmt w:val="decimal"/>
      <w:lvlText w:val=""/>
      <w:lvlJc w:val="left"/>
    </w:lvl>
    <w:lvl w:ilvl="7" w:tplc="D2942974">
      <w:numFmt w:val="decimal"/>
      <w:lvlText w:val=""/>
      <w:lvlJc w:val="left"/>
    </w:lvl>
    <w:lvl w:ilvl="8" w:tplc="C2DE4D1A">
      <w:numFmt w:val="decimal"/>
      <w:lvlText w:val=""/>
      <w:lvlJc w:val="left"/>
    </w:lvl>
  </w:abstractNum>
  <w:num w:numId="1" w16cid:durableId="342712508">
    <w:abstractNumId w:val="2"/>
    <w:lvlOverride w:ilvl="0">
      <w:startOverride w:val="1"/>
    </w:lvlOverride>
  </w:num>
  <w:num w:numId="2" w16cid:durableId="205945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39B"/>
    <w:rsid w:val="000151F7"/>
    <w:rsid w:val="000C22DF"/>
    <w:rsid w:val="001A6017"/>
    <w:rsid w:val="0022439B"/>
    <w:rsid w:val="00454C8B"/>
    <w:rsid w:val="004C1B53"/>
    <w:rsid w:val="004F590C"/>
    <w:rsid w:val="007A5C82"/>
    <w:rsid w:val="008C23A6"/>
    <w:rsid w:val="009A6DCD"/>
    <w:rsid w:val="00EE7D8E"/>
    <w:rsid w:val="00F71CC1"/>
    <w:rsid w:val="00F71CD2"/>
    <w:rsid w:val="00FD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3CB4B"/>
  <w15:docId w15:val="{48B0939E-8018-49BA-A4C7-4F460986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4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3A6B"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B3A6B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D737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22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22DF"/>
  </w:style>
  <w:style w:type="paragraph" w:styleId="Footer">
    <w:name w:val="footer"/>
    <w:basedOn w:val="Normal"/>
    <w:link w:val="FooterChar"/>
    <w:uiPriority w:val="99"/>
    <w:unhideWhenUsed/>
    <w:rsid w:val="000C22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22DF"/>
  </w:style>
  <w:style w:type="paragraph" w:styleId="NoSpacing">
    <w:name w:val="No Spacing"/>
    <w:uiPriority w:val="1"/>
    <w:qFormat/>
    <w:rsid w:val="000C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20</Pages>
  <Words>3346</Words>
  <Characters>19073</Characters>
  <Application>Microsoft Office Word</Application>
  <DocSecurity>0</DocSecurity>
  <Lines>158</Lines>
  <Paragraphs>44</Paragraphs>
  <ScaleCrop>false</ScaleCrop>
  <Company/>
  <LinksUpToDate>false</LinksUpToDate>
  <CharactersWithSpaces>22375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VRINDESH PAREEK</cp:lastModifiedBy>
  <cp:revision>2</cp:revision>
  <dcterms:created xsi:type="dcterms:W3CDTF">2026-06-14T15:52:00Z</dcterms:created>
  <dcterms:modified xsi:type="dcterms:W3CDTF">2026-06-15T07:41:00Z</dcterms:modified>
</cp:coreProperties>
</file>