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80" w:after="40"/>
      </w:pPr>
      <w:r>
        <w:rPr>
          <w:rFonts w:ascii="Calibri" w:hAnsi="Calibri" w:eastAsia="Calibri" w:cs="Calibri"/>
          <w:b/>
          <w:color w:val="2E74B5"/>
          <w:sz w:val="18"/>
        </w:rPr>
        <w:t>ТЕХНИЧЕСКОЕ ЗАДАНИЕ · ДЛЯ ОЦЕНКИ</w:t>
      </w:r>
    </w:p>
    <w:p>
      <w:pPr>
        <w:widowControl/>
        <w:spacing w:before="0" w:after="80"/>
      </w:pPr>
      <w:r>
        <w:rPr>
          <w:rFonts w:ascii="Calibri" w:hAnsi="Calibri" w:eastAsia="Calibri" w:cs="Calibri"/>
          <w:b/>
          <w:color w:val="0B2545"/>
          <w:sz w:val="40"/>
        </w:rPr>
        <w:t>MVP сервиса обработки документов и формирования Excel</w:t>
      </w:r>
    </w:p>
    <w:p>
      <w:pPr>
        <w:widowControl/>
        <w:spacing w:before="0" w:after="140"/>
      </w:pPr>
      <w:r>
        <w:rPr>
          <w:rFonts w:ascii="Calibri" w:hAnsi="Calibri" w:eastAsia="Calibri" w:cs="Calibri"/>
          <w:color w:val="5B6573"/>
          <w:sz w:val="24"/>
        </w:rPr>
        <w:t>Сценарий «18233 ЛЮ 626 ТМЛ»</w:t>
      </w:r>
    </w:p>
    <w:p>
      <w:pPr>
        <w:widowControl/>
        <w:spacing w:before="0" w:after="40" w:line="240" w:lineRule="auto"/>
      </w:pPr>
      <w:r>
        <w:rPr>
          <w:rFonts w:ascii="Calibri" w:hAnsi="Calibri" w:eastAsia="Calibri" w:cs="Calibri"/>
          <w:b/>
          <w:color w:val="172235"/>
          <w:sz w:val="19"/>
        </w:rPr>
        <w:t xml:space="preserve">Статус: </w:t>
      </w:r>
      <w:r>
        <w:rPr>
          <w:rFonts w:ascii="Calibri" w:hAnsi="Calibri" w:eastAsia="Calibri" w:cs="Calibri"/>
          <w:color w:val="172235"/>
          <w:sz w:val="19"/>
        </w:rPr>
        <w:t xml:space="preserve">версия для оценки стоимости и срока  ·  </w:t>
      </w:r>
      <w:r>
        <w:rPr>
          <w:rFonts w:ascii="Calibri" w:hAnsi="Calibri" w:eastAsia="Calibri" w:cs="Calibri"/>
          <w:b/>
          <w:color w:val="172235"/>
          <w:sz w:val="19"/>
        </w:rPr>
        <w:t xml:space="preserve">Дата: </w:t>
      </w:r>
      <w:r>
        <w:rPr>
          <w:rFonts w:ascii="Calibri" w:hAnsi="Calibri" w:eastAsia="Calibri" w:cs="Calibri"/>
          <w:color w:val="172235"/>
          <w:sz w:val="19"/>
        </w:rPr>
        <w:t>28 августа 2026 г.</w:t>
      </w:r>
    </w:p>
    <w:p>
      <w:pPr>
        <w:shd w:fill="F4F6F9"/>
        <w:keepLines/>
        <w:widowControl/>
        <w:pBdr>
          <w:left w:val="single" w:sz="18" w:space="6" w:color="2E74B5"/>
        </w:pBdr>
        <w:spacing w:before="160" w:after="160" w:line="283" w:lineRule="auto"/>
        <w:ind w:left="180" w:right="180"/>
      </w:pPr>
      <w:r>
        <w:rPr>
          <w:rFonts w:ascii="Calibri" w:hAnsi="Calibri" w:eastAsia="Calibri" w:cs="Calibri"/>
          <w:b/>
          <w:color w:val="0B2545"/>
          <w:sz w:val="21"/>
        </w:rPr>
        <w:t xml:space="preserve">Граница оценки. </w:t>
      </w:r>
      <w:r>
        <w:rPr>
          <w:rFonts w:ascii="Calibri" w:hAnsi="Calibri" w:eastAsia="Calibri" w:cs="Calibri"/>
          <w:color w:val="172235"/>
          <w:sz w:val="21"/>
        </w:rPr>
        <w:t>В расчёт входит только сценарий «18233 ЛЮ 626 ТМЛ»: комплект 626-1 — основной, комплект 626-2 — контрольный. Другие поставщики, форматы и будущие модули в эту оценку не входят.</w:t>
      </w:r>
    </w:p>
    <w:p>
      <w:pPr>
        <w:pStyle w:val="Heading1"/>
        <w:keepNext/>
        <w:widowControl/>
      </w:pPr>
      <w:r>
        <w:t>1. Цель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color w:val="172235"/>
          <w:sz w:val="21"/>
        </w:rPr>
        <w:t>Создать закрытый внутренний веб-сервис, который принимает три Excel-файла поставщика установленной структуры, переносит и сверяет данные, позволяет специалисту заполнить недостающие значения и формирует три готовых редактируемых Excel-файла по переданным примерам.</w:t>
      </w:r>
    </w:p>
    <w:p>
      <w:pPr>
        <w:pStyle w:val="Heading1"/>
        <w:keepNext/>
        <w:widowControl/>
      </w:pPr>
      <w:r>
        <w:t>2. Входные и выходные файлы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b/>
          <w:color w:val="172235"/>
          <w:sz w:val="21"/>
        </w:rPr>
        <w:t>Основной входной комплект 626-1:</w:t>
      </w:r>
      <w:r>
        <w:rPr>
          <w:rFonts w:ascii="Calibri" w:hAnsi="Calibri" w:eastAsia="Calibri" w:cs="Calibri"/>
          <w:color w:val="172235"/>
          <w:sz w:val="21"/>
        </w:rPr>
      </w:r>
    </w:p>
    <w:p>
      <w:pPr>
        <w:widowControl/>
        <w:numPr>
          <w:ilvl w:val="0"/>
          <w:numId w:val="10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626-1-YS-RMB-EXW-INVOICE.XLSX — Invoice;</w:t>
      </w:r>
    </w:p>
    <w:p>
      <w:pPr>
        <w:widowControl/>
        <w:numPr>
          <w:ilvl w:val="0"/>
          <w:numId w:val="10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626-1-YS-RMB-EXW-PL.XLSX — Packing List;</w:t>
      </w:r>
    </w:p>
    <w:p>
      <w:pPr>
        <w:widowControl/>
        <w:numPr>
          <w:ilvl w:val="0"/>
          <w:numId w:val="10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626-1-YS-RMB-EXW-Specification.xls — Specification.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color w:val="172235"/>
          <w:sz w:val="21"/>
        </w:rPr>
        <w:t>Комплект 626-2 с теми же тремя типами файлов используется для проверки, что решение не привязано к данным 626-1.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b/>
          <w:color w:val="172235"/>
          <w:sz w:val="21"/>
        </w:rPr>
        <w:t>Результат обработки одного комплекта:</w:t>
      </w:r>
      <w:r>
        <w:rPr>
          <w:rFonts w:ascii="Calibri" w:hAnsi="Calibri" w:eastAsia="Calibri" w:cs="Calibri"/>
          <w:color w:val="172235"/>
          <w:sz w:val="21"/>
        </w:rPr>
      </w:r>
    </w:p>
    <w:p>
      <w:pPr>
        <w:widowControl/>
        <w:numPr>
          <w:ilvl w:val="0"/>
          <w:numId w:val="11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«&lt;номер&gt; ИНВОЙС &lt;часть&gt;.xlsx»;</w:t>
      </w:r>
    </w:p>
    <w:p>
      <w:pPr>
        <w:widowControl/>
        <w:numPr>
          <w:ilvl w:val="0"/>
          <w:numId w:val="11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«&lt;номер&gt; ПАКИНГ &lt;часть&gt;.xlsx»;</w:t>
      </w:r>
    </w:p>
    <w:p>
      <w:pPr>
        <w:widowControl/>
        <w:numPr>
          <w:ilvl w:val="0"/>
          <w:numId w:val="11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«&lt;номер&gt; &lt;часть&gt; СПЕЦИФИКАЦИЯ С ЦВЕТАМИ.xlsx».</w:t>
      </w:r>
    </w:p>
    <w:p>
      <w:pPr>
        <w:pStyle w:val="Heading1"/>
        <w:keepNext/>
        <w:widowControl/>
      </w:pPr>
      <w:r>
        <w:t>3. Сценарий работы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Пользователь открывает закрытую веб-страницу и входит по логину и паролю. Разделение на роли не требуется.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Для одной поставки пользователь загружает три файла: Invoice, Packing List и Specification.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Сервис считывает файлы, сопоставляет позиции и выполняет проверки, указанные в разделе 4.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На экране проверки сервис показывает собранные данные, пустые значения и расхождения.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Пользователь исправляет спорные значения и вручную заполняет недостающие поля.</w:t>
      </w:r>
    </w:p>
    <w:p>
      <w:pPr>
        <w:widowControl/>
        <w:numPr>
          <w:ilvl w:val="0"/>
          <w:numId w:val="12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После подтверждения сервис формирует и выдаёт три Excel-файла.</w:t>
      </w:r>
    </w:p>
    <w:p>
      <w:pPr>
        <w:pStyle w:val="Heading1"/>
        <w:keepNext/>
        <w:widowControl/>
      </w:pPr>
      <w:r>
        <w:t>4. Правила обработки и проверки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Поддерживаются только переданные структуры 626-1 и 626-2. Универсальная обработка произвольных таблиц не требуется.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Товарные позиции сопоставляются по нормализованному артикулу/модели: допускается убрать лишние пробелы и учесть разный регистр. Исходное значение сохраняется для вывода.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Детальные строки Specification, включая данные по рулонам, сохраняются. Для сводных документов показатели суммируются по артикулу/модели.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Invoice сверяется со Specification по артикулу/модели, количеству рулонов, метрам, ширине, площади, цене и сумме.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Packing List сверяется с агрегированным Specification по группам дизайна и итоговым значениям: рулоны, метры, площадь, вес нетто и брутто.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Одинаковые поля шапок сверяются между файлами, если они присутствуют более чем в одном источнике.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Сервис подсвечивает несовпадающие значения, пустые обязательные поля и позиции без пары. Спорные значения автоматически не заменяются.</w:t>
      </w:r>
    </w:p>
    <w:p>
      <w:pPr>
        <w:widowControl/>
        <w:numPr>
          <w:ilvl w:val="0"/>
          <w:numId w:val="13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Площадь, сумма и другие однозначно рассчитываемые показатели вычисляются по логике переданных готовых примеров.</w:t>
      </w:r>
    </w:p>
    <w:p>
      <w:pPr>
        <w:pStyle w:val="Heading1"/>
        <w:keepNext/>
        <w:widowControl/>
      </w:pPr>
      <w:r>
        <w:t>5. Ручное заполнение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color w:val="172235"/>
          <w:sz w:val="21"/>
        </w:rPr>
        <w:t>До выгрузки пользователь должен иметь возможность заполнить или исправить значения, необходимые для готовых файлов: номер и дату контракта; номер и дату инвойса; данные покупателя и продавца; производителя; условия оплаты и поставки; срок поставки; адрес склада; русское описание и таможенный код, если их нет в исходниках.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color w:val="172235"/>
          <w:sz w:val="21"/>
        </w:rPr>
        <w:t>Для MVP достаточно обычных полей формы и редактируемых значений в таблице проверки. Воспроизводить интерфейс Excel в браузере, создавать справочники и автоматически определять отсутствующие сведения не требуется.</w:t>
      </w:r>
    </w:p>
    <w:p>
      <w:pPr>
        <w:pStyle w:val="Heading1"/>
        <w:keepNext/>
        <w:widowControl/>
      </w:pPr>
      <w:r>
        <w:t>6. Требования к итоговым Excel-файлам</w:t>
      </w:r>
    </w:p>
    <w:p>
      <w:pPr>
        <w:widowControl/>
        <w:numPr>
          <w:ilvl w:val="0"/>
          <w:numId w:val="14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Состав листов, порядок видимых колонок и расположение данных соответствуют готовым файлам из папки «Декларанту».</w:t>
      </w:r>
    </w:p>
    <w:p>
      <w:pPr>
        <w:widowControl/>
        <w:numPr>
          <w:ilvl w:val="0"/>
          <w:numId w:val="14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Все собранные, рассчитанные и введённые вручную значения попадают в нужные поля.</w:t>
      </w:r>
    </w:p>
    <w:p>
      <w:pPr>
        <w:widowControl/>
        <w:numPr>
          <w:ilvl w:val="0"/>
          <w:numId w:val="14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Файлы имеют формат XLSX, открываются и редактируются в Excel, не содержат битых ссылок и ошибок вида #REF!.</w:t>
      </w:r>
    </w:p>
    <w:p>
      <w:pPr>
        <w:widowControl/>
        <w:numPr>
          <w:ilvl w:val="0"/>
          <w:numId w:val="14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Точное визуальное копирование каждой ячейки, формул и параметров печати в MVP не требуется. Готовые файлы используются как эталон структуры и данных.</w:t>
      </w:r>
    </w:p>
    <w:p>
      <w:pPr>
        <w:pStyle w:val="Heading1"/>
        <w:keepNext/>
        <w:widowControl/>
      </w:pPr>
      <w:r>
        <w:t>7. Критерии приёмки</w:t>
      </w:r>
    </w:p>
    <w:p>
      <w:pPr>
        <w:widowControl/>
        <w:numPr>
          <w:ilvl w:val="0"/>
          <w:numId w:val="15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Комплект 626-1 обрабатывается корректно; сервис формирует 13 сводных товарных позиций, а итоги совпадают с переданными готовыми файлами с учётом их округления.</w:t>
      </w:r>
    </w:p>
    <w:p>
      <w:pPr>
        <w:widowControl/>
        <w:numPr>
          <w:ilvl w:val="0"/>
          <w:numId w:val="15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Тот же алгоритм обрабатывает 626-2 и формирует 17 сводных товарных позиций без жёсткой привязки к артикулам, значениям и номерам строк 626-1.</w:t>
      </w:r>
    </w:p>
    <w:p>
      <w:pPr>
        <w:widowControl/>
        <w:numPr>
          <w:ilvl w:val="0"/>
          <w:numId w:val="15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Если в копии исходного файла изменить проверяемое значение, сервис показывает соответствующее расхождение до выгрузки.</w:t>
      </w:r>
    </w:p>
    <w:p>
      <w:pPr>
        <w:widowControl/>
        <w:numPr>
          <w:ilvl w:val="0"/>
          <w:numId w:val="15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Значения, введённые пользователем на экране проверки, попадают в итоговые файлы.</w:t>
      </w:r>
    </w:p>
    <w:p>
      <w:pPr>
        <w:widowControl/>
        <w:numPr>
          <w:ilvl w:val="0"/>
          <w:numId w:val="15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Три итоговых файла открываются в Excel, редактируются и не содержат битых ссылок.</w:t>
      </w:r>
    </w:p>
    <w:p>
      <w:pPr>
        <w:pStyle w:val="Heading1"/>
        <w:keepNext/>
        <w:widowControl/>
      </w:pPr>
      <w:r>
        <w:t>8. Не входит в MVP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обработка Beijing Goldluck, MORA и любых других поставщиков;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базы сертификатов, деклараций соответствия и иные разрешительные документы;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PDF, сканы, фотографии и OCR;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универсальный парсер произвольных файлов;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автоматический подбор кода ТН ВЭД, перевод, смысловое или AI-сопоставление товаров;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формирование таможенной декларации или XML и интеграции с «Альтой», ФТС, Росаккредитацией и другими системами;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обработка CMR, договоров, страховых документов, подписей и печатей;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боты, публичный сайт, платежи, подписки, роли, история обработок и полноценная админ-панель;</w:t>
      </w:r>
    </w:p>
    <w:p>
      <w:pPr>
        <w:widowControl/>
        <w:numPr>
          <w:ilvl w:val="0"/>
          <w:numId w:val="16"/>
        </w:numPr>
        <w:keepLines/>
        <w:spacing w:before="0" w:after="60" w:line="276" w:lineRule="auto"/>
        <w:ind w:left="540" w:hanging="271"/>
      </w:pPr>
      <w:r>
        <w:rPr>
          <w:rFonts w:ascii="Calibri" w:hAnsi="Calibri" w:eastAsia="Calibri" w:cs="Calibri"/>
          <w:color w:val="172235"/>
          <w:sz w:val="21"/>
        </w:rPr>
        <w:t>браузерный Excel-редактор, совместное редактирование и сложная серверная инфраструктура.</w:t>
      </w:r>
    </w:p>
    <w:p>
      <w:pPr>
        <w:pStyle w:val="Heading1"/>
        <w:keepNext/>
        <w:widowControl/>
      </w:pPr>
      <w:r>
        <w:t>9. Что требуется от разработчика</w:t>
      </w:r>
    </w:p>
    <w:p>
      <w:pPr>
        <w:widowControl/>
        <w:spacing w:before="0" w:after="120" w:line="276" w:lineRule="auto"/>
      </w:pPr>
      <w:r>
        <w:rPr>
          <w:rFonts w:ascii="Calibri" w:hAnsi="Calibri" w:eastAsia="Calibri" w:cs="Calibri"/>
          <w:color w:val="172235"/>
          <w:sz w:val="21"/>
        </w:rPr>
        <w:t>Предоставить стоимость и срок реализации только описанного MVP. В оценку включить рабочую тестовую веб-версию. Платный хостинг, сторонние сервисы и последующую поддержку, если они необходимы, указать отдельно. Технологический стек — на усмотрение разработчика.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Calibri" w:cs="Calibri"/>
        <w:color w:val="5B6573"/>
        <w:sz w:val="17"/>
      </w:rPr>
      <w:t xml:space="preserve">Страница </w:t>
    </w:r>
    <w:r>
      <w:rPr>
        <w:rFonts w:ascii="Calibri" w:hAnsi="Calibri" w:eastAsia="Calibri" w:cs="Calibr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Calibri" w:cs="Calibri"/>
        <w:b/>
        <w:color w:val="5B6573"/>
        <w:sz w:val="17"/>
      </w:rPr>
      <w:t>Краткое ТЗ</w:t>
    </w:r>
    <w:r>
      <w:rPr>
        <w:rFonts w:ascii="Calibri" w:hAnsi="Calibri" w:eastAsia="Calibri" w:cs="Calibri"/>
        <w:color w:val="5B6573"/>
        <w:sz w:val="17"/>
      </w:rPr>
      <w:tab/>
      <w:t>MVP 18233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60" w:line="276" w:lineRule="auto"/>
      </w:pPr>
      <w:rPr>
        <w:rFonts w:ascii="Calibri" w:hAnsi="Calibri" w:eastAsia="Calibri" w:cs="Calibri"/>
      </w:r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60" w:line="276" w:lineRule="auto"/>
      </w:pPr>
      <w:rPr>
        <w:rFonts w:ascii="Calibri" w:hAnsi="Calibri" w:eastAsia="Calibri" w:cs="Calibri"/>
      </w:rPr>
    </w:lvl>
  </w:abstractNum>
  <w:num w:numId="10">
    <w:abstractNumId w:val="9"/>
  </w:num>
  <w:num w:numId="11">
    <w:abstractNumId w:val="9"/>
  </w:num>
  <w:num w:numId="12">
    <w:abstractNumId w:val="10"/>
  </w:num>
  <w:num w:numId="13">
    <w:abstractNumId w:val="9"/>
  </w:num>
  <w:num w:numId="14">
    <w:abstractNumId w:val="9"/>
  </w:num>
  <w:num w:numId="15">
    <w:abstractNumId w:val="9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76" w:lineRule="auto"/>
    </w:pPr>
    <w:rPr>
      <w:rFonts w:ascii="Calibri" w:hAnsi="Calibri" w:eastAsia="Calibri" w:cs="Calibri"/>
      <w:color w:val="1722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40" w:lineRule="auto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Краткое ТЗ: MVP обработки документов 18233</dc:title>
  <dc:subject>Версия для оценки стоимости и срока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