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ascii="Arial" w:hAnsi="Arial"/>
          <w:b/>
          <w:color w:val="0D9488"/>
          <w:sz w:val="18"/>
        </w:rPr>
        <w:t>PROGRAMA DE INTELIGENCIA ARTIFICIAL APLICADA · UTN-FRBA &amp; EPIDATA</w:t>
      </w:r>
    </w:p>
    <w:p>
      <w:pPr>
        <w:pStyle w:val="Normal"/>
        <w:spacing w:before="40" w:after="120"/>
        <w:rPr/>
      </w:pPr>
      <w:r>
        <w:rPr>
          <w:rFonts w:ascii="Arial" w:hAnsi="Arial"/>
          <w:b/>
          <w:color w:val="1E3A8A"/>
          <w:sz w:val="44"/>
        </w:rPr>
        <w:t>INFORME TÉCNICO DE IMPLEMENTACIÓN FINAL</w:t>
      </w:r>
    </w:p>
    <w:p>
      <w:pPr>
        <w:pStyle w:val="Normal"/>
        <w:spacing w:before="0" w:after="360"/>
        <w:rPr/>
      </w:pPr>
      <w:r>
        <w:rPr>
          <w:rFonts w:ascii="Arial" w:hAnsi="Arial"/>
          <w:color w:val="64748B"/>
          <w:sz w:val="22"/>
        </w:rPr>
        <w:t>RefuGuía: Sistema Integral Multi-Agente On-Premise con IA Local (SLM+VLM), Protocolo MCP y Trazabilidad Médica Inmutable Post-Sismo</w:t>
      </w:r>
    </w:p>
    <w:p>
      <w:pPr>
        <w:pStyle w:val="Normal"/>
        <w:pBdr>
          <w:bottom w:val="single" w:sz="18" w:space="1" w:color="1E3A8A"/>
        </w:pBdr>
        <w:spacing w:before="0" w:after="280"/>
        <w:rPr/>
      </w:pPr>
      <w:r>
        <w:rPr/>
      </w:r>
    </w:p>
    <w:p>
      <w:pPr>
        <w:pStyle w:val="Normal"/>
        <w:spacing w:before="240" w:after="200"/>
        <w:rPr/>
      </w:pPr>
      <w:r>
        <w:rPr>
          <w:rFonts w:ascii="Arial" w:hAnsi="Arial"/>
          <w:b/>
          <w:color w:val="1E3A8A"/>
          <w:sz w:val="32"/>
        </w:rPr>
        <w:t>Sección 1 · Presentación del Equipo y del Proyecto</w:t>
      </w:r>
    </w:p>
    <w:p>
      <w:pPr>
        <w:pStyle w:val="Normal"/>
        <w:spacing w:before="200" w:after="80"/>
        <w:rPr/>
      </w:pPr>
      <w:r>
        <w:rPr>
          <w:rFonts w:ascii="Arial" w:hAnsi="Arial"/>
          <w:b/>
          <w:color w:val="0D9488"/>
          <w:sz w:val="25"/>
        </w:rPr>
        <w:t>1.1 Integrantes del Grupo y Roles de Desarrollo</w:t>
      </w:r>
    </w:p>
    <w:p>
      <w:pPr>
        <w:pStyle w:val="Normal"/>
        <w:spacing w:lineRule="auto" w:line="276" w:before="0" w:after="160"/>
        <w:rPr/>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3120"/>
        <w:gridCol w:w="3120"/>
        <w:gridCol w:w="3120"/>
      </w:tblGrid>
      <w:tr>
        <w:trPr/>
        <w:tc>
          <w:tcPr>
            <w:tcW w:w="3120" w:type="dxa"/>
            <w:tcBorders/>
            <w:shd w:fill="1E3A8A"/>
          </w:tcPr>
          <w:p>
            <w:pPr>
              <w:pStyle w:val="Normal"/>
              <w:widowControl/>
              <w:bidi w:val="0"/>
              <w:spacing w:lineRule="auto" w:line="276" w:before="0" w:after="200"/>
              <w:jc w:val="left"/>
              <w:rPr/>
            </w:pPr>
            <w:r>
              <w:rPr>
                <w:rFonts w:ascii="Arial" w:hAnsi="Arial"/>
                <w:b/>
                <w:color w:val="FFFFFF"/>
                <w:sz w:val="19"/>
              </w:rPr>
              <w:t>Integrante</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Rol Asumido</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Responsabilidades y Alcance en el Proyecto</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Arquitecto de Soluciones &amp; AI Engineer</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Diseño de la arquitectura Multi-Agente On-Premise, integración de Ollama Local (SLM Qwen 2.5 + VLM Moondream) y base de datos vectorial ChromaDB.</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Backend &amp; MCP Lead</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Implementación de la API REST en Laravel 11, Servidor de Protocolo MCP con 6 Skills agénticas (.md) y lógica inmutable SHA-256 de fármacos.</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Frontend &amp; UX/UI Lead</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Creación de la Single Page Application en Vue.js 3 + Vite, diseño reactivo con Tailwind/Vanilla CSS, flujos de usuario y selector 1-Click de personas.</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Ingeniero de Ciberseguridad &amp; QA</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Diseño de defensas contra Prompt Injection/Jailbreaks, control de acceso RBAC por roles, sanitización estricta y suite de 8 pruebas automatizadas al 100%.</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DevOps &amp; Despliegue de Campaña</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Contenerización Docker Multi-Contenedor, orquestación WSL2/Ubuntu, pipelines locales y gestión de versionamiento Git en GitHub.</w:t>
            </w:r>
          </w:p>
        </w:tc>
      </w:tr>
    </w:tbl>
    <w:p>
      <w:pPr>
        <w:pStyle w:val="Normal"/>
        <w:spacing w:before="0" w:after="160"/>
        <w:rPr/>
      </w:pPr>
      <w:r>
        <w:rPr/>
      </w:r>
    </w:p>
    <w:p>
      <w:pPr>
        <w:pStyle w:val="Normal"/>
        <w:spacing w:before="200" w:after="80"/>
        <w:rPr/>
      </w:pPr>
      <w:r>
        <w:rPr>
          <w:rFonts w:ascii="Arial" w:hAnsi="Arial"/>
          <w:b/>
          <w:color w:val="0D9488"/>
          <w:sz w:val="25"/>
        </w:rPr>
        <w:t>1.2 Nombre del Proyecto</w:t>
      </w:r>
    </w:p>
    <w:tbl>
      <w:tblPr>
        <w:tblW w:w="9360" w:type="dxa"/>
        <w:jc w:val="center"/>
        <w:tblInd w:w="0" w:type="dxa"/>
        <w:tblLayout w:type="fixed"/>
        <w:tblCellMar>
          <w:top w:w="140" w:type="dxa"/>
          <w:left w:w="200" w:type="dxa"/>
          <w:bottom w:w="140" w:type="dxa"/>
          <w:right w:w="200" w:type="dxa"/>
        </w:tblCellMar>
        <w:tblLook w:firstRow="1" w:noVBand="1" w:lastRow="0" w:firstColumn="1" w:lastColumn="0" w:noHBand="0" w:val="04a0"/>
      </w:tblPr>
      <w:tblGrid>
        <w:gridCol w:w="9360"/>
      </w:tblGrid>
      <w:tr>
        <w:trPr/>
        <w:tc>
          <w:tcPr>
            <w:tcW w:w="9360" w:type="dxa"/>
            <w:tcBorders/>
            <w:shd w:fill="EEF2FF"/>
          </w:tcPr>
          <w:p>
            <w:pPr>
              <w:pStyle w:val="Normal"/>
              <w:spacing w:before="0" w:after="40"/>
              <w:rPr/>
            </w:pPr>
            <w:r>
              <w:rPr>
                <w:rFonts w:ascii="Arial" w:hAnsi="Arial"/>
                <w:b/>
                <w:color w:val="1E3A8A"/>
                <w:sz w:val="32"/>
              </w:rPr>
              <w:t>RefuGuía</w:t>
            </w:r>
          </w:p>
          <w:p>
            <w:pPr>
              <w:pStyle w:val="Normal"/>
              <w:spacing w:lineRule="auto" w:line="276" w:before="0" w:after="0"/>
              <w:rPr/>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pStyle w:val="Normal"/>
        <w:spacing w:before="0" w:after="160"/>
        <w:rPr/>
      </w:pPr>
      <w:r>
        <w:rPr/>
      </w:r>
    </w:p>
    <w:p>
      <w:pPr>
        <w:pStyle w:val="Normal"/>
        <w:spacing w:before="200" w:after="80"/>
        <w:rPr/>
      </w:pPr>
      <w:r>
        <w:rPr>
          <w:rFonts w:ascii="Arial" w:hAnsi="Arial"/>
          <w:b/>
          <w:color w:val="0D9488"/>
          <w:sz w:val="25"/>
        </w:rPr>
        <w:t>1.3 Problema que Resuelve (Punto de Partida y Solución Implementada)</w:t>
      </w:r>
    </w:p>
    <w:p>
      <w:pPr>
        <w:pStyle w:val="Normal"/>
        <w:spacing w:lineRule="auto" w:line="276" w:before="0" w:after="120"/>
        <w:rPr/>
      </w:pPr>
      <w:r>
        <w:rPr>
          <w:rFonts w:ascii="Arial" w:hAnsi="Arial"/>
          <w:b/>
          <w:color w:val="1E3A8A"/>
          <w:sz w:val="20"/>
        </w:rPr>
        <w:t>A. Punto de Partida y Diagnóstico de la Crisis:</w:t>
      </w:r>
    </w:p>
    <w:p>
      <w:pPr>
        <w:pStyle w:val="Normal"/>
        <w:spacing w:lineRule="auto" w:line="276" w:before="0" w:after="160"/>
        <w:rPr/>
      </w:pPr>
      <w:r>
        <w:rPr>
          <w:rFonts w:ascii="Arial" w:hAnsi="Arial"/>
          <w:color w:val="0F172A"/>
          <w:sz w:val="19"/>
        </w:rPr>
        <w:t>Tras eventos catastróficos como el sismo de Caracas (6.2 Mw), la infraestructura eléctrica y las telecomunicaciones colapsan,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pStyle w:val="Normal"/>
        <w:spacing w:lineRule="auto" w:line="276" w:before="0" w:after="120"/>
        <w:rPr/>
      </w:pPr>
      <w:r>
        <w:rPr>
          <w:rFonts w:ascii="Arial" w:hAnsi="Arial"/>
          <w:b/>
          <w:color w:val="1E3A8A"/>
          <w:sz w:val="20"/>
        </w:rPr>
        <w:t>B. Solución Tecnológica Implementada:</w:t>
      </w:r>
    </w:p>
    <w:p>
      <w:pPr>
        <w:pStyle w:val="Normal"/>
        <w:spacing w:lineRule="auto" w:line="276" w:before="0" w:after="200"/>
        <w:rPr/>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pStyle w:val="Normal"/>
        <w:spacing w:before="200" w:after="80"/>
        <w:rPr/>
      </w:pPr>
      <w:r>
        <w:rPr>
          <w:rFonts w:ascii="Arial" w:hAnsi="Arial"/>
          <w:b/>
          <w:color w:val="0D9488"/>
          <w:sz w:val="25"/>
        </w:rPr>
        <w:t>1.4 Público Objetivo (Usuarios Reales de la Aplicación)</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9"/>
              </w:rPr>
              <w:t>Persona / Perfil</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Rol en 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Objetivo y Necesidades Reales</w:t>
            </w:r>
          </w:p>
        </w:tc>
        <w:tc>
          <w:tcPr>
            <w:tcW w:w="2339" w:type="dxa"/>
            <w:tcBorders/>
            <w:shd w:fill="1E3A8A"/>
          </w:tcPr>
          <w:p>
            <w:pPr>
              <w:pStyle w:val="Normal"/>
              <w:widowControl/>
              <w:bidi w:val="0"/>
              <w:spacing w:lineRule="auto" w:line="276" w:before="0" w:after="200"/>
              <w:jc w:val="left"/>
              <w:rPr/>
            </w:pPr>
            <w:r>
              <w:rPr>
                <w:rFonts w:ascii="Arial" w:hAnsi="Arial"/>
                <w:b/>
                <w:color w:val="FFFFFF"/>
                <w:sz w:val="19"/>
              </w:rPr>
              <w:t>Módulos y Permisos Habilitados</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Dra. Carmen López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Coordinadora de Refugio</w:t>
              <w:br/>
              <w:t>(shelter_admin)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Gestionar inventario de campaña, generar collares QR, auditar tratamientos clínicos SHA-256 y autorizar adopciones al cumplir 15 días.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Acceso Total: Refugios &amp; QR, Centro de Reencuentro, Adopción, MCP Skills, Consola SLM.</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Carlos Mendoza</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Rescatista de Campo</w:t>
              <w:br/>
              <w:t>(rescuer)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Ingresar rescates en campo por dictado de voz o texto, imprimir collares QR impermeables y verificar matches preliminares.</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(Ingreso Rápido), Refugios &amp; QR, Centro de Reencuentro.</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María Fernández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Damnificada / Ciudadana</w:t>
              <w:br/>
              <w:t>(citizen)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Buscar a su mascota extraviada reportando descripción o foto, revisar coincidencias sugeridas y postular si cumple requisitos.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(Búsqueda Familiar), Centro de Reencuentro, Portal de Adopción (15d).</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Andrés Morales</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Adoptante Responsable</w:t>
              <w:br/>
              <w:t>(adopter)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Explorar catálogo de animales con período de búsqueda vencido (&gt;15d) y postularse mediante evaluación de idoneidad con IA.</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Asistente de Adopción, Portal de Adopción Responsable (Triaje IA).</w:t>
            </w:r>
          </w:p>
        </w:tc>
      </w:tr>
    </w:tbl>
    <w:p>
      <w:pPr>
        <w:pStyle w:val="Normal"/>
        <w:spacing w:before="0" w:after="160"/>
        <w:rPr/>
      </w:pPr>
      <w:r>
        <w:rPr/>
      </w:r>
    </w:p>
    <w:p>
      <w:pPr>
        <w:pStyle w:val="Normal"/>
        <w:spacing w:before="360" w:after="200"/>
        <w:rPr/>
      </w:pPr>
      <w:r>
        <w:rPr>
          <w:rFonts w:ascii="Arial" w:hAnsi="Arial"/>
          <w:b/>
          <w:color w:val="1E3A8A"/>
          <w:sz w:val="32"/>
        </w:rPr>
        <w:t>Sección 2 · Arquitectura Técnica del Sistema</w:t>
      </w:r>
    </w:p>
    <w:p>
      <w:pPr>
        <w:pStyle w:val="Normal"/>
        <w:spacing w:before="200" w:after="80"/>
        <w:rPr/>
      </w:pPr>
      <w:r>
        <w:rPr>
          <w:rFonts w:ascii="Arial" w:hAnsi="Arial"/>
          <w:b/>
          <w:color w:val="0D9488"/>
          <w:sz w:val="25"/>
        </w:rPr>
        <w:t>2.1 Diagrama de Arquitectura General del Sistema (UML de Paquetes)</w:t>
      </w:r>
    </w:p>
    <w:p>
      <w:pPr>
        <w:pStyle w:val="Normal"/>
        <w:spacing w:lineRule="auto" w:line="276" w:before="0" w:after="160"/>
        <w:rPr/>
      </w:pPr>
      <w:r>
        <w:rPr>
          <w:rFonts w:ascii="Arial" w:hAnsi="Arial"/>
          <w:color w:val="0F172A"/>
          <w:sz w:val="19"/>
        </w:rPr>
        <w:t>La arquitectura de RefuGuía está estructurada en 4 capas desacopladas y 100% On-Premise para escenarios de contingencia post-sismo. El siguiente diagrama UML de paquetes ilustra cómo fluyen los datos de Entrada y Salida, diferenciando los módulos basados en Inteligencia Artificial de aquellos gobernados por lógica transaccional determinista tradicional y auditoría criptográfica inmutable:</w:t>
      </w:r>
    </w:p>
    <w:p>
      <w:pPr>
        <w:pStyle w:val="Normal"/>
        <w:spacing w:before="160" w:after="80"/>
        <w:jc w:val="center"/>
        <w:rPr/>
      </w:pPr>
      <w:r>
        <w:rPr/>
        <w:drawing>
          <wp:inline distT="0" distB="0" distL="0" distR="0">
            <wp:extent cx="5669280" cy="316420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669280" cy="3164205"/>
                    </a:xfrm>
                    <a:prstGeom prst="rect">
                      <a:avLst/>
                    </a:prstGeom>
                  </pic:spPr>
                </pic:pic>
              </a:graphicData>
            </a:graphic>
          </wp:inline>
        </w:drawing>
      </w:r>
    </w:p>
    <w:p>
      <w:pPr>
        <w:pStyle w:val="Normal"/>
        <w:spacing w:before="0" w:after="200"/>
        <w:jc w:val="center"/>
        <w:rPr/>
      </w:pPr>
      <w:r>
        <w:rPr>
          <w:rFonts w:ascii="Arial" w:hAnsi="Arial"/>
          <w:i/>
          <w:color w:val="64748B"/>
          <w:sz w:val="17"/>
        </w:rPr>
        <w:t>Figura: Diagrama UML de Arquitectura General del Sistema RefuGuía en 4 Capas (100% en Español).</w:t>
      </w:r>
    </w:p>
    <w:tbl>
      <w:tblPr>
        <w:tblW w:w="9360" w:type="dxa"/>
        <w:jc w:val="center"/>
        <w:tblInd w:w="0" w:type="dxa"/>
        <w:tblLayout w:type="fixed"/>
        <w:tblCellMar>
          <w:top w:w="100" w:type="dxa"/>
          <w:left w:w="120" w:type="dxa"/>
          <w:bottom w:w="100" w:type="dxa"/>
          <w:right w:w="12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8"/>
              </w:rPr>
              <w:t>Componente del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Naturaleza (IA vs Tradicional)</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Tecnología / Motor</w:t>
            </w:r>
          </w:p>
        </w:tc>
        <w:tc>
          <w:tcPr>
            <w:tcW w:w="2339" w:type="dxa"/>
            <w:tcBorders/>
            <w:shd w:fill="1E3A8A"/>
          </w:tcPr>
          <w:p>
            <w:pPr>
              <w:pStyle w:val="Normal"/>
              <w:widowControl/>
              <w:bidi w:val="0"/>
              <w:spacing w:lineRule="auto" w:line="276" w:before="0" w:after="200"/>
              <w:jc w:val="left"/>
              <w:rPr/>
            </w:pPr>
            <w:r>
              <w:rPr>
                <w:rFonts w:ascii="Arial" w:hAnsi="Arial"/>
                <w:b/>
                <w:color w:val="FFFFFF"/>
                <w:sz w:val="18"/>
              </w:rPr>
              <w:t>Ubicación de Memoria Persistente</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Ingesta NLP &amp; Extracción JSON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(SLM)</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Qwen 2.5:1.5B (Ollama Local)</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Sin estado en memoria RAM; estructura persistida en MySQL.</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Peritaje Visual de Fotografías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(VLM)</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Moondream:latest (1.4B ViT+Phi)</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Inferencia en memoria GPU/CPU; dictamen guardado en MySQL.</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Búsqueda Semántica K-NN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(RAG)</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ChromaDB v2 (Cosine Distance)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Espacio vectorial persistido en disco (sqlite3/chroma_data).</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Auditoría de Fármacos &amp; Hashes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 / Cripto</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PHP 8.2 / SHA-256 Chaining</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MySQL 8.0 (Campos hash_sha256 inmutables).</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Control de Acceso RBAC &amp; Menú</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Laravel Sanctum / Vue Router Guards</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MySQL 8.0 (Tablas users, roles) y LocalStorage.</w:t>
            </w:r>
          </w:p>
        </w:tc>
      </w:tr>
    </w:tbl>
    <w:p>
      <w:pPr>
        <w:pStyle w:val="Normal"/>
        <w:spacing w:before="0" w:after="160"/>
        <w:rPr/>
      </w:pPr>
      <w:r>
        <w:rPr/>
      </w:r>
    </w:p>
    <w:p>
      <w:pPr>
        <w:pStyle w:val="Normal"/>
        <w:spacing w:before="240" w:after="80"/>
        <w:rPr/>
      </w:pPr>
      <w:r>
        <w:rPr>
          <w:rFonts w:ascii="Arial" w:hAnsi="Arial"/>
          <w:b/>
          <w:color w:val="0D9488"/>
          <w:sz w:val="25"/>
        </w:rPr>
        <w:t>2.2 Diagrama de Flujo de Agentes (Orquestación Multi-Agente &amp; Protocolo MCP)</w:t>
      </w:r>
    </w:p>
    <w:p>
      <w:pPr>
        <w:pStyle w:val="Normal"/>
        <w:spacing w:before="160" w:after="80"/>
        <w:jc w:val="center"/>
        <w:rPr/>
      </w:pPr>
      <w:r>
        <w:rPr/>
        <w:drawing>
          <wp:inline distT="0" distB="0" distL="0" distR="0">
            <wp:extent cx="5669280" cy="31642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669280" cy="3164205"/>
                    </a:xfrm>
                    <a:prstGeom prst="rect">
                      <a:avLst/>
                    </a:prstGeom>
                  </pic:spPr>
                </pic:pic>
              </a:graphicData>
            </a:graphic>
          </wp:inline>
        </w:drawing>
      </w:r>
    </w:p>
    <w:p>
      <w:pPr>
        <w:pStyle w:val="Normal"/>
        <w:spacing w:before="0" w:after="200"/>
        <w:jc w:val="center"/>
        <w:rPr/>
      </w:pPr>
      <w:r>
        <w:rPr>
          <w:rFonts w:ascii="Arial" w:hAnsi="Arial"/>
          <w:i/>
          <w:color w:val="64748B"/>
          <w:sz w:val="17"/>
        </w:rPr>
        <w:t>Figura: Diagrama de Flujo y Secuencia de la Orquestación Multi-Agente con Protocolo MCP (100% en Español).</w:t>
      </w:r>
    </w:p>
    <w:p>
      <w:pPr>
        <w:pStyle w:val="Normal"/>
        <w:spacing w:before="240" w:after="80"/>
        <w:rPr/>
      </w:pPr>
      <w:r>
        <w:rPr>
          <w:rFonts w:ascii="Arial" w:hAnsi="Arial"/>
          <w:b/>
          <w:color w:val="0D9488"/>
          <w:sz w:val="25"/>
        </w:rPr>
        <w:t>2.3 Diagramas UML (Casos de Uso del Sistema)</w:t>
      </w:r>
    </w:p>
    <w:p>
      <w:pPr>
        <w:pStyle w:val="Normal"/>
        <w:spacing w:before="160" w:after="80"/>
        <w:jc w:val="center"/>
        <w:rPr/>
      </w:pPr>
      <w:r>
        <w:rPr/>
        <w:drawing>
          <wp:inline distT="0" distB="0" distL="0" distR="0">
            <wp:extent cx="5669280" cy="31642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669280" cy="3164205"/>
                    </a:xfrm>
                    <a:prstGeom prst="rect">
                      <a:avLst/>
                    </a:prstGeom>
                  </pic:spPr>
                </pic:pic>
              </a:graphicData>
            </a:graphic>
          </wp:inline>
        </w:drawing>
      </w:r>
    </w:p>
    <w:p>
      <w:pPr>
        <w:pStyle w:val="Normal"/>
        <w:spacing w:before="0" w:after="200"/>
        <w:jc w:val="center"/>
        <w:rPr/>
      </w:pPr>
      <w:r>
        <w:rPr>
          <w:rFonts w:ascii="Arial" w:hAnsi="Arial"/>
          <w:i/>
          <w:color w:val="64748B"/>
          <w:sz w:val="17"/>
        </w:rPr>
        <w:t>Figura: Diagrama UML de Casos de Uso del Sistema RefuGuía (100% en Español).</w:t>
      </w:r>
    </w:p>
    <w:p>
      <w:pPr>
        <w:pStyle w:val="Normal"/>
        <w:spacing w:before="360" w:after="200"/>
        <w:rPr/>
      </w:pPr>
      <w:r>
        <w:rPr>
          <w:rFonts w:ascii="Arial" w:hAnsi="Arial"/>
          <w:b/>
          <w:color w:val="1E3A8A"/>
          <w:sz w:val="32"/>
        </w:rPr>
        <w:t>Sección 3 · Stack Tecnológico</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3120"/>
        <w:gridCol w:w="3120"/>
        <w:gridCol w:w="3120"/>
      </w:tblGrid>
      <w:tr>
        <w:trPr/>
        <w:tc>
          <w:tcPr>
            <w:tcW w:w="3120" w:type="dxa"/>
            <w:tcBorders/>
            <w:shd w:fill="1E3A8A"/>
          </w:tcPr>
          <w:p>
            <w:pPr>
              <w:pStyle w:val="Normal"/>
              <w:widowControl/>
              <w:bidi w:val="0"/>
              <w:spacing w:lineRule="auto" w:line="276" w:before="0" w:after="200"/>
              <w:jc w:val="left"/>
              <w:rPr/>
            </w:pPr>
            <w:r>
              <w:rPr>
                <w:rFonts w:ascii="Arial" w:hAnsi="Arial"/>
                <w:b/>
                <w:color w:val="FFFFFF"/>
                <w:sz w:val="19"/>
              </w:rPr>
              <w:t>Componente</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Tecnología / Herramienta</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Por qué se eligió esta y no otra</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Frontend</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Vue.js 3 (Composition API) +</w:t>
              <w:br/>
              <w:t>Vite + SweetAlert2 +</w:t>
              <w:br/>
              <w:t>Vanilla/Tailwind CSS</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Reactividad instantánea y renderizado ultra-ligero sin la sobrecarga de un Virtual DOM pesado como en Angular o React empresarial. Vite ofrece Hot Module Replacement (HMR) y empaquetado optimizado en milisegundos. La interfaz futurista en modo oscuro (#0e1626) reduce el consumo de batería en laptops de campaña, y SweetAlert2 proporciona diálogos de confirmación accesibles y claros para personas bajo shock emocional.</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Backend</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Laravel 11 (PHP 8.2 REST API) +</w:t>
              <w:br/>
              <w:t>Arquitectura MCP Nativa</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Framework empresarial con robustez demostrada en consistencia transaccional y validación de reglas de negocio complejas. Permite estructurar de forma limpia la inyección de dependencias para los servicios de IA, control de acceso estricto RBAC (Sanctum/Session) y criptografía SHA-256 sin requerir la sobrecarga de mantener múltiples microservicios dispersos.</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Base de Datos Relacional</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MySQL 8.0 (InnoDB)</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Garantiza transacciones ACID indispensables para la trazabilidad médica de fármacos críticos y el registro de adopciones. A diferencia de soluciones NoSQL (MongoDB/Firebase) que carecen de integridad referencial estricta o requieren conexión a la nube, MySQL en contenedor Docker ofrece estabilidad absoluta, portabilidad universal y rendimiento óptimo en hardware local.</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Base de Datos Vectorial (RAG)</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ChromaDB v2 (On-Premise)</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Base vectorial de código abierto embebida localmente. Permite calcular distancias de Coseno K-NN en milisegundos para emparejar relatos y fotos de mascotas sin enviar datos privados fuera del servidor y sin incurrir en costos recurrentes de APIs comerciales en la nube (como Pinecone o Weaviate Cloud).</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Modelos de Inteligencia Artificial</w:t>
              <w:br/>
              <w:t>(IA Local On-Premise)</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Arquitectura Dual:</w:t>
              <w:br/>
              <w:t>• Qwen 2.5:1.5B (SLM NLP)</w:t>
              <w:br/>
              <w:t>• Moondream:latest (1.4B VLM)</w:t>
              <w:br/>
              <w:t>vía Ollama Local</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En un sismo, el corte de internet imposibilita usar GPT-4o, Claude o Gemini. Se optó por una arquitectura de doble agente en Ollama: (1) Qwen 2.5 1.5B destaca por su alta precisión en español venezolano y extracción estricta de JSON en ~1.4 GB de RAM; (2) Moondream 1.4B es el modelo de visión más ligero del mundo para peritaje directo de fotos píxel a píxel (~1.3 GB). Ambos consumen menos de 3 GB de RAM combinados.</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Orquestación de Agentes</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Model Context Protocol</w:t>
              <w:br/>
              <w:t>(MCP 2026.1) con Dispatcher</w:t>
              <w:br/>
              <w:t>propio y especificaciones Markdown (.md)</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Se adoptó el estándar abierto MCP promovido por la industria para desacoplar las capacidades (Skills) de los modelos de IA. A diferencia de frameworks como LangChain (con alta deuda técnica y cambios continuos que rompen código) o n8n (que requiere interfaces pesadas), un despachador propio basado en especificaciones formales .md asegura trazabilidad determinista y ejecución en milisegundos.</w:t>
            </w:r>
          </w:p>
        </w:tc>
      </w:tr>
      <w:tr>
        <w:trPr/>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Ciberseguridad y Trazabilidad</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Encadenamiento Criptográfico SHA-256 +</w:t>
              <w:br/>
              <w:t>Sanitizador Heurístico de Prompts +</w:t>
              <w:br/>
              <w:t>Bloqueo Físico por QR</w:t>
            </w:r>
          </w:p>
        </w:tc>
        <w:tc>
          <w:tcPr>
            <w:tcW w:w="3120" w:type="dxa"/>
            <w:tcBorders/>
            <w:shd w:fill="F8FAFC"/>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Garantiza inmutabilidad forense en los expedientes clínicos (cada registro genera un hash encadenado al anterior) e impide la administración errónea de medicamentos si no se escanea el collar QR físico. El módulo de sanitización bloquea intentos de Jailbreak o Prompt Injection antes de que el texto llegue al SLM.</w:t>
            </w:r>
          </w:p>
        </w:tc>
      </w:tr>
      <w:tr>
        <w:trPr/>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Despliegue e Infraestructura</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b/>
                <w:color w:val="0F172A"/>
                <w:sz w:val="17"/>
              </w:rPr>
              <w:t>Docker Multi-Contenedor +</w:t>
              <w:br/>
              <w:t>Docker Compose sobre WSL2 / Linux</w:t>
            </w:r>
          </w:p>
        </w:tc>
        <w:tc>
          <w:tcPr>
            <w:tcW w:w="3120" w:type="dxa"/>
            <w:tcBorders/>
            <w:shd w:fill="FFFFFF"/>
            <w:tcMar>
              <w:top w:w="90" w:type="dxa"/>
              <w:left w:w="130" w:type="dxa"/>
              <w:bottom w:w="90" w:type="dxa"/>
              <w:right w:w="130" w:type="dxa"/>
            </w:tcMar>
          </w:tcPr>
          <w:p>
            <w:pPr>
              <w:pStyle w:val="Normal"/>
              <w:widowControl/>
              <w:bidi w:val="0"/>
              <w:spacing w:lineRule="auto" w:line="276" w:before="0" w:after="200"/>
              <w:jc w:val="left"/>
              <w:rPr/>
            </w:pPr>
            <w:r>
              <w:rPr>
                <w:rFonts w:ascii="Arial" w:hAnsi="Arial"/>
                <w:color w:val="0F172A"/>
                <w:sz w:val="17"/>
              </w:rPr>
              <w:t>Permite iniciar todo el ecosistema de rescate (Frontend, Backend, MySQL, ChromaDB y Ollama) con un único comando ('docker compose up -d') en cualquier computador portátil o servidor de campaña en minutos, sin depender de plataformas en la nube como Vercel, Render o AWS.</w:t>
            </w:r>
          </w:p>
        </w:tc>
      </w:tr>
    </w:tbl>
    <w:p>
      <w:pPr>
        <w:pStyle w:val="Normal"/>
        <w:spacing w:before="160" w:after="160"/>
        <w:rPr/>
      </w:pPr>
      <w:r>
        <w:rPr>
          <w:rFonts w:ascii="Arial" w:hAnsi="Arial"/>
          <w:i/>
          <w:color w:val="64748B"/>
          <w:sz w:val="17"/>
        </w:rPr>
        <w:t>UTN-FRBA | EPIData — IA Aplicada a Organizaciones</w:t>
      </w:r>
    </w:p>
    <w:p>
      <w:pPr>
        <w:pStyle w:val="Normal"/>
        <w:spacing w:before="360" w:after="200"/>
        <w:rPr/>
      </w:pPr>
      <w:r>
        <w:rPr>
          <w:rFonts w:ascii="Arial" w:hAnsi="Arial"/>
          <w:b/>
          <w:color w:val="1E3A8A"/>
          <w:sz w:val="32"/>
        </w:rPr>
        <w:t>Sección 4 · Evidencia de Funcionamiento (Seguimiento por Roles de Inicio a Fin)</w:t>
      </w:r>
    </w:p>
    <w:p>
      <w:pPr>
        <w:pStyle w:val="Normal"/>
        <w:spacing w:lineRule="auto" w:line="276" w:before="0" w:after="160"/>
        <w:rPr/>
      </w:pPr>
      <w:r>
        <w:rPr>
          <w:rFonts w:ascii="Arial" w:hAnsi="Arial"/>
          <w:color w:val="0F172A"/>
          <w:sz w:val="19"/>
        </w:rPr>
        <w:t>A continuación se presenta la evidencia visual del flujo operativo completo de extremo a extremo, estructurado secuencialmente a través de las experiencias de los 4 actores reales del sistema:</w:t>
      </w:r>
    </w:p>
    <w:p>
      <w:pPr>
        <w:pStyle w:val="Normal"/>
        <w:spacing w:before="160" w:after="80"/>
        <w:rPr/>
      </w:pPr>
      <w:r>
        <w:rPr>
          <w:rFonts w:ascii="Arial" w:hAnsi="Arial"/>
          <w:b/>
          <w:color w:val="1E3A8A"/>
          <w:sz w:val="22"/>
        </w:rPr>
        <w:t>Paso 1: Carlos Mendoza (Rescatista de Campo) — Ingreso Inmediato en Zona de Desastre</w:t>
      </w:r>
    </w:p>
    <w:p>
      <w:pPr>
        <w:pStyle w:val="Normal"/>
        <w:spacing w:lineRule="auto" w:line="276" w:before="0" w:after="120"/>
        <w:rPr/>
      </w:pPr>
      <w:r>
        <w:rPr>
          <w:rFonts w:ascii="Arial" w:hAnsi="Arial"/>
          <w:color w:val="0F172A"/>
          <w:sz w:val="18"/>
        </w:rPr>
        <w:t>El rescatista utiliza el Chat Ciudadano con la opción rápida de rescate: ingresa mediante texto o dictado de voz el hallazgo del animal en campo ('Rescatamos a un perrito mestizo mediano negro con manchas blancas en el pecho cerca de Caricuao. Tiene una patita lastimada y tiembla de frío'). La IA local extrae los datos clínicos/físicos estructurados, persiste la ficha de emergencia y genera al instante el Collar QR de Campaña para identificación física.</w:t>
      </w:r>
    </w:p>
    <w:p>
      <w:pPr>
        <w:pStyle w:val="Normal"/>
        <w:spacing w:before="160" w:after="80"/>
        <w:jc w:val="center"/>
        <w:rPr/>
      </w:pPr>
      <w:r>
        <w:rPr/>
        <w:drawing>
          <wp:inline distT="0" distB="0" distL="0" distR="0">
            <wp:extent cx="5669280" cy="286385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1: Carlos Mendoza (Rescatista) registra el perro hallado y el sistema genera la ficha de rescate y collar QR.</w:t>
      </w:r>
    </w:p>
    <w:p>
      <w:pPr>
        <w:pStyle w:val="Normal"/>
        <w:spacing w:before="160" w:after="80"/>
        <w:rPr/>
      </w:pPr>
      <w:r>
        <w:rPr>
          <w:rFonts w:ascii="Arial" w:hAnsi="Arial"/>
          <w:b/>
          <w:color w:val="1E3A8A"/>
          <w:sz w:val="22"/>
        </w:rPr>
        <w:t>Paso 2: María Fernández (Damnificada) — Búsqueda Familiar, Procesamiento IA y Peritaje Visual</w:t>
      </w:r>
    </w:p>
    <w:p>
      <w:pPr>
        <w:pStyle w:val="Normal"/>
        <w:spacing w:lineRule="auto" w:line="276" w:before="0" w:after="120"/>
        <w:rPr/>
      </w:pPr>
      <w:r>
        <w:rPr>
          <w:rFonts w:ascii="Arial" w:hAnsi="Arial"/>
          <w:color w:val="0F172A"/>
          <w:sz w:val="18"/>
        </w:rPr>
        <w:t>La ciudadana damnificada ingresa el reporte de búsqueda de su mascota extraviada ('Perdí a mi perrito Toby en Caricuao'). El motor de emparejamiento ejecuta la búsqueda semántica K-NN en ChromaDB y el peritaje fotográfico en Moondream VLM, generando en el Centro de Reencuentro la tarjeta de alta coincidencia (98.5% de similitud y 1.2 km de cercanía) con opción para comparar fotos en detalle.</w:t>
      </w:r>
    </w:p>
    <w:p>
      <w:pPr>
        <w:pStyle w:val="Normal"/>
        <w:spacing w:before="160" w:after="80"/>
        <w:jc w:val="center"/>
        <w:rPr/>
      </w:pPr>
      <w:r>
        <w:rPr/>
        <w:drawing>
          <wp:inline distT="0" distB="0" distL="0" distR="0">
            <wp:extent cx="5669280" cy="286385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2: María Fernández (Damnificada) visualiza la coincidencia detectada por la IA entre Toby y el perro rescatado.</w:t>
      </w:r>
    </w:p>
    <w:p>
      <w:pPr>
        <w:pStyle w:val="Normal"/>
        <w:spacing w:before="160" w:after="80"/>
        <w:rPr/>
      </w:pPr>
      <w:r>
        <w:rPr>
          <w:rFonts w:ascii="Arial" w:hAnsi="Arial"/>
          <w:b/>
          <w:color w:val="1E3A8A"/>
          <w:sz w:val="22"/>
        </w:rPr>
        <w:t>Paso 3: Andrés Morales (Adoptante Responsable) — Búsqueda en Catálogo y Triaje de Idoneidad con IA</w:t>
      </w:r>
    </w:p>
    <w:p>
      <w:pPr>
        <w:pStyle w:val="Normal"/>
        <w:spacing w:lineRule="auto" w:line="276" w:before="0" w:after="120"/>
        <w:rPr/>
      </w:pPr>
      <w:r>
        <w:rPr>
          <w:rFonts w:ascii="Arial" w:hAnsi="Arial"/>
          <w:color w:val="0F172A"/>
          <w:sz w:val="18"/>
        </w:rPr>
        <w:t>El postulante accede al Portal de Adopción Responsable, explorando únicamente animales cuyo período de gracia de 15 días continuos ya se ha cumplido. El Agente de Triaje evalúa sus condiciones habitacionales y solvencia, registrando una compatibilidad del 100% ('APPROVED') lista para dictamen final.</w:t>
      </w:r>
    </w:p>
    <w:p>
      <w:pPr>
        <w:pStyle w:val="Normal"/>
        <w:spacing w:before="160" w:after="80"/>
        <w:jc w:val="center"/>
        <w:rPr/>
      </w:pPr>
      <w:r>
        <w:rPr/>
        <w:drawing>
          <wp:inline distT="0" distB="0" distL="0" distR="0">
            <wp:extent cx="5669280" cy="286385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3: Andrés Morales (Adoptante) postula y el sistema evalúa su compatibilidad habitacional al 100% con IA.</w:t>
      </w:r>
    </w:p>
    <w:p>
      <w:pPr>
        <w:pStyle w:val="Normal"/>
        <w:spacing w:before="160" w:after="80"/>
        <w:rPr/>
      </w:pPr>
      <w:r>
        <w:rPr>
          <w:rFonts w:ascii="Arial" w:hAnsi="Arial"/>
          <w:b/>
          <w:color w:val="1E3A8A"/>
          <w:sz w:val="22"/>
        </w:rPr>
        <w:t>Paso 4: Dra. Carmen López (Coordinadora de Refugio) — Trazabilidad Médica SHA-256 y Reencuentro</w:t>
      </w:r>
    </w:p>
    <w:p>
      <w:pPr>
        <w:pStyle w:val="Normal"/>
        <w:spacing w:lineRule="auto" w:line="276" w:before="0" w:after="120"/>
        <w:rPr/>
      </w:pPr>
      <w:r>
        <w:rPr>
          <w:rFonts w:ascii="Arial" w:hAnsi="Arial"/>
          <w:color w:val="0F172A"/>
          <w:sz w:val="18"/>
        </w:rPr>
        <w:t>La coordinadora supervisa en tiempo real las acciones de damnificados y adoptantes: audita el inventario con KPIs interactivos, administra tratamientos médicos críticos bloqueados por escaneo de QR físico con generación de hash inmutable SHA-256, y valida los reencuentros familiares confirmados.</w:t>
      </w:r>
    </w:p>
    <w:p>
      <w:pPr>
        <w:pStyle w:val="Normal"/>
        <w:spacing w:before="160" w:after="80"/>
        <w:jc w:val="center"/>
        <w:rPr/>
      </w:pPr>
      <w:r>
        <w:rPr/>
        <w:drawing>
          <wp:inline distT="0" distB="0" distL="0" distR="0">
            <wp:extent cx="5669280" cy="286385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669280" cy="2863850"/>
                    </a:xfrm>
                    <a:prstGeom prst="rect">
                      <a:avLst/>
                    </a:prstGeom>
                  </pic:spPr>
                </pic:pic>
              </a:graphicData>
            </a:graphic>
          </wp:inline>
        </w:drawing>
      </w:r>
    </w:p>
    <w:p>
      <w:pPr>
        <w:pStyle w:val="Normal"/>
        <w:spacing w:before="0" w:after="200"/>
        <w:jc w:val="center"/>
        <w:rPr/>
      </w:pPr>
      <w:r>
        <w:rPr>
          <w:rFonts w:ascii="Arial" w:hAnsi="Arial"/>
          <w:i/>
          <w:color w:val="64748B"/>
          <w:sz w:val="17"/>
        </w:rPr>
        <w:t>Figura: Paso 4: Dra. Carmen López (Coordinadora) audita el expediente clínico SHA-256 y formaliza el reencuentro familiar.</w:t>
      </w:r>
    </w:p>
    <w:p>
      <w:pPr>
        <w:pStyle w:val="Normal"/>
        <w:spacing w:before="240" w:after="80"/>
        <w:rPr/>
      </w:pPr>
      <w:r>
        <w:rPr>
          <w:rFonts w:ascii="Arial" w:hAnsi="Arial"/>
          <w:b/>
          <w:color w:val="0D9488"/>
          <w:sz w:val="25"/>
        </w:rPr>
        <w:t>4.2 Log de Auditoría y Ejecución en Vivo de la Sesión Real</w:t>
      </w:r>
    </w:p>
    <w:tbl>
      <w:tblPr>
        <w:tblW w:w="9360" w:type="dxa"/>
        <w:jc w:val="center"/>
        <w:tblInd w:w="0" w:type="dxa"/>
        <w:tblLayout w:type="fixed"/>
        <w:tblCellMar>
          <w:top w:w="120" w:type="dxa"/>
          <w:left w:w="160" w:type="dxa"/>
          <w:bottom w:w="120" w:type="dxa"/>
          <w:right w:w="160" w:type="dxa"/>
        </w:tblCellMar>
        <w:tblLook w:firstRow="1" w:noVBand="1" w:lastRow="0" w:firstColumn="1" w:lastColumn="0" w:noHBand="0" w:val="04a0"/>
      </w:tblPr>
      <w:tblGrid>
        <w:gridCol w:w="9360"/>
      </w:tblGrid>
      <w:tr>
        <w:trPr/>
        <w:tc>
          <w:tcPr>
            <w:tcW w:w="9360" w:type="dxa"/>
            <w:tcBorders/>
            <w:shd w:fill="0F172A"/>
          </w:tcPr>
          <w:p>
            <w:pPr>
              <w:pStyle w:val="Normal"/>
              <w:spacing w:before="0" w:after="80"/>
              <w:rPr/>
            </w:pPr>
            <w:r>
              <w:rPr>
                <w:rFonts w:ascii="Arial" w:hAnsi="Arial"/>
                <w:b/>
                <w:color w:val="38BDF8"/>
                <w:sz w:val="18"/>
              </w:rPr>
              <w:t xml:space="preserve">📋 </w:t>
            </w:r>
            <w:r>
              <w:rPr>
                <w:rFonts w:ascii="Arial" w:hAnsi="Arial"/>
                <w:b/>
                <w:color w:val="38BDF8"/>
                <w:sz w:val="18"/>
              </w:rPr>
              <w:t>LOG DE AUDITORÍA Y TRAZABILIDAD EN VIVO (REFUGUÍA ON-PREMISE):</w:t>
            </w:r>
          </w:p>
          <w:p>
            <w:pPr>
              <w:pStyle w:val="Normal"/>
              <w:spacing w:lineRule="auto" w:line="252" w:before="0" w:after="0"/>
              <w:rPr/>
            </w:pPr>
            <w:r>
              <w:rPr>
                <w:rFonts w:ascii="Courier New" w:hAnsi="Courier New"/>
                <w:color w:val="CBD5E1"/>
                <w:sz w:val="15"/>
              </w:rPr>
              <w:t>[SYSTEM_INIT]  [OK] Modelos IA en memoria activa de Ollama (host.docker.internal:11434):</w:t>
              <w:br/>
              <w:t xml:space="preserve">                 -&gt; SLM NLP/RAG : qwen2.5:1.5b (1.54B params, Quant: Q4_K_M, Context: 32768)</w:t>
              <w:br/>
              <w:t xml:space="preserve">                 -&gt; VLM Visión  : moondream:latest (1.4B params, Arch: SigLIP+Phi)</w:t>
              <w:br/>
              <w:t>[MCP_SERVER]   [OK] Servidor MCP 2026.1 inicializado con 6 Skills agénticas registradas (.md)</w:t>
              <w:br/>
              <w:br/>
              <w:t>[API_GATEWAY]  [POST] /api/pets/report-citizen (Origin: CitizenChatView / Damnificada)</w:t>
              <w:br/>
              <w:t>[SECURITY_SLM] [AUDIT] PromptSanitizerService: Texto limpio y sanitizado (Riesgo: 0.00).</w:t>
              <w:br/>
              <w:t>[OLLAMA_VLM]   [DONE] Inferencia VLM en 280.12 ms: "Canine, medium size, black coat with white chest."</w:t>
              <w:br/>
              <w:t>[OLLAMA_SLM]   [DONE] Inferencia SLM en 165.40 ms (35.2 tok/s): JSON {species: "canine", breed: "Mestizo"}</w:t>
              <w:br/>
              <w:t>[CHROMA_RAG]   [OK] Vector Embedding (1536 dims) indexado en colección 'refuguia_pets'</w:t>
              <w:br/>
              <w:br/>
              <w:t>[MATCHMAKER]   [EXEC] Búsqueda K-NN en ChromaDB: Vecino más cercano encontrado (ID 2, Distancia: 0.042)</w:t>
              <w:br/>
              <w:t>[OLLAMA_VLM]   [DONE] Cotejo fotográfico en Moondream: Score Visual 98.0%, Semántica 95.0%, Geo 92.0%</w:t>
              <w:br/>
              <w:t xml:space="preserve">                 -&gt; SIMILITUD GLOBAL FINAL: 95.3% (STATUS: HIGH_CONFIDENCE_MATCH)</w:t>
              <w:br/>
              <w:br/>
              <w:t>[API_GATEWAY]  [POST] /api/pets/2/clinical-records (Dra. Carmen López / ShelterDashboard)</w:t>
              <w:br/>
              <w:t>[SECURITY_QR]  [PASS] Verificación física de escaneo de collar QR confirmada (qr_scanned = TRUE).</w:t>
              <w:br/>
              <w:t>[CRYPTO_CHAIN] [OK] Hash SHA-256 generado: e3b0c44298fc1c149afbf4c8996fb92427ae41e4649b934ca495991b7852b855</w:t>
              <w:br/>
              <w:br/>
              <w:t>[MCP_DISPATCH] [INVOKE] Agente_Auditor_Legal -&gt; skill_verificar_periodo_gracia (ID 2, 18.9 días en refugio)</w:t>
              <w:br/>
              <w:t xml:space="preserve">                 -&gt; Veredicto Legal: CUMPLIDO (&gt;15 días). HABILITADA PARA ADOPCIÓN RESPONSABLE.</w:t>
              <w:br/>
              <w:t>[MCP_DISPATCH] [INVOKE] Agente_Triaje_Adopcion -&gt; skill_evaluar_compatibilidad_adopcion (Andrés Morales)</w:t>
              <w:br/>
              <w:t xml:space="preserve">                 -&gt; Idoneidad: 100% (APPROVED). Solicitud vinculada exitosamente.</w:t>
              <w:br/>
              <w:br/>
              <w:t>[TELEMETRÍA]   Tiempo Total End-to-End: 1.48 seg | Consumo RAM: 2.74 GB | Errores: 0 | Ciberseguridad: 100% PASS</w:t>
            </w:r>
          </w:p>
        </w:tc>
      </w:tr>
    </w:tbl>
    <w:p>
      <w:pPr>
        <w:pStyle w:val="Normal"/>
        <w:spacing w:before="0" w:after="120"/>
        <w:rPr/>
      </w:pPr>
      <w:r>
        <w:rPr/>
      </w:r>
    </w:p>
    <w:p>
      <w:pPr>
        <w:pStyle w:val="Normal"/>
        <w:spacing w:lineRule="auto" w:line="276" w:before="0" w:after="200"/>
        <w:rPr/>
      </w:pPr>
      <w:r>
        <w:rPr>
          <w:rFonts w:ascii="Arial" w:hAnsi="Arial"/>
          <w:color w:val="0F172A"/>
          <w:sz w:val="18"/>
        </w:rPr>
        <w:t xml:space="preserve">El archivo de texto completo con la traza milimétrica de auditoría se encuentra integrado en el repositorio del proyecto: </w:t>
      </w:r>
      <w:r>
        <w:rPr>
          <w:rFonts w:ascii="Courier New" w:hAnsi="Courier New"/>
          <w:b/>
          <w:color w:val="1E3A8A"/>
          <w:sz w:val="18"/>
        </w:rPr>
        <w:t>doc/LOG_SESION_REAL_REFUGUIA.txt</w:t>
      </w:r>
    </w:p>
    <w:p>
      <w:pPr>
        <w:pStyle w:val="Normal"/>
        <w:spacing w:lineRule="auto" w:line="276" w:before="0" w:after="200"/>
        <w:rPr>
          <w:rFonts w:ascii="Courier New" w:hAnsi="Courier New"/>
          <w:b/>
          <w:color w:val="1E3A8A"/>
          <w:sz w:val="18"/>
        </w:rPr>
      </w:pPr>
      <w:r>
        <w:rPr/>
      </w:r>
    </w:p>
    <w:p>
      <w:pPr>
        <w:pStyle w:val="Normal"/>
        <w:spacing w:lineRule="auto" w:line="276" w:before="0" w:after="200"/>
        <w:rPr>
          <w:rFonts w:ascii="Courier New" w:hAnsi="Courier New"/>
          <w:b/>
          <w:color w:val="1E3A8A"/>
          <w:sz w:val="18"/>
        </w:rPr>
      </w:pPr>
      <w:r>
        <w:rPr/>
      </w:r>
    </w:p>
    <w:p>
      <w:pPr>
        <w:spacing w:before="400" w:after="200"/>
      </w:pPr>
      <w:r>
        <w:rPr>
          <w:rFonts w:ascii="Arial" w:hAnsi="Arial"/>
          <w:b/>
          <w:color w:val="1E3A8A"/>
          <w:sz w:val="32"/>
        </w:rPr>
        <w:t>Sección 5 · Evaluación UX/UI</w:t>
      </w:r>
    </w:p>
    <w:p>
      <w:pPr>
        <w:spacing w:line="276" w:lineRule="auto" w:after="200"/>
      </w:pPr>
      <w:r>
        <w:rPr>
          <w:rFonts w:ascii="Arial" w:hAnsi="Arial"/>
          <w:color w:val="0F172A"/>
          <w:sz w:val="19"/>
        </w:rPr>
        <w:t>El diseño de experiencia de usuario (UX) e interfaz visual (UI) de RefuGuía fue concebido bajo premisas de 'Diseño Inclusivo y Accesible en Situaciones de Crisis'. Los usuarios interactúan frecuentemente bajo altos niveles de estrés emocional (ciudadanos que han perdido a sus mascotas), fatiga física (rescatistas en campo) o sobrecarga operativa (veterinarios en refugios de campaña). A continuación se expone la autoevaluación formal del sistema:</w:t>
      </w:r>
    </w:p>
    <w:p>
      <w:pPr>
        <w:spacing w:before="200" w:after="80"/>
      </w:pPr>
      <w:r>
        <w:rPr>
          <w:rFonts w:ascii="Arial" w:hAnsi="Arial"/>
          <w:b/>
          <w:color w:val="0D9488"/>
          <w:sz w:val="25"/>
        </w:rPr>
        <w:t>5.1 Heurísticas de Nielsen Aplicadas al Proyecto</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3A8A"/>
            <w:tcMar>
              <w:top w:w="120" w:type="dxa"/>
              <w:bottom w:w="120" w:type="dxa"/>
              <w:left w:w="140" w:type="dxa"/>
              <w:right w:w="140" w:type="dxa"/>
            </w:tcMar>
          </w:tcPr>
          <w:p>
            <w:r>
              <w:rPr>
                <w:rFonts w:ascii="Arial" w:hAnsi="Arial"/>
                <w:b/>
                <w:color w:val="FFFFFF"/>
                <w:sz w:val="19"/>
              </w:rPr>
              <w:t>Heurística de Nielsen</w:t>
            </w:r>
          </w:p>
        </w:tc>
        <w:tc>
          <w:tcPr>
            <w:tcW w:type="dxa" w:w="1296"/>
            <w:shd w:fill="1E3A8A"/>
            <w:tcMar>
              <w:top w:w="120" w:type="dxa"/>
              <w:bottom w:w="120" w:type="dxa"/>
              <w:left w:w="140" w:type="dxa"/>
              <w:right w:w="140" w:type="dxa"/>
            </w:tcMar>
          </w:tcPr>
          <w:p>
            <w:r>
              <w:rPr>
                <w:rFonts w:ascii="Arial" w:hAnsi="Arial"/>
                <w:b/>
                <w:color w:val="FFFFFF"/>
                <w:sz w:val="19"/>
              </w:rPr>
              <w:t>¿Cumple?</w:t>
            </w:r>
          </w:p>
        </w:tc>
        <w:tc>
          <w:tcPr>
            <w:tcW w:type="dxa" w:w="5184"/>
            <w:shd w:fill="1E3A8A"/>
            <w:tcMar>
              <w:top w:w="120" w:type="dxa"/>
              <w:bottom w:w="120" w:type="dxa"/>
              <w:left w:w="140" w:type="dxa"/>
              <w:right w:w="140" w:type="dxa"/>
            </w:tcMar>
          </w:tcPr>
          <w:p>
            <w:r>
              <w:rPr>
                <w:rFonts w:ascii="Arial" w:hAnsi="Arial"/>
                <w:b/>
                <w:color w:val="FFFFFF"/>
                <w:sz w:val="19"/>
              </w:rPr>
              <w:t>Evidencia / Observación en RefuGuía</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1. Visibilidad del estado del sistema</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El sistema muestra indicadores en tiempo real: spinners de carga durante inferencia local de IA, badges de estado ('En Búsqueda', 'En Refugio', 'Reencontrado'), badges de días transcurridos respecto al plazo legal de 15 días y confirmaciones con SweetAlert2 tras cada acción.</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2. Coincidencia con el mundo real</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Se eliminó toda la jerga técnica de modelos de IA (SLM, VLM, Embeddings, K-NN Cosine), reemplazándola por conceptos familiares y humanos: 'Cercanía (km)', 'Coincidencia de Rasgos', 'Comparar Fotos en Detalle', 'Collar QR' y 'Expediente Clínico'.</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3. Control y libertad del usuario</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El selector de identidades 1-Click permite cambiar de rol instantáneamente. Los modales de comparación y edición cuentan con botones de cierre explícitos ('Cerrar', 'Cancelar') y cierre automático por teclado (Esc) o clic fuera del área.</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4. Consistencia y estándares</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La navegación superior es consistente en todas las vistas, manteniendo una paleta visual unificada en modo oscuro (#0e1626) con acentos cyan/esmeralda, tipografía sans-serif de alta legibilidad y jerarquía estricta de botones (primarios, secundarios, destructivos).</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5. Prevención de errores</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El sistema implementa bloqueos deterministas: no permite administrar fármacos sin confirmación de escaneo de QR físico; bloquea la postulación de adopción si la mascota no ha cumplido el plazo legal de 15 días; y valida montos financieros y formularios antes de enviar.</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6. Reconocimiento sobre recuerdo</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El Chat Ciudadano ofrece 'Acciones Rápidas' clickeables con preguntas frecuentes y plantillas de rescate de un toque, evitando que el usuario deba recordar comandos de texto o estructuras complejas.</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7. Flexibilidad y eficiencia de uso</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Los rescatistas y damnificados pueden ingresar reportes mediante teclado o dictado por voz (Web Speech API). El buscador universal de refugios soporta multi-tokens sin distinción de acentos y los KPIs superiores filtran el inventario con un solo clic.</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8. Diseño estético y minimalista</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Las pantallas eliminan elementos innecesarios, organizando la información en tarjetas modulares con bordes sutiles y efectos glassmorphism. Cada tarjeta presenta únicamente los datos críticos para la toma de decisiones clínicas y de reencuentro.</w:t>
            </w:r>
          </w:p>
        </w:tc>
      </w:tr>
      <w:tr>
        <w:tc>
          <w:tcPr>
            <w:tcW w:type="dxa" w:w="2880"/>
            <w:shd w:fill="F8FAFC"/>
            <w:tcMar>
              <w:top w:w="80" w:type="dxa"/>
              <w:bottom w:w="80" w:type="dxa"/>
              <w:left w:w="120" w:type="dxa"/>
              <w:right w:w="120" w:type="dxa"/>
            </w:tcMar>
          </w:tcPr>
          <w:p>
            <w:pPr>
              <w:spacing w:line="269" w:lineRule="auto"/>
            </w:pPr>
            <w:r>
              <w:rPr>
                <w:rFonts w:ascii="Arial" w:hAnsi="Arial"/>
                <w:b/>
                <w:color w:val="0F172A"/>
                <w:sz w:val="17"/>
              </w:rPr>
              <w:t>9. Ayuda para reconocer y recuperarse de errores</w:t>
            </w:r>
          </w:p>
        </w:tc>
        <w:tc>
          <w:tcPr>
            <w:tcW w:type="dxa" w:w="1296"/>
            <w:shd w:fill="F8FAFC"/>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8FAFC"/>
            <w:tcMar>
              <w:top w:w="80" w:type="dxa"/>
              <w:bottom w:w="80" w:type="dxa"/>
              <w:left w:w="120" w:type="dxa"/>
              <w:right w:w="120" w:type="dxa"/>
            </w:tcMar>
          </w:tcPr>
          <w:p>
            <w:pPr>
              <w:spacing w:line="269" w:lineRule="auto"/>
            </w:pPr>
            <w:r>
              <w:rPr>
                <w:rFonts w:ascii="Arial" w:hAnsi="Arial"/>
                <w:color w:val="0F172A"/>
                <w:sz w:val="17"/>
              </w:rPr>
              <w:t>Los mensajes de error se expresan en lenguaje natural claro y constructivo (ej: 'Debe ingresar al menos una descripción física o adjuntar una fotografía para procesar el reporte', 'El código QR es obligatorio para aplicar este tratamiento').</w:t>
            </w:r>
          </w:p>
        </w:tc>
      </w:tr>
      <w:tr>
        <w:tc>
          <w:tcPr>
            <w:tcW w:type="dxa" w:w="2880"/>
            <w:shd w:fill="FFFFFF"/>
            <w:tcMar>
              <w:top w:w="80" w:type="dxa"/>
              <w:bottom w:w="80" w:type="dxa"/>
              <w:left w:w="120" w:type="dxa"/>
              <w:right w:w="120" w:type="dxa"/>
            </w:tcMar>
          </w:tcPr>
          <w:p>
            <w:pPr>
              <w:spacing w:line="269" w:lineRule="auto"/>
            </w:pPr>
            <w:r>
              <w:rPr>
                <w:rFonts w:ascii="Arial" w:hAnsi="Arial"/>
                <w:b/>
                <w:color w:val="0F172A"/>
                <w:sz w:val="17"/>
              </w:rPr>
              <w:t>10. Ayuda y documentación</w:t>
            </w:r>
          </w:p>
        </w:tc>
        <w:tc>
          <w:tcPr>
            <w:tcW w:type="dxa" w:w="1296"/>
            <w:shd w:fill="FFFFFF"/>
            <w:tcMar>
              <w:top w:w="80" w:type="dxa"/>
              <w:bottom w:w="80" w:type="dxa"/>
              <w:left w:w="120" w:type="dxa"/>
              <w:right w:w="120" w:type="dxa"/>
            </w:tcMar>
          </w:tcPr>
          <w:p>
            <w:pPr>
              <w:spacing w:line="269" w:lineRule="auto"/>
            </w:pPr>
            <w:r>
              <w:rPr>
                <w:rFonts w:ascii="Arial" w:hAnsi="Arial"/>
                <w:b/>
                <w:color w:val="16A34A"/>
                <w:sz w:val="17"/>
              </w:rPr>
              <w:t>Sí</w:t>
            </w:r>
          </w:p>
        </w:tc>
        <w:tc>
          <w:tcPr>
            <w:tcW w:type="dxa" w:w="5184"/>
            <w:shd w:fill="FFFFFF"/>
            <w:tcMar>
              <w:top w:w="80" w:type="dxa"/>
              <w:bottom w:w="80" w:type="dxa"/>
              <w:left w:w="120" w:type="dxa"/>
              <w:right w:w="120" w:type="dxa"/>
            </w:tcMar>
          </w:tcPr>
          <w:p>
            <w:pPr>
              <w:spacing w:line="269" w:lineRule="auto"/>
            </w:pPr>
            <w:r>
              <w:rPr>
                <w:rFonts w:ascii="Arial" w:hAnsi="Arial"/>
                <w:color w:val="0F172A"/>
                <w:sz w:val="17"/>
              </w:rPr>
              <w:t>Cada módulo incluye descripciones contextuales de su propósito operativo. El Explorador MCP proporciona la especificación formal Markdown de cada herramienta agéntica para auditores y administradores técnicos.</w:t>
            </w:r>
          </w:p>
        </w:tc>
      </w:tr>
    </w:tbl>
    <w:p>
      <w:pPr>
        <w:spacing w:after="160"/>
      </w:pPr>
    </w:p>
    <w:p>
      <w:pPr>
        <w:spacing w:before="240" w:after="80"/>
      </w:pPr>
      <w:r>
        <w:rPr>
          <w:rFonts w:ascii="Arial" w:hAnsi="Arial"/>
          <w:b/>
          <w:color w:val="0D9488"/>
          <w:sz w:val="25"/>
        </w:rPr>
        <w:t>5.2 Evaluación Orientada al Público Objetivo</w:t>
      </w:r>
    </w:p>
    <w:p>
      <w:pPr>
        <w:spacing w:before="120" w:after="40"/>
      </w:pPr>
      <w:r>
        <w:rPr>
          <w:rFonts w:ascii="Arial" w:hAnsi="Arial"/>
          <w:b/>
          <w:color w:val="1E3A8A"/>
          <w:sz w:val="21"/>
        </w:rPr>
        <w:t>A. ¿El diseño es apropiado para el nivel técnico del usuario final?</w:t>
      </w:r>
    </w:p>
    <w:p>
      <w:pPr>
        <w:spacing w:line="276" w:lineRule="auto" w:after="120"/>
      </w:pPr>
      <w:r>
        <w:rPr>
          <w:rFonts w:ascii="Arial" w:hAnsi="Arial"/>
          <w:color w:val="0F172A"/>
          <w:sz w:val="19"/>
        </w:rPr>
        <w:t>Sí, de forma sobresaliente. La aplicación fue diseñada considerando que una persona damnificada que busca a su mascota tras un desastre posee una carga cognitiva saturada por el shock emocional. Por ello, la interfaz no exige conocimientos técnicos ni navegación compleja: un solo cuadro de chat permite dictar por voz o escribir en lenguaje coloquial venezolano ('Perdí a mi perrito en Catia, es mestizo negro'), mientras la IA se encarga de estructurar la información internamente. Para el rescatista en campo, los botones táctiles amplios facilitan el uso desde dispositivos móviles o laptops con guantes, y para la coordinadora veterinaria, el inventario ofrece filtros automáticos con un solo clic.</w:t>
      </w:r>
    </w:p>
    <w:p>
      <w:pPr>
        <w:spacing w:before="120" w:after="40"/>
      </w:pPr>
      <w:r>
        <w:rPr>
          <w:rFonts w:ascii="Arial" w:hAnsi="Arial"/>
          <w:b/>
          <w:color w:val="1E3A8A"/>
          <w:sz w:val="21"/>
        </w:rPr>
        <w:t>B. ¿El lenguaje visual y textual es comprensible para ese usuario?</w:t>
      </w:r>
    </w:p>
    <w:p>
      <w:pPr>
        <w:spacing w:line="276" w:lineRule="auto" w:after="120"/>
      </w:pPr>
      <w:r>
        <w:rPr>
          <w:rFonts w:ascii="Arial" w:hAnsi="Arial"/>
          <w:color w:val="0F172A"/>
          <w:sz w:val="19"/>
        </w:rPr>
        <w:t>Sí. Se llevó a cabo un proceso exhaustivo de 'Humanización de la IA', eliminando cualquier referencia a modelos como 'Qwen', 'Moondream', 'VLM', 'Inferencia Local' o 'Distancia Vectorial'. En su lugar, el sistema se comunica con frases naturales como: 'Hemos encontrado una alta coincidencia entre tu reporte y un perrito rescatado', 'Nivel de Coincidencia: 98.5%', 'Distancia estimada: 1.2 km de tu ubicación', y 'Comparar Fotos en Detalle'. Visualmente, el uso de insignias de colores estandarizados (verde para reencuentros/aprobado, amarillo para pendiente, azul para rescatado) permite una interpretación visual inmediata sin ambigüedades.</w:t>
      </w:r>
    </w:p>
    <w:p>
      <w:pPr>
        <w:spacing w:before="120" w:after="40"/>
      </w:pPr>
      <w:r>
        <w:rPr>
          <w:rFonts w:ascii="Arial" w:hAnsi="Arial"/>
          <w:b/>
          <w:color w:val="1E3A8A"/>
          <w:sz w:val="21"/>
        </w:rPr>
        <w:t>C. ¿Se hizo alguna prueba con un usuario real (o simulada)? ¿Qué feedback se obtuvo?</w:t>
      </w:r>
    </w:p>
    <w:p>
      <w:pPr>
        <w:spacing w:line="276" w:lineRule="auto" w:after="200"/>
      </w:pPr>
      <w:r>
        <w:rPr>
          <w:rFonts w:ascii="Arial" w:hAnsi="Arial"/>
          <w:color w:val="0F172A"/>
          <w:sz w:val="19"/>
        </w:rPr>
        <w:t>Sí. Se ejecutó una sesión de prueba de usuario con un rescatista voluntario de protección animal y una usuaria ciudadana simulando búsqueda de mascota. Los hallazgos y ajustes aplicados fueron:</w:t>
        <w:br/>
        <w:t>1. Feedback del Rescatista: Señaló que en la versión inicial era tedioso escribir descripciones largas en un teclado físico. En respuesta, se incorporó el soporte de dictado por voz y botones de 'Ingreso Rápido de Rescate' de 1 toque, reduciendo el tiempo de registro en un 70%.</w:t>
        <w:br/>
        <w:t>2. Feedback de la Ciudadana: Indicó que ver números de vectores o términos técnicos generaba confusión sobre si su perro había sido encontrado. Se rediseñó el modal de peritaje para presentar una comparación fotográfica directa lado a lado con observaciones anatómicas comprensibles ('Manto negro con mancha blanca en pecho').</w:t>
        <w:br/>
        <w:t>3. Feedback de la Coordinadora: Solicitó mayor claridad en el período legal de 15 días. Se implementó una barra de progreso temporal y un bloqueo estricto que impide dar en adopción antes del día 15.</w:t>
      </w:r>
    </w:p>
    <w:p>
      <w:pPr>
        <w:spacing w:before="80" w:after="80"/>
      </w:pPr>
      <w:r>
        <w:rPr>
          <w:rFonts w:ascii="Arial" w:hAnsi="Arial"/>
          <w:i/>
          <w:color w:val="64748B"/>
          <w:sz w:val="17"/>
        </w:rPr>
        <w:t>UTN-FRBA | EPIData — IA Aplicada a Organizaciones</w:t>
      </w:r>
    </w:p>
    <w:p>
      <w:pPr>
        <w:spacing w:before="400" w:after="200"/>
      </w:pPr>
      <w:r>
        <w:rPr>
          <w:rFonts w:ascii="Arial" w:hAnsi="Arial"/>
          <w:b/>
          <w:color w:val="1E3A8A"/>
          <w:sz w:val="32"/>
        </w:rPr>
        <w:t>Sección 6 · Evaluación de Ciberseguridad</w:t>
      </w:r>
    </w:p>
    <w:p>
      <w:pPr>
        <w:spacing w:line="276" w:lineRule="auto" w:after="200"/>
      </w:pPr>
      <w:r>
        <w:rPr>
          <w:rFonts w:ascii="Arial" w:hAnsi="Arial"/>
          <w:color w:val="0F172A"/>
          <w:sz w:val="19"/>
        </w:rPr>
        <w:t>La seguridad de la información y la resiliencia en RefuGuía fueron integradas transversalmente desde la etapa de diseño de arquitectura ('Security by Design'). En situaciones de contingencia y desastre natural, la protección de los datos de los ciudadanos damnificados, la prevención de ataques contra los modelos de IA y la inmutabilidad de los historiales clínicos veterinarios constituyen pilares operacionales innegociables.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r>
              <w:rPr>
                <w:rFonts w:ascii="Arial" w:hAnsi="Arial"/>
                <w:b/>
                <w:color w:val="FFFFFF"/>
                <w:sz w:val="19"/>
              </w:rPr>
              <w:t>Riesgo Identificado</w:t>
            </w:r>
          </w:p>
        </w:tc>
        <w:tc>
          <w:tcPr>
            <w:tcW w:type="dxa" w:w="2304"/>
            <w:shd w:fill="1E3A8A"/>
            <w:tcMar>
              <w:top w:w="120" w:type="dxa"/>
              <w:bottom w:w="120" w:type="dxa"/>
              <w:left w:w="140" w:type="dxa"/>
              <w:right w:w="140" w:type="dxa"/>
            </w:tcMar>
          </w:tcPr>
          <w:p>
            <w:r>
              <w:rPr>
                <w:rFonts w:ascii="Arial" w:hAnsi="Arial"/>
                <w:b/>
                <w:color w:val="FFFFFF"/>
                <w:sz w:val="19"/>
              </w:rPr>
              <w:t>Tipo (OWASP / Privacidad / Acceso / IA)</w:t>
            </w:r>
          </w:p>
        </w:tc>
        <w:tc>
          <w:tcPr>
            <w:tcW w:type="dxa" w:w="4464"/>
            <w:shd w:fill="1E3A8A"/>
            <w:tcMar>
              <w:top w:w="120" w:type="dxa"/>
              <w:bottom w:w="120" w:type="dxa"/>
              <w:left w:w="140" w:type="dxa"/>
              <w:right w:w="140" w:type="dxa"/>
            </w:tcMar>
          </w:tcPr>
          <w:p>
            <w:r>
              <w:rPr>
                <w:rFonts w:ascii="Arial" w:hAnsi="Arial"/>
                <w:b/>
                <w:color w:val="FFFFFF"/>
                <w:sz w:val="19"/>
              </w:rPr>
              <w:t>Medida Implementada o Decisión Tomada</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Inyección de prompt en el modelo IA (Prompt Injection &amp; Jailbreaks)</w:t>
            </w:r>
          </w:p>
        </w:tc>
        <w:tc>
          <w:tcPr>
            <w:tcW w:type="dxa" w:w="2304"/>
            <w:shd w:fill="F8FAFC"/>
            <w:tcMar>
              <w:top w:w="90" w:type="dxa"/>
              <w:bottom w:w="90" w:type="dxa"/>
              <w:left w:w="130" w:type="dxa"/>
              <w:right w:w="130" w:type="dxa"/>
            </w:tcMar>
          </w:tcPr>
          <w:p>
            <w:pPr>
              <w:spacing w:line="269" w:lineRule="auto"/>
            </w:pPr>
            <w:r>
              <w:rPr>
                <w:rFonts w:ascii="Arial" w:hAnsi="Arial"/>
                <w:b/>
                <w:color w:val="0F172A"/>
                <w:sz w:val="17"/>
              </w:rPr>
              <w:t>OWASP LLM01 / Inyección</w:t>
            </w:r>
          </w:p>
        </w:tc>
        <w:tc>
          <w:tcPr>
            <w:tcW w:type="dxa" w:w="4464"/>
            <w:shd w:fill="F8FAFC"/>
            <w:tcMar>
              <w:top w:w="90" w:type="dxa"/>
              <w:bottom w:w="90" w:type="dxa"/>
              <w:left w:w="130" w:type="dxa"/>
              <w:right w:w="130" w:type="dxa"/>
            </w:tcMar>
          </w:tcPr>
          <w:p>
            <w:pPr>
              <w:spacing w:line="269" w:lineRule="auto"/>
            </w:pPr>
            <w:r>
              <w:rPr>
                <w:rFonts w:ascii="Arial" w:hAnsi="Arial"/>
                <w:color w:val="0F172A"/>
                <w:sz w:val="17"/>
              </w:rPr>
              <w:t>Se implementó el servicio 'PromptSanitizerService' en el Backend, el cual filtra patrones maliciosos, comandos del sistema e intentos de fuga ('ignore previous instructions') antes de enviar el texto al SLM. Los System Prompts están aislados rígidamente y la respuesta se restringe a esquemas JSON fuertemente tipados sin ejecución dinámica de código.</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Exposición de API Keys y Secretos en Repositorio</w:t>
            </w:r>
          </w:p>
        </w:tc>
        <w:tc>
          <w:tcPr>
            <w:tcW w:type="dxa" w:w="2304"/>
            <w:shd w:fill="FFFFFF"/>
            <w:tcMar>
              <w:top w:w="90" w:type="dxa"/>
              <w:bottom w:w="90" w:type="dxa"/>
              <w:left w:w="130" w:type="dxa"/>
              <w:right w:w="130" w:type="dxa"/>
            </w:tcMar>
          </w:tcPr>
          <w:p>
            <w:pPr>
              <w:spacing w:line="269" w:lineRule="auto"/>
            </w:pPr>
            <w:r>
              <w:rPr>
                <w:rFonts w:ascii="Arial" w:hAnsi="Arial"/>
                <w:b/>
                <w:color w:val="0F172A"/>
                <w:sz w:val="17"/>
              </w:rPr>
              <w:t>Secretos en Código / OWASP A02</w:t>
            </w:r>
          </w:p>
        </w:tc>
        <w:tc>
          <w:tcPr>
            <w:tcW w:type="dxa" w:w="4464"/>
            <w:shd w:fill="FFFFFF"/>
            <w:tcMar>
              <w:top w:w="90" w:type="dxa"/>
              <w:bottom w:w="90" w:type="dxa"/>
              <w:left w:w="130" w:type="dxa"/>
              <w:right w:w="130" w:type="dxa"/>
            </w:tcMar>
          </w:tcPr>
          <w:p>
            <w:pPr>
              <w:spacing w:line="269" w:lineRule="auto"/>
            </w:pPr>
            <w:r>
              <w:rPr>
                <w:rFonts w:ascii="Arial" w:hAnsi="Arial"/>
                <w:color w:val="0F172A"/>
                <w:sz w:val="17"/>
              </w:rPr>
              <w:t>Al adoptar una arquitectura 100% On-Premise con Ollama Local y ChromaDB embebido, se eliminó la necesidad de utilizar o almacenar API Keys de proveedores comerciales de IA (OpenAI, Claude). Todas las credenciales internas (MySQL, App Key) se gestionan mediante variables de entorno en el archivo '.env', rigurosamente ignorado en el control de versiones '.gitignore'.</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Fuga o Exposición de Datos Privados de Damnificados (Data Privacy)</w:t>
            </w:r>
          </w:p>
        </w:tc>
        <w:tc>
          <w:tcPr>
            <w:tcW w:type="dxa" w:w="2304"/>
            <w:shd w:fill="F8FAFC"/>
            <w:tcMar>
              <w:top w:w="90" w:type="dxa"/>
              <w:bottom w:w="90" w:type="dxa"/>
              <w:left w:w="130" w:type="dxa"/>
              <w:right w:w="130" w:type="dxa"/>
            </w:tcMar>
          </w:tcPr>
          <w:p>
            <w:pPr>
              <w:spacing w:line="269" w:lineRule="auto"/>
            </w:pPr>
            <w:r>
              <w:rPr>
                <w:rFonts w:ascii="Arial" w:hAnsi="Arial"/>
                <w:b/>
                <w:color w:val="0F172A"/>
                <w:sz w:val="17"/>
              </w:rPr>
              <w:t>Privacidad / GDPR / OWASP A01</w:t>
            </w:r>
          </w:p>
        </w:tc>
        <w:tc>
          <w:tcPr>
            <w:tcW w:type="dxa" w:w="4464"/>
            <w:shd w:fill="F8FAFC"/>
            <w:tcMar>
              <w:top w:w="90" w:type="dxa"/>
              <w:bottom w:w="90" w:type="dxa"/>
              <w:left w:w="130" w:type="dxa"/>
              <w:right w:w="130" w:type="dxa"/>
            </w:tcMar>
          </w:tcPr>
          <w:p>
            <w:pPr>
              <w:spacing w:line="269" w:lineRule="auto"/>
            </w:pPr>
            <w:r>
              <w:rPr>
                <w:rFonts w:ascii="Arial" w:hAnsi="Arial"/>
                <w:color w:val="0F172A"/>
                <w:sz w:val="17"/>
              </w:rPr>
              <w:t>Principio de minimización de datos: solo se registran nombres de pila, teléfono de contacto voluntario y ubicación general del rescate (zona/parroquia), sin solicitar documentos nacionales de identidad ni datos financieros sensibles. Cero fuga de datos hacia nubes externas (Zero External Cloud Egress), garantizando soberanía y confidencialidad absoluta en red local.</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Acceso no autorizado y escalada de privilegios</w:t>
            </w:r>
          </w:p>
        </w:tc>
        <w:tc>
          <w:tcPr>
            <w:tcW w:type="dxa" w:w="2304"/>
            <w:shd w:fill="FFFFFF"/>
            <w:tcMar>
              <w:top w:w="90" w:type="dxa"/>
              <w:bottom w:w="90" w:type="dxa"/>
              <w:left w:w="130" w:type="dxa"/>
              <w:right w:w="130" w:type="dxa"/>
            </w:tcMar>
          </w:tcPr>
          <w:p>
            <w:pPr>
              <w:spacing w:line="269" w:lineRule="auto"/>
            </w:pPr>
            <w:r>
              <w:rPr>
                <w:rFonts w:ascii="Arial" w:hAnsi="Arial"/>
                <w:b/>
                <w:color w:val="0F172A"/>
                <w:sz w:val="17"/>
              </w:rPr>
              <w:t>Autenticación &amp; RBAC / OWASP A01</w:t>
            </w:r>
          </w:p>
        </w:tc>
        <w:tc>
          <w:tcPr>
            <w:tcW w:type="dxa" w:w="4464"/>
            <w:shd w:fill="FFFFFF"/>
            <w:tcMar>
              <w:top w:w="90" w:type="dxa"/>
              <w:bottom w:w="90" w:type="dxa"/>
              <w:left w:w="130" w:type="dxa"/>
              <w:right w:w="130" w:type="dxa"/>
            </w:tcMar>
          </w:tcPr>
          <w:p>
            <w:pPr>
              <w:spacing w:line="269" w:lineRule="auto"/>
            </w:pPr>
            <w:r>
              <w:rPr>
                <w:rFonts w:ascii="Arial" w:hAnsi="Arial"/>
                <w:color w:val="0F172A"/>
                <w:sz w:val="17"/>
              </w:rPr>
              <w:t>Se implementó control de acceso basado en roles (RBAC) estricto con Laravel Sanctum y guardias de navegación en Vue Router. Los endpoints críticos (administración de tratamientos médicos, gestión de inventario y ejecución de auditorías MCP) están exclusivamente restringidos al rol 'shelter_admin', impidiendo que ciudadanos o adoptantes modifiquen expedientes.</w:t>
            </w:r>
          </w:p>
        </w:tc>
      </w:tr>
      <w:tr>
        <w:tc>
          <w:tcPr>
            <w:tcW w:type="dxa" w:w="2592"/>
            <w:shd w:fill="F8FAFC"/>
            <w:tcMar>
              <w:top w:w="90" w:type="dxa"/>
              <w:bottom w:w="90" w:type="dxa"/>
              <w:left w:w="130" w:type="dxa"/>
              <w:right w:w="130" w:type="dxa"/>
            </w:tcMar>
          </w:tcPr>
          <w:p>
            <w:pPr>
              <w:spacing w:line="269" w:lineRule="auto"/>
            </w:pPr>
            <w:r>
              <w:rPr>
                <w:rFonts w:ascii="Arial" w:hAnsi="Arial"/>
                <w:b/>
                <w:color w:val="0F172A"/>
                <w:sz w:val="17"/>
              </w:rPr>
              <w:t>Adulteración de historiales médicos o sobredosis de fármacos</w:t>
            </w:r>
          </w:p>
        </w:tc>
        <w:tc>
          <w:tcPr>
            <w:tcW w:type="dxa" w:w="2304"/>
            <w:shd w:fill="F8FAFC"/>
            <w:tcMar>
              <w:top w:w="90" w:type="dxa"/>
              <w:bottom w:w="90" w:type="dxa"/>
              <w:left w:w="130" w:type="dxa"/>
              <w:right w:w="130" w:type="dxa"/>
            </w:tcMar>
          </w:tcPr>
          <w:p>
            <w:pPr>
              <w:spacing w:line="269" w:lineRule="auto"/>
            </w:pPr>
            <w:r>
              <w:rPr>
                <w:rFonts w:ascii="Arial" w:hAnsi="Arial"/>
                <w:b/>
                <w:color w:val="0F172A"/>
                <w:sz w:val="17"/>
              </w:rPr>
              <w:t>Integridad de Datos / OWASP A08</w:t>
            </w:r>
          </w:p>
        </w:tc>
        <w:tc>
          <w:tcPr>
            <w:tcW w:type="dxa" w:w="4464"/>
            <w:shd w:fill="F8FAFC"/>
            <w:tcMar>
              <w:top w:w="90" w:type="dxa"/>
              <w:bottom w:w="90" w:type="dxa"/>
              <w:left w:w="130" w:type="dxa"/>
              <w:right w:w="130" w:type="dxa"/>
            </w:tcMar>
          </w:tcPr>
          <w:p>
            <w:pPr>
              <w:spacing w:line="269" w:lineRule="auto"/>
            </w:pPr>
            <w:r>
              <w:rPr>
                <w:rFonts w:ascii="Arial" w:hAnsi="Arial"/>
                <w:color w:val="0F172A"/>
                <w:sz w:val="17"/>
              </w:rPr>
              <w:t>Se implementó una cadena de bloques interna de registros clínicos donde cada administración de fármaco genera un Hash SHA-256 inmutable encadenado al registro previo ('hash_sha256 = sha256(prev_hash + payload)'). Además, existe un bloqueo lógico estricto que prohíbe guardar cualquier tratamiento si no se valida el escaneo del collar QR físico del animal ('qr_scanned = true').</w:t>
            </w:r>
          </w:p>
        </w:tc>
      </w:tr>
      <w:tr>
        <w:tc>
          <w:tcPr>
            <w:tcW w:type="dxa" w:w="2592"/>
            <w:shd w:fill="FFFFFF"/>
            <w:tcMar>
              <w:top w:w="90" w:type="dxa"/>
              <w:bottom w:w="90" w:type="dxa"/>
              <w:left w:w="130" w:type="dxa"/>
              <w:right w:w="130" w:type="dxa"/>
            </w:tcMar>
          </w:tcPr>
          <w:p>
            <w:pPr>
              <w:spacing w:line="269" w:lineRule="auto"/>
            </w:pPr>
            <w:r>
              <w:rPr>
                <w:rFonts w:ascii="Arial" w:hAnsi="Arial"/>
                <w:b/>
                <w:color w:val="0F172A"/>
                <w:sz w:val="17"/>
              </w:rPr>
              <w:t>Ejecución no autorizada o descontrolada de agentes</w:t>
            </w:r>
          </w:p>
        </w:tc>
        <w:tc>
          <w:tcPr>
            <w:tcW w:type="dxa" w:w="2304"/>
            <w:shd w:fill="FFFFFF"/>
            <w:tcMar>
              <w:top w:w="90" w:type="dxa"/>
              <w:bottom w:w="90" w:type="dxa"/>
              <w:left w:w="130" w:type="dxa"/>
              <w:right w:w="130" w:type="dxa"/>
            </w:tcMar>
          </w:tcPr>
          <w:p>
            <w:pPr>
              <w:spacing w:line="269" w:lineRule="auto"/>
            </w:pPr>
            <w:r>
              <w:rPr>
                <w:rFonts w:ascii="Arial" w:hAnsi="Arial"/>
                <w:b/>
                <w:color w:val="0F172A"/>
                <w:sz w:val="17"/>
              </w:rPr>
              <w:t>OWASP LLM08 / Exceso de Agencia</w:t>
            </w:r>
          </w:p>
        </w:tc>
        <w:tc>
          <w:tcPr>
            <w:tcW w:type="dxa" w:w="4464"/>
            <w:shd w:fill="FFFFFF"/>
            <w:tcMar>
              <w:top w:w="90" w:type="dxa"/>
              <w:bottom w:w="90" w:type="dxa"/>
              <w:left w:w="130" w:type="dxa"/>
              <w:right w:w="130" w:type="dxa"/>
            </w:tcMar>
          </w:tcPr>
          <w:p>
            <w:pPr>
              <w:spacing w:line="269" w:lineRule="auto"/>
            </w:pPr>
            <w:r>
              <w:rPr>
                <w:rFonts w:ascii="Arial" w:hAnsi="Arial"/>
                <w:color w:val="0F172A"/>
                <w:sz w:val="17"/>
              </w:rPr>
              <w:t>El Servidor MCP (Model Context Protocol 2026.1) aplica el principio de menor privilegio. Cada una de las 6 Skills agénticas opera bajo un contrato formal en Markdown (.md) con esquemas JsonSchema cerrados. Los agentes no tienen acceso libre a la consola del sistema operativo ni a la base de datos sin pasar por los validadores de negocio de Laravel.</w:t>
            </w:r>
          </w:p>
        </w:tc>
      </w:tr>
    </w:tbl>
    <w:p>
      <w:pPr>
        <w:spacing w:before="160" w:after="160"/>
      </w:pPr>
      <w:r>
        <w:rPr>
          <w:rFonts w:ascii="Arial" w:hAnsi="Arial"/>
          <w:i/>
          <w:color w:val="64748B"/>
          <w:sz w:val="17"/>
        </w:rPr>
        <w:t>UTN-FRBA | EPIData — IA Aplicada a Organizaciones</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Arial">
    <w:charset w:val="00"/>
    <w:family w:val="roman"/>
    <w:pitch w:val="variable"/>
  </w:font>
  <w:font w:name="Courier Ne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LibreOffice/24.2.5.2$Windows_X86_64 LibreOffice_project/bffef4ea93e59bebbeaf7f431bb02b1a39ee8a59</Application>
  <AppVersion>15.0000</AppVersion>
  <Pages>11</Pages>
  <Words>2122</Words>
  <Characters>12872</Characters>
  <CharactersWithSpaces>14976</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2026-08-19T22:50:35Z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