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ascii="Arial" w:hAnsi="Arial"/>
          <w:b/>
          <w:color w:val="0D9488"/>
          <w:sz w:val="18"/>
        </w:rPr>
        <w:t>PROGRAMA DE INTELIGENCIA ARTIFICIAL APLICADA · UTN-FRBA &amp; EPIDATA</w:t>
      </w:r>
    </w:p>
    <w:p>
      <w:pPr>
        <w:pStyle w:val="Normal"/>
        <w:spacing w:before="40" w:after="120"/>
        <w:rPr/>
      </w:pPr>
      <w:r>
        <w:rPr>
          <w:rFonts w:ascii="Arial" w:hAnsi="Arial"/>
          <w:b/>
          <w:color w:val="1E3A8A"/>
          <w:sz w:val="44"/>
        </w:rPr>
        <w:t>INFORME TÉCNICO DE IMPLEMENTACIÓN FINAL</w:t>
      </w:r>
    </w:p>
    <w:p>
      <w:pPr>
        <w:pStyle w:val="Normal"/>
        <w:spacing w:before="0" w:after="360"/>
        <w:rPr/>
      </w:pPr>
      <w:r>
        <w:rPr>
          <w:rFonts w:ascii="Arial" w:hAnsi="Arial"/>
          <w:color w:val="64748B"/>
          <w:sz w:val="22"/>
        </w:rPr>
        <w:t>RefuGuía: Sistema Integral Multi-Agente On-Premise con IA Local (SLM+VLM), Protocolo MCP y Trazabilidad Médica Inmutable Post-Sismo</w:t>
      </w:r>
    </w:p>
    <w:p>
      <w:pPr>
        <w:pStyle w:val="Normal"/>
        <w:pBdr>
          <w:bottom w:val="single" w:sz="18" w:space="1" w:color="1E3A8A"/>
        </w:pBdr>
        <w:spacing w:before="0" w:after="280"/>
        <w:rPr/>
      </w:pPr>
      <w:r>
        <w:rPr/>
      </w:r>
    </w:p>
    <w:p>
      <w:pPr>
        <w:pStyle w:val="Normal"/>
        <w:spacing w:before="240" w:after="200"/>
        <w:rPr/>
      </w:pPr>
      <w:r>
        <w:rPr>
          <w:rFonts w:ascii="Arial" w:hAnsi="Arial"/>
          <w:b/>
          <w:color w:val="1E3A8A"/>
          <w:sz w:val="32"/>
        </w:rPr>
        <w:t>Sección 1 · Presentación del Equipo y del Proyecto</w:t>
      </w:r>
    </w:p>
    <w:p>
      <w:pPr>
        <w:pStyle w:val="Normal"/>
        <w:spacing w:before="200" w:after="80"/>
        <w:rPr/>
      </w:pPr>
      <w:r>
        <w:rPr>
          <w:rFonts w:ascii="Arial" w:hAnsi="Arial"/>
          <w:b/>
          <w:color w:val="0D9488"/>
          <w:sz w:val="25"/>
        </w:rPr>
        <w:t>1.1 Integrantes del Grupo y Roles de Desarrollo</w:t>
      </w:r>
    </w:p>
    <w:p>
      <w:pPr>
        <w:pStyle w:val="Normal"/>
        <w:spacing w:lineRule="auto" w:line="276" w:before="0" w:after="160"/>
        <w:rPr/>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3120"/>
        <w:gridCol w:w="3120"/>
        <w:gridCol w:w="3120"/>
      </w:tblGrid>
      <w:tr>
        <w:trPr/>
        <w:tc>
          <w:tcPr>
            <w:tcW w:w="3120" w:type="dxa"/>
            <w:tcBorders/>
            <w:shd w:fill="1E3A8A"/>
          </w:tcPr>
          <w:p>
            <w:pPr>
              <w:pStyle w:val="Normal"/>
              <w:widowControl/>
              <w:bidi w:val="0"/>
              <w:spacing w:lineRule="auto" w:line="276" w:before="0" w:after="200"/>
              <w:jc w:val="left"/>
              <w:rPr/>
            </w:pPr>
            <w:r>
              <w:rPr>
                <w:rFonts w:ascii="Arial" w:hAnsi="Arial"/>
                <w:b/>
                <w:color w:val="FFFFFF"/>
                <w:sz w:val="19"/>
              </w:rPr>
              <w:t>Integrante</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Rol Asumido</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Responsabilidades y Alcance en el Proyecto</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Arquitecto de Soluciones &amp; AI Engineer</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Diseño de la arquitectura Multi-Agente On-Premise, integración de Ollama Local (SLM Qwen 2.5 + VLM Moondream) y base de datos vectorial ChromaDB.</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Backend &amp; MCP Lead</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Implementación de la API REST en Laravel 11, Servidor de Protocolo MCP con 6 Skills agénticas (.md) y lógica inmutable SHA-256 de fármacos.</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Frontend &amp; UX/UI Lead</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Creación de la Single Page Application en Vue.js 3 + Vite, diseño reactivo con Tailwind/Vanilla CSS, flujos de usuario y selector 1-Click de personas.</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Ingeniero de Ciberseguridad &amp; QA</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Diseño de defensas contra Prompt Injection/Jailbreaks, control de acceso RBAC por roles, sanitización estricta y suite de 8 pruebas automatizadas al 100%.</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DevOps &amp; Despliegue de Campaña</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Contenerización Docker Multi-Contenedor, orquestación WSL2/Ubuntu, pipelines locales y gestión de versionamiento Git en GitHub.</w:t>
            </w:r>
          </w:p>
        </w:tc>
      </w:tr>
    </w:tbl>
    <w:p>
      <w:pPr>
        <w:pStyle w:val="Normal"/>
        <w:spacing w:before="0" w:after="160"/>
        <w:rPr/>
      </w:pPr>
      <w:r>
        <w:rPr/>
      </w:r>
    </w:p>
    <w:p>
      <w:pPr>
        <w:pStyle w:val="Normal"/>
        <w:spacing w:before="200" w:after="80"/>
        <w:rPr/>
      </w:pPr>
      <w:r>
        <w:rPr>
          <w:rFonts w:ascii="Arial" w:hAnsi="Arial"/>
          <w:b/>
          <w:color w:val="0D9488"/>
          <w:sz w:val="25"/>
        </w:rPr>
        <w:t>1.2 Nombre del Proyecto</w:t>
      </w:r>
    </w:p>
    <w:tbl>
      <w:tblPr>
        <w:tblW w:w="9360" w:type="dxa"/>
        <w:jc w:val="center"/>
        <w:tblInd w:w="0" w:type="dxa"/>
        <w:tblLayout w:type="fixed"/>
        <w:tblCellMar>
          <w:top w:w="140" w:type="dxa"/>
          <w:left w:w="200" w:type="dxa"/>
          <w:bottom w:w="140" w:type="dxa"/>
          <w:right w:w="200" w:type="dxa"/>
        </w:tblCellMar>
        <w:tblLook w:firstRow="1" w:noVBand="1" w:lastRow="0" w:firstColumn="1" w:lastColumn="0" w:noHBand="0" w:val="04a0"/>
      </w:tblPr>
      <w:tblGrid>
        <w:gridCol w:w="9360"/>
      </w:tblGrid>
      <w:tr>
        <w:trPr/>
        <w:tc>
          <w:tcPr>
            <w:tcW w:w="9360" w:type="dxa"/>
            <w:tcBorders/>
            <w:shd w:fill="EEF2FF"/>
          </w:tcPr>
          <w:p>
            <w:pPr>
              <w:pStyle w:val="Normal"/>
              <w:spacing w:before="0" w:after="40"/>
              <w:rPr/>
            </w:pPr>
            <w:r>
              <w:rPr>
                <w:rFonts w:ascii="Arial" w:hAnsi="Arial"/>
                <w:b/>
                <w:color w:val="1E3A8A"/>
                <w:sz w:val="32"/>
              </w:rPr>
              <w:t>RefuGuía</w:t>
            </w:r>
          </w:p>
          <w:p>
            <w:pPr>
              <w:pStyle w:val="Normal"/>
              <w:spacing w:lineRule="auto" w:line="276" w:before="0" w:after="0"/>
              <w:rPr/>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pStyle w:val="Normal"/>
        <w:spacing w:before="0" w:after="160"/>
        <w:rPr/>
      </w:pPr>
      <w:r>
        <w:rPr/>
      </w:r>
    </w:p>
    <w:p>
      <w:pPr>
        <w:pStyle w:val="Normal"/>
        <w:spacing w:before="200" w:after="80"/>
        <w:rPr/>
      </w:pPr>
      <w:r>
        <w:rPr>
          <w:rFonts w:ascii="Arial" w:hAnsi="Arial"/>
          <w:b/>
          <w:color w:val="0D9488"/>
          <w:sz w:val="25"/>
        </w:rPr>
        <w:t>1.3 Problema que Resuelve (Punto de Partida y Solución Implementada)</w:t>
      </w:r>
    </w:p>
    <w:p>
      <w:pPr>
        <w:pStyle w:val="Normal"/>
        <w:spacing w:lineRule="auto" w:line="276" w:before="0" w:after="120"/>
        <w:rPr/>
      </w:pPr>
      <w:r>
        <w:rPr>
          <w:rFonts w:ascii="Arial" w:hAnsi="Arial"/>
          <w:b/>
          <w:color w:val="1E3A8A"/>
          <w:sz w:val="20"/>
        </w:rPr>
        <w:t>A. Punto de Partida y Diagnóstico de la Crisis:</w:t>
      </w:r>
    </w:p>
    <w:p>
      <w:pPr>
        <w:pStyle w:val="Normal"/>
        <w:spacing w:lineRule="auto" w:line="276" w:before="0" w:after="160"/>
        <w:rPr/>
      </w:pPr>
      <w:r>
        <w:rPr>
          <w:rFonts w:ascii="Arial" w:hAnsi="Arial"/>
          <w:color w:val="0F172A"/>
          <w:sz w:val="19"/>
        </w:rPr>
        <w:t>Tras eventos catastróficos como el sismo de Caracas (6.2 Mw), la infraestructura eléctrica y las telecomunicaciones suelen colapsar,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pStyle w:val="Normal"/>
        <w:spacing w:lineRule="auto" w:line="276" w:before="0" w:after="120"/>
        <w:rPr/>
      </w:pPr>
      <w:r>
        <w:rPr>
          <w:rFonts w:ascii="Arial" w:hAnsi="Arial"/>
          <w:b/>
          <w:color w:val="1E3A8A"/>
          <w:sz w:val="20"/>
        </w:rPr>
        <w:t>B. Solución Tecnológica Implementada:</w:t>
      </w:r>
    </w:p>
    <w:p>
      <w:pPr>
        <w:pStyle w:val="Normal"/>
        <w:spacing w:lineRule="auto" w:line="276" w:before="0" w:after="200"/>
        <w:rPr/>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pStyle w:val="Normal"/>
        <w:spacing w:before="200" w:after="80"/>
        <w:rPr/>
      </w:pPr>
      <w:r>
        <w:rPr>
          <w:rFonts w:ascii="Arial" w:hAnsi="Arial"/>
          <w:b/>
          <w:color w:val="0D9488"/>
          <w:sz w:val="25"/>
        </w:rPr>
        <w:t>1.4 Público Objetivo (Usuarios Reales de la Aplicación)</w:t>
      </w:r>
    </w:p>
    <w:p>
      <w:pPr>
        <w:pStyle w:val="Normal"/>
        <w:spacing w:lineRule="auto" w:line="276" w:before="0" w:after="160"/>
        <w:rPr/>
      </w:pPr>
      <w:r>
        <w:rPr>
          <w:rFonts w:ascii="Arial" w:hAnsi="Arial"/>
          <w:color w:val="0F172A"/>
          <w:sz w:val="19"/>
        </w:rPr>
        <w:t>El sistema implementa una segregación estricta de perfiles basada en Roles (RBAC), adaptando la interfaz y permisos a 4 actores operativos esenciales:</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9"/>
              </w:rPr>
              <w:t>Persona / Perfil</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Rol en 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Objetivo y Necesidades Reales</w:t>
            </w:r>
          </w:p>
        </w:tc>
        <w:tc>
          <w:tcPr>
            <w:tcW w:w="2339" w:type="dxa"/>
            <w:tcBorders/>
            <w:shd w:fill="1E3A8A"/>
          </w:tcPr>
          <w:p>
            <w:pPr>
              <w:pStyle w:val="Normal"/>
              <w:widowControl/>
              <w:bidi w:val="0"/>
              <w:spacing w:lineRule="auto" w:line="276" w:before="0" w:after="200"/>
              <w:jc w:val="left"/>
              <w:rPr/>
            </w:pPr>
            <w:r>
              <w:rPr>
                <w:rFonts w:ascii="Arial" w:hAnsi="Arial"/>
                <w:b/>
                <w:color w:val="FFFFFF"/>
                <w:sz w:val="19"/>
              </w:rPr>
              <w:t>Módulos y Permisos Habilitados</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Dra. Carmen López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Coordinadora de Refugio</w:t>
              <w:br/>
              <w:t>(shelter_admin)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Gestionar inventario de campaña, generar collares QR, auditar tratamientos clínicos SHA-256 y autorizar adopciones al cumplir 15 días.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Acceso Total: Refugios &amp; QR, Centro de Reencuentro, Adopción, MCP Skills, Consola SLM.</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Carlos Mendoza</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Rescatista de Campo</w:t>
              <w:br/>
              <w:t>(rescuer)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Ingresar rescates en campo por dictado de voz o texto, imprimir collares QR impermeables y verificar matches preliminares.</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(Ingreso Rápido), Refugios &amp; QR, Centro de Reencuentro.</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María Fernández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Damnificada / Ciudadana</w:t>
              <w:br/>
              <w:t>(citizen)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Buscar a su mascota extraviada reportando descripción o foto, revisar coincidencias sugeridas y postular si cumple requisitos.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(Búsqueda Familiar), Centro de Reencuentro, Portal de Adopción (15d).</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Andrés Morales</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Adoptante Responsable</w:t>
              <w:br/>
              <w:t>(adopter)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Explorar catálogo de animales con período de búsqueda vencido (&gt;15d) y postularse mediante evaluación de idoneidad con IA.</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Asistente de Adopción, Portal de Adopción Responsable (Triaje IA).</w:t>
            </w:r>
          </w:p>
        </w:tc>
      </w:tr>
    </w:tbl>
    <w:p>
      <w:pPr>
        <w:pStyle w:val="Normal"/>
        <w:spacing w:before="0" w:after="160"/>
        <w:rPr/>
      </w:pPr>
      <w:r>
        <w:rPr/>
      </w:r>
    </w:p>
    <w:p>
      <w:pPr>
        <w:pStyle w:val="Normal"/>
        <w:spacing w:before="360" w:after="200"/>
        <w:rPr/>
      </w:pPr>
      <w:r>
        <w:rPr>
          <w:rFonts w:ascii="Arial" w:hAnsi="Arial"/>
          <w:b/>
          <w:color w:val="1E3A8A"/>
          <w:sz w:val="32"/>
        </w:rPr>
        <w:t>Sección 2 · Arquitectura Técnica del Sistema</w:t>
      </w:r>
    </w:p>
    <w:p>
      <w:pPr>
        <w:pStyle w:val="Normal"/>
        <w:spacing w:before="200" w:after="80"/>
        <w:rPr/>
      </w:pPr>
      <w:r>
        <w:rPr>
          <w:rFonts w:ascii="Arial" w:hAnsi="Arial"/>
          <w:b/>
          <w:color w:val="0D9488"/>
          <w:sz w:val="25"/>
        </w:rPr>
        <w:t>2.1 Diagrama de Arquitectura General del Sistema (UML de Paquetes)</w:t>
      </w:r>
    </w:p>
    <w:p>
      <w:pPr>
        <w:pStyle w:val="Normal"/>
        <w:spacing w:lineRule="auto" w:line="276" w:before="0" w:after="160"/>
        <w:rPr/>
      </w:pPr>
      <w:r>
        <w:rPr>
          <w:rFonts w:ascii="Arial" w:hAnsi="Arial"/>
          <w:color w:val="0F172A"/>
          <w:sz w:val="19"/>
        </w:rPr>
        <w:t>La arquitectura de RefuGuía está estructurada en 4 capas desacopladas y 100% On-Premise para escenarios de contingencia post-sismo. El siguiente diagrama UML de paquetes ilustra cómo fluyen los datos de Entrada y Salida, diferenciando los módulos basados en Inteligencia Artificial de aquellos gobernados por lógica transaccional determinista tradicional y auditoría criptográfica inmutable:</w:t>
      </w:r>
    </w:p>
    <w:p>
      <w:pPr>
        <w:pStyle w:val="Normal"/>
        <w:spacing w:before="160" w:after="80"/>
        <w:jc w:val="center"/>
        <w:rPr/>
      </w:pPr>
      <w:r>
        <w:rPr/>
        <w:drawing>
          <wp:inline distT="0" distB="0" distL="0" distR="0">
            <wp:extent cx="5760720" cy="321500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760720" cy="3215005"/>
                    </a:xfrm>
                    <a:prstGeom prst="rect">
                      <a:avLst/>
                    </a:prstGeom>
                  </pic:spPr>
                </pic:pic>
              </a:graphicData>
            </a:graphic>
          </wp:inline>
        </w:drawing>
      </w:r>
    </w:p>
    <w:p>
      <w:pPr>
        <w:pStyle w:val="Normal"/>
        <w:spacing w:before="0" w:after="200"/>
        <w:jc w:val="center"/>
        <w:rPr/>
      </w:pPr>
      <w:r>
        <w:rPr>
          <w:rFonts w:ascii="Arial" w:hAnsi="Arial"/>
          <w:i/>
          <w:color w:val="64748B"/>
          <w:sz w:val="17"/>
        </w:rPr>
        <w:t xml:space="preserve">Figura: Diagrama UML de Arquitectura General del Sistema RefuGuía en 4 Capas </w:t>
      </w:r>
    </w:p>
    <w:p>
      <w:pPr>
        <w:pStyle w:val="Normal"/>
        <w:spacing w:before="160" w:after="80"/>
        <w:rPr/>
      </w:pPr>
      <w:r>
        <w:rPr>
          <w:rFonts w:ascii="Arial" w:hAnsi="Arial"/>
          <w:b/>
          <w:color w:val="1E3A8A"/>
          <w:sz w:val="20"/>
        </w:rPr>
        <w:t>Tabla 2.1: Clasificación de Componentes Tecnológicos y Flujo de Memoria</w:t>
      </w:r>
    </w:p>
    <w:tbl>
      <w:tblPr>
        <w:tblW w:w="9360" w:type="dxa"/>
        <w:jc w:val="center"/>
        <w:tblInd w:w="0" w:type="dxa"/>
        <w:tblLayout w:type="fixed"/>
        <w:tblCellMar>
          <w:top w:w="100" w:type="dxa"/>
          <w:left w:w="120" w:type="dxa"/>
          <w:bottom w:w="100" w:type="dxa"/>
          <w:right w:w="12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8"/>
              </w:rPr>
              <w:t>Componente del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Naturaleza (IA vs Tradicional)</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Tecnología / Motor</w:t>
            </w:r>
          </w:p>
        </w:tc>
        <w:tc>
          <w:tcPr>
            <w:tcW w:w="2339" w:type="dxa"/>
            <w:tcBorders/>
            <w:shd w:fill="1E3A8A"/>
          </w:tcPr>
          <w:p>
            <w:pPr>
              <w:pStyle w:val="Normal"/>
              <w:widowControl/>
              <w:bidi w:val="0"/>
              <w:spacing w:lineRule="auto" w:line="276" w:before="0" w:after="200"/>
              <w:jc w:val="left"/>
              <w:rPr/>
            </w:pPr>
            <w:r>
              <w:rPr>
                <w:rFonts w:ascii="Arial" w:hAnsi="Arial"/>
                <w:b/>
                <w:color w:val="FFFFFF"/>
                <w:sz w:val="18"/>
              </w:rPr>
              <w:t>Ubicación de Memoria Persistente</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Ingesta NLP &amp; Extracción JSON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(SLM)</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Qwen 2.5:1.5B (Ollama Local)</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Sin estado en memoria RAM; estructura persistida en MySQL.</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Peritaje Visual de Fotografías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(VLM)</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Moondream:latest (1.4B ViT+Phi)</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Inferencia en memoria GPU/CPU; dictamen guardado en MySQL.</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Búsqueda Semántica K-NN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(RAG)</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ChromaDB v2 (Cosine Distance)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Espacio vectorial persistido en disco (sqlite3/chroma_data).</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Auditoría de Fármacos &amp; Hashes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 / Cripto</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PHP 8.2 / SHA-256 Chaining</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MySQL 8.0 (Campos hash_sha256 inmutables).</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Control de Acceso RBAC &amp; Menú</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Laravel Sanctum / Vue Router Guards</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MySQL 8.0 (Tablas users, roles) y LocalStorage.</w:t>
            </w:r>
          </w:p>
        </w:tc>
      </w:tr>
    </w:tbl>
    <w:p>
      <w:pPr>
        <w:pStyle w:val="Normal"/>
        <w:spacing w:before="0" w:after="160"/>
        <w:rPr/>
      </w:pPr>
      <w:r>
        <w:rPr/>
      </w:r>
    </w:p>
    <w:p>
      <w:pPr>
        <w:pStyle w:val="Normal"/>
        <w:spacing w:before="240" w:after="80"/>
        <w:rPr/>
      </w:pPr>
      <w:r>
        <w:rPr>
          <w:rFonts w:ascii="Arial" w:hAnsi="Arial"/>
          <w:b/>
          <w:color w:val="0D9488"/>
          <w:sz w:val="25"/>
        </w:rPr>
        <w:t>2.2 Diagrama de Flujo de Agentes (Orquestación Multi-Agente &amp; Protocolo MCP)</w:t>
      </w:r>
    </w:p>
    <w:p>
      <w:pPr>
        <w:pStyle w:val="Normal"/>
        <w:spacing w:lineRule="auto" w:line="276" w:before="0" w:after="160"/>
        <w:rPr/>
      </w:pPr>
      <w:r>
        <w:rPr>
          <w:rFonts w:ascii="Arial" w:hAnsi="Arial"/>
          <w:color w:val="0F172A"/>
          <w:sz w:val="19"/>
        </w:rPr>
        <w:t>El sistema opera bajo una Red de Agentes Especializados coordinados por el Despachador Central del Servidor MCP (Model Context Protocol 2026.1). El siguiente diagrama muestra el flujo secuencial de decisiones, el ciclo de funcionamiento y la interacción con la capa de persistencia:</w:t>
      </w:r>
    </w:p>
    <w:p>
      <w:pPr>
        <w:pStyle w:val="Normal"/>
        <w:spacing w:before="160" w:after="80"/>
        <w:jc w:val="center"/>
        <w:rPr/>
      </w:pPr>
      <w:r>
        <w:rPr/>
        <w:drawing>
          <wp:inline distT="0" distB="0" distL="0" distR="0">
            <wp:extent cx="5760720" cy="32150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760720" cy="3215005"/>
                    </a:xfrm>
                    <a:prstGeom prst="rect">
                      <a:avLst/>
                    </a:prstGeom>
                  </pic:spPr>
                </pic:pic>
              </a:graphicData>
            </a:graphic>
          </wp:inline>
        </w:drawing>
      </w:r>
    </w:p>
    <w:p>
      <w:pPr>
        <w:pStyle w:val="Normal"/>
        <w:spacing w:before="0" w:after="200"/>
        <w:jc w:val="center"/>
        <w:rPr/>
      </w:pPr>
      <w:r>
        <w:rPr>
          <w:rFonts w:ascii="Arial" w:hAnsi="Arial"/>
          <w:i/>
          <w:color w:val="64748B"/>
          <w:sz w:val="17"/>
        </w:rPr>
        <w:t xml:space="preserve">Figura: Diagrama de Flujo y Secuencia de la Orquestación Multi-Agente con Protocolo MCP </w:t>
      </w:r>
    </w:p>
    <w:p>
      <w:pPr>
        <w:pStyle w:val="Normal"/>
        <w:spacing w:before="160" w:after="80"/>
        <w:rPr/>
      </w:pPr>
      <w:r>
        <w:rPr>
          <w:rFonts w:ascii="Arial" w:hAnsi="Arial"/>
          <w:b/>
          <w:color w:val="1E3A8A"/>
          <w:sz w:val="20"/>
        </w:rPr>
        <w:t>Tabla 2.2: Catálogo de Agentes, Decisiones y Protocolo de Comunicación</w:t>
      </w:r>
    </w:p>
    <w:tbl>
      <w:tblPr>
        <w:tblW w:w="9360" w:type="dxa"/>
        <w:jc w:val="center"/>
        <w:tblInd w:w="0" w:type="dxa"/>
        <w:tblLayout w:type="fixed"/>
        <w:tblCellMar>
          <w:top w:w="100" w:type="dxa"/>
          <w:left w:w="120" w:type="dxa"/>
          <w:bottom w:w="100" w:type="dxa"/>
          <w:right w:w="12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8"/>
              </w:rPr>
              <w:t>Agente MCP</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Skill Ejecutada</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Decisión o Tarea Crítica que Resuelve</w:t>
            </w:r>
          </w:p>
        </w:tc>
        <w:tc>
          <w:tcPr>
            <w:tcW w:w="2339" w:type="dxa"/>
            <w:tcBorders/>
            <w:shd w:fill="1E3A8A"/>
          </w:tcPr>
          <w:p>
            <w:pPr>
              <w:pStyle w:val="Normal"/>
              <w:widowControl/>
              <w:bidi w:val="0"/>
              <w:spacing w:lineRule="auto" w:line="276" w:before="0" w:after="200"/>
              <w:jc w:val="left"/>
              <w:rPr/>
            </w:pPr>
            <w:r>
              <w:rPr>
                <w:rFonts w:ascii="Arial" w:hAnsi="Arial"/>
                <w:b/>
                <w:color w:val="FFFFFF"/>
                <w:sz w:val="18"/>
              </w:rPr>
              <w:t>Protocolo y Formato</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Agente_NLP_Ingesta</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skill_extraer_entidades_nlp</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Sanitiza prompts contra inyecciones y extrae rasgos clínicos/físicos en JSON.</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MCP JSON-RPC / Qwen 2.5</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Agente_Peritaje_Visual</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skill_peritaje_visual_moondream</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Examina fotos píxel a píxel para identificar manto, hocico y orejas.</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MCP JSON-RPC / Moondream</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Agente_Matchmaker</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skill_calcular_similitud_vectorial</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Calcula similitud híbrida: 40% visual + 30% semántica + 30% Haversine.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MCP Tool / ChromaDB</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Agente_Auditor_Legal</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skill_verificar_periodo_gracia</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Aplica el Hard Stop de 15 días continuos antes de habilitar adopción.</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MCP Tool / Regla PHP</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Agente_Triaje_Adopcion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skill_evaluar_compatibilidad_adopcion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Calcula porcentaje de idoneidad habitacional y económica del adoptante.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MCP Tool / Reglas Heurísticas</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Agente_Trazabilidad_QR</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skill_generar_identidad_qr</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Genera el identificador UUID inmutable y la etiqueta de collar QR imprimible.</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MCP Tool / SVG Generator</w:t>
            </w:r>
          </w:p>
        </w:tc>
      </w:tr>
    </w:tbl>
    <w:p>
      <w:pPr>
        <w:pStyle w:val="Normal"/>
        <w:spacing w:before="0" w:after="160"/>
        <w:rPr/>
      </w:pPr>
      <w:r>
        <w:rPr/>
      </w:r>
    </w:p>
    <w:p>
      <w:pPr>
        <w:pStyle w:val="Normal"/>
        <w:spacing w:before="240" w:after="80"/>
        <w:rPr/>
      </w:pPr>
      <w:r>
        <w:rPr>
          <w:rFonts w:ascii="Arial" w:hAnsi="Arial"/>
          <w:b/>
          <w:color w:val="0D9488"/>
          <w:sz w:val="25"/>
        </w:rPr>
        <w:t>2.3 Diagramas UML (Casos de Uso del Sistema)</w:t>
      </w:r>
    </w:p>
    <w:p>
      <w:pPr>
        <w:pStyle w:val="Normal"/>
        <w:spacing w:lineRule="auto" w:line="276" w:before="0" w:after="160"/>
        <w:rPr/>
      </w:pPr>
      <w:r>
        <w:rPr>
          <w:rFonts w:ascii="Arial" w:hAnsi="Arial"/>
          <w:color w:val="0F172A"/>
          <w:sz w:val="19"/>
        </w:rPr>
        <w:t>El siguiente Diagrama de Casos de Uso UML formal modela las interacciones entre los 4 actores del sistema (Coordinadora de Refugio, Rescatista de Campo, Damnificada y Adoptante) y las funcionalidades del núcleo de RefuGuía:</w:t>
      </w:r>
    </w:p>
    <w:p>
      <w:pPr>
        <w:pStyle w:val="Normal"/>
        <w:spacing w:before="160" w:after="80"/>
        <w:jc w:val="center"/>
        <w:rPr/>
      </w:pPr>
      <w:r>
        <w:rPr/>
        <w:drawing>
          <wp:inline distT="0" distB="0" distL="0" distR="0">
            <wp:extent cx="5760720" cy="32150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760720" cy="3215005"/>
                    </a:xfrm>
                    <a:prstGeom prst="rect">
                      <a:avLst/>
                    </a:prstGeom>
                  </pic:spPr>
                </pic:pic>
              </a:graphicData>
            </a:graphic>
          </wp:inline>
        </w:drawing>
      </w:r>
    </w:p>
    <w:p>
      <w:pPr>
        <w:pStyle w:val="Normal"/>
        <w:spacing w:before="0" w:after="200"/>
        <w:jc w:val="center"/>
        <w:rPr/>
      </w:pPr>
      <w:r>
        <w:rPr>
          <w:rFonts w:ascii="Arial" w:hAnsi="Arial"/>
          <w:i/>
          <w:color w:val="64748B"/>
          <w:sz w:val="17"/>
        </w:rPr>
        <w:t xml:space="preserve">Figura: Diagrama UML de Casos de Uso del Sistema RefuGuía </w:t>
      </w:r>
    </w:p>
    <w:p>
      <w:pPr>
        <w:spacing w:before="400" w:after="200"/>
      </w:pPr>
      <w:r>
        <w:rPr>
          <w:rFonts w:ascii="Arial" w:hAnsi="Arial"/>
          <w:b/>
          <w:color w:val="1E3A8A"/>
          <w:sz w:val="32"/>
        </w:rPr>
        <w:t>Sección 3 · Stack Tecnológico</w:t>
      </w:r>
    </w:p>
    <w:p>
      <w:pPr>
        <w:spacing w:line="276" w:lineRule="auto" w:after="200"/>
      </w:pPr>
      <w:r>
        <w:rPr>
          <w:rFonts w:ascii="Arial" w:hAnsi="Arial"/>
          <w:color w:val="0F172A"/>
          <w:sz w:val="19"/>
        </w:rPr>
        <w:t>La selección del stack tecnológico de RefuGuía responde a criterios rigurosos de ingeniería de software para escenarios de crisis y desastre natural. El principio rector fue garantizar soberanía operativa total, privacidad estricta (Zero Data Leakage), consumo reducido de memoria y cero dependencia de servicios en la nube comercial.</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E3A8A"/>
            <w:tcMar>
              <w:top w:w="120" w:type="dxa"/>
              <w:bottom w:w="120" w:type="dxa"/>
              <w:left w:w="140" w:type="dxa"/>
              <w:right w:w="140" w:type="dxa"/>
            </w:tcMar>
          </w:tcPr>
          <w:p>
            <w:pPr>
              <w:jc w:val="left"/>
            </w:pPr>
            <w:r>
              <w:rPr>
                <w:rFonts w:ascii="Arial" w:hAnsi="Arial"/>
                <w:b/>
                <w:color w:val="FFFFFF"/>
                <w:sz w:val="19"/>
              </w:rPr>
              <w:t>Componente</w:t>
            </w:r>
          </w:p>
        </w:tc>
        <w:tc>
          <w:tcPr>
            <w:tcW w:type="dxa" w:w="2592"/>
            <w:shd w:fill="1E3A8A"/>
            <w:tcMar>
              <w:top w:w="120" w:type="dxa"/>
              <w:bottom w:w="120" w:type="dxa"/>
              <w:left w:w="140" w:type="dxa"/>
              <w:right w:w="140" w:type="dxa"/>
            </w:tcMar>
          </w:tcPr>
          <w:p>
            <w:pPr>
              <w:jc w:val="left"/>
            </w:pPr>
            <w:r>
              <w:rPr>
                <w:rFonts w:ascii="Arial" w:hAnsi="Arial"/>
                <w:b/>
                <w:color w:val="FFFFFF"/>
                <w:sz w:val="19"/>
              </w:rPr>
              <w:t>Tecnología / Herramienta</w:t>
            </w:r>
          </w:p>
        </w:tc>
        <w:tc>
          <w:tcPr>
            <w:tcW w:type="dxa" w:w="4608"/>
            <w:shd w:fill="1E3A8A"/>
            <w:tcMar>
              <w:top w:w="120" w:type="dxa"/>
              <w:bottom w:w="120" w:type="dxa"/>
              <w:left w:w="140" w:type="dxa"/>
              <w:right w:w="140" w:type="dxa"/>
            </w:tcMar>
          </w:tcPr>
          <w:p>
            <w:pPr>
              <w:jc w:val="left"/>
            </w:pPr>
            <w:r>
              <w:rPr>
                <w:rFonts w:ascii="Arial" w:hAnsi="Arial"/>
                <w:b/>
                <w:color w:val="FFFFFF"/>
                <w:sz w:val="19"/>
              </w:rPr>
              <w:t>Por qué se eligió esta y no otra</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Frontend</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Vue.js 3 (Composition API) +</w:t>
              <w:br/>
              <w:t>Vite + SweetAlert2 +</w:t>
              <w:br/>
              <w:t>Vanilla/Tailwind CSS</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Reactividad instantánea y renderizado ultra-ligero sin la sobrecarga de un Virtual DOM pesado como en Angular o React empresarial. Vite ofrece Hot Module Replacement (HMR) y empaquetado optimizado en milisegundos. La interfaz futurista en modo oscuro (#0e1626) reduce el consumo de batería en laptops de campaña, y SweetAlert2 proporciona diálogos de confirmación accesibles y claros para personas bajo shock emocional.</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Backend</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Laravel 11 (PHP 8.2 REST API) +</w:t>
              <w:br/>
              <w:t>Arquitectura MCP Nativa</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Framework empresarial con robustez demostrada en consistencia transaccional y validación de reglas de negocio complejas. Permite estructurar de forma limpia la inyección de dependencias para los servicios de IA, control de acceso estricto RBAC (Sanctum/Session) y criptografía SHA-256 sin requerir la sobrecarga de mantener múltiples microservicios dispersos.</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Base de Datos Relacional</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MySQL 8.0 (InnoDB)</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Garantiza transacciones ACID indispensables para la trazabilidad médica de fármacos críticos y el registro de adopciones. A diferencia de soluciones NoSQL (MongoDB/Firebase) que carecen de integridad referencial estricta o requieren conexión a la nube, MySQL en contenedor Docker ofrece estabilidad absoluta, portabilidad universal y rendimiento óptimo en hardware local.</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Base de Datos Vectorial (RAG)</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ChromaDB v2 (On-Premise)</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Base vectorial de código abierto embebida localmente. Permite calcular distancias de Coseno K-NN en milisegundos para emparejar relatos y fotos de mascotas sin enviar datos privados fuera del servidor y sin incurrir en costos recurrentes de APIs comerciales en la nube (como Pinecone o Weaviate Cloud).</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Modelos de Inteligencia Artificial</w:t>
              <w:br/>
              <w:t>(IA Local On-Premise)</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Arquitectura Dual:</w:t>
              <w:br/>
              <w:t>• Qwen 2.5:1.5B (SLM NLP)</w:t>
              <w:br/>
              <w:t>• Moondream:latest (1.4B VLM)</w:t>
              <w:br/>
              <w:t>vía Ollama Local</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En un sismo, el corte de internet imposibilita usar GPT-4o, Claude o Gemini. Se optó por una arquitectura de doble agente en Ollama: (1) Qwen 2.5 1.5B destaca por su alta precisión en español venezolano y extracción estricta de JSON en ~1.4 GB de RAM; (2) Moondream 1.4B es el modelo de visión más ligero del mundo para peritaje directo de fotos píxel a píxel (~1.3 GB). Ambos consumen menos de 3 GB de RAM combinados.</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Orquestación de Agentes</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Model Context Protocol</w:t>
              <w:br/>
              <w:t>(MCP 2026.1) con Dispatcher</w:t>
              <w:br/>
              <w:t>propio y especificaciones Markdown (.md)</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Se adoptó el estándar abierto MCP promovido por la industria para desacoplar las capacidades (Skills) de los modelos de IA. A diferencia de frameworks como LangChain (con alta deuda técnica y cambios continuos que rompen código) o n8n (que requiere interfaces pesadas), un despachador propio basado en especificaciones formales .md asegura trazabilidad determinista y ejecución en milisegundos.</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Ciberseguridad y Trazabilidad</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Encadenamiento Criptográfico SHA-256 +</w:t>
              <w:br/>
              <w:t>Sanitizador Heurístico de Prompts +</w:t>
              <w:br/>
              <w:t>Bloqueo Físico por QR</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Garantiza inmutabilidad forense en los expedientes clínicos (cada registro genera un hash encadenado al anterior) e impide la administración errónea de medicamentos si no se escanea el collar QR físico. El módulo de sanitización bloquea intentos de Jailbreak o Prompt Injection antes de que el texto llegue al SLM.</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Despliegue e Infraestructura</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Docker Multi-Contenedor +</w:t>
              <w:br/>
              <w:t>Docker Compose sobre WSL2 / Linux</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Permite iniciar todo el ecosistema de rescate (Frontend, Backend, MySQL, ChromaDB y Ollama) con un único comando ('docker compose up -d') en cualquier computador portátil o servidor de campaña en minutos, sin depender de plataformas en la nube como Vercel, Render o AWS.</w:t>
            </w:r>
          </w:p>
        </w:tc>
      </w:tr>
    </w:tbl>
    <w:p>
      <w:pPr>
        <w:spacing w:before="160" w:after="160"/>
      </w:pPr>
      <w:r>
        <w:rPr>
          <w:rFonts w:ascii="Arial" w:hAnsi="Arial"/>
          <w:i/>
          <w:color w:val="64748B"/>
          <w:sz w:val="17"/>
        </w:rPr>
        <w:t>UTN-FRBA | EPIData — IA Aplicada a Organizaciones</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Arial">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LibreOffice/24.2.5.2$Windows_X86_64 LibreOffice_project/bffef4ea93e59bebbeaf7f431bb02b1a39ee8a59</Application>
  <AppVersion>15.0000</AppVersion>
  <Pages>6</Pages>
  <Words>1154</Words>
  <Characters>7172</Characters>
  <CharactersWithSpaces>8211</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2026-08-19T22:00:59Z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